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66FA" w14:paraId="4B429142" w14:textId="77777777">
      <w:pPr>
        <w:jc w:val="center"/>
      </w:pPr>
      <w:r>
        <w:br/>
      </w:r>
      <w:r>
        <w:br/>
      </w:r>
    </w:p>
    <w:p w:rsidR="00FC66FA" w14:paraId="53CB80EB" w14:textId="77777777">
      <w:pPr>
        <w:jc w:val="center"/>
      </w:pPr>
      <w:r>
        <w:rPr>
          <w:rFonts w:ascii="黑体" w:eastAsia="黑体" w:hAnsi="黑体" w:cs="黑体"/>
          <w:b/>
          <w:bCs/>
          <w:sz w:val="48"/>
          <w:szCs w:val="48"/>
        </w:rPr>
        <w:t>新材料项目</w:t>
      </w:r>
    </w:p>
    <w:p w:rsidR="00FC66FA" w14:paraId="411D9F72" w14:textId="77777777">
      <w:pPr>
        <w:jc w:val="center"/>
      </w:pPr>
      <w:r>
        <w:rPr>
          <w:rFonts w:ascii="黑体" w:eastAsia="黑体" w:hAnsi="黑体" w:cs="黑体"/>
          <w:b/>
          <w:bCs/>
          <w:sz w:val="52"/>
          <w:szCs w:val="52"/>
        </w:rPr>
        <w:t>可行性分析报告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FC66FA" w14:paraId="287ABDB8" w14:textId="77777777">
      <w:pPr>
        <w:jc w:val="center"/>
      </w:pPr>
      <w:r>
        <w:rPr>
          <w:rFonts w:ascii="黑体" w:eastAsia="黑体" w:hAnsi="黑体" w:cs="黑体"/>
          <w:b/>
          <w:bCs/>
          <w:sz w:val="30"/>
          <w:szCs w:val="30"/>
        </w:rPr>
        <w:t>泓域咨询</w:t>
      </w:r>
    </w:p>
    <w:p w:rsidR="00FC66FA" w14:paraId="07CD0581" w14:textId="77777777">
      <w:pPr>
        <w:jc w:val="center"/>
      </w:pPr>
      <w:r>
        <w:rPr>
          <w:rFonts w:ascii="黑体" w:eastAsia="黑体" w:hAnsi="黑体" w:cs="黑体"/>
          <w:b/>
          <w:bCs/>
          <w:sz w:val="30"/>
          <w:szCs w:val="30"/>
        </w:rPr>
        <w:t>规划设计/投资分析/产业运营</w:t>
      </w:r>
    </w:p>
    <w:p w:rsidR="00FC66FA" w14:paraId="5F58C82E" w14:textId="683D5F5B">
      <w:pPr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FC66FA" w:rsidRPr="00FC66FA" w14:paraId="551070CA" w14:textId="72C3C7F3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全文共1页，当前为第1页。</w:t>
                  </w:r>
                </w:p>
              </w:txbxContent>
            </v:textbox>
          </v:shape>
        </w:pict>
      </w:r>
    </w:p>
    <w:p w:rsidR="00FC66FA" w14:paraId="6C046DE4" w14:textId="77777777">
      <w:pPr>
        <w:jc w:val="center"/>
      </w:pPr>
    </w:p>
    <w:p w:rsidR="00FC66FA" w14:paraId="00F8B43A" w14:textId="77777777">
      <w:pPr>
        <w:ind w:firstLine="600"/>
      </w:pPr>
      <w:r>
        <w:rPr>
          <w:rFonts w:ascii="黑体" w:eastAsia="黑体" w:hAnsi="黑体" w:cs="黑体"/>
          <w:sz w:val="30"/>
          <w:szCs w:val="30"/>
        </w:rPr>
        <w:t xml:space="preserve"> 报告说明—</w:t>
      </w:r>
    </w:p>
    <w:p w:rsidR="00FC66FA" w14:paraId="6026B3D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顺应新材料高性能化、多功能化、绿色化发展趋势，推动特色资源新材料可持续发展，加强前沿材料布局，以战略性新兴产业和重大工程建设需求为导向，优化新材料产业化及应用环境，加强新材料标准体系建设，提高新材料应用水平，推进新材料融入高端制造供应链。到2020年，力争使若干新材料品种进入全球供应链，重大关键材料自给率达到70%以上，初步实现我国从材料大国向材料强国的战略性转变。</w:t>
      </w:r>
    </w:p>
    <w:p w:rsidR="00FC66FA" w14:paraId="47CF183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2017 年，在《“十三五”国家战略性新兴产业发展规划》加快落实的大背景下，我国战略性新兴产业继续保持了较快增长态势，新业态、新模式的不断涌现，产业结构持续优化，创新能力稳定提升，以及产品和商业模式的“走出去”路线取得了实质进展。展望 2018 年，全球各主要国家仍将新兴产业作为培育经济发展新动能、打造竞争新优势的重要选择，国内战略性新兴产业受供给侧结构性改革和有利发展环境影响，将继续保持稳定增长，目标不仅限于之前的“做大”，也逐渐向“做强”转化，持续引领国内经济增长。</w:t>
      </w:r>
    </w:p>
    <w:p w:rsidR="00FC66FA" w14:paraId="6EE1406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当前战略性新兴产业呈现推进措施有力、发展势头强劲、创新体系强化、开放发展升级的局面，其高质量发展特征突出、发展成绩优异。</w:t>
      </w:r>
    </w:p>
    <w:p w:rsidR="00FC66FA" w14:paraId="5271DA95" w14:textId="5BDABBEC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FC66FA" w:rsidRPr="00FC66FA" w14:paraId="61853A54" w14:textId="4F1B9F0D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全文共2页，当前为第2页。</w:t>
                  </w:r>
                </w:p>
              </w:txbxContent>
            </v:textbox>
          </v:shape>
        </w:pict>
      </w:r>
      <w:r w:rsidR="00464E27">
        <w:rPr>
          <w:rFonts w:ascii="仿宋" w:eastAsia="仿宋" w:hAnsi="仿宋" w:cs="仿宋"/>
          <w:sz w:val="30"/>
          <w:szCs w:val="30"/>
        </w:rPr>
        <w:t>战略性新兴产业代表新一轮科技革命和产业变革的方向，是培育发展新动能、获取未来竞争新优势的关键领域。“十三五”时期，要把战略性</w:t>
      </w:r>
    </w:p>
    <w:p w:rsidR="00FC66FA" w14:textId="5BDABBEC">
      <w:pPr>
        <w:ind w:firstLine="600"/>
      </w:pPr>
      <w:r w:rsidR="00464E27">
        <w:rPr>
          <w:rFonts w:ascii="仿宋" w:eastAsia="仿宋" w:hAnsi="仿宋" w:cs="仿宋"/>
          <w:sz w:val="30"/>
          <w:szCs w:val="30"/>
        </w:rPr>
        <w:t>新兴产业摆在经济社会发展更加突出的位置，大力构建现代产业新体系，推动经济社会持续健康发展。</w:t>
      </w:r>
    </w:p>
    <w:p w:rsidR="00FC66FA" w14:paraId="74DB747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该新材料项目计划总投资2205.45万元，其中：固定资产投资1795.95万元，占项目总投资的81.43%；流动资金409.50万元，占项目总投资的18.57%。</w:t>
      </w:r>
    </w:p>
    <w:p w:rsidR="00FC66FA" w14:paraId="22111B5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达产年营业收入3957.00万元，总成本费用3025.96万元，税金及附加43.61万元，利润总额931.04万元，利税总额1103.07万元，税后净利润698.28万元，达产年纳税总额404.79万元；达产年投资利润率42.22%，投资利税率50.02%，投资回报率31.66%，全部投资回收期4.66年，提供就业职位61个。</w:t>
      </w:r>
    </w:p>
    <w:p w:rsidR="00FC66FA" w14:paraId="055254A3" w14:textId="77777777">
      <w:pPr>
        <w:ind w:firstLine="600"/>
      </w:pPr>
    </w:p>
    <w:p w:rsidR="00FC66FA" w14:paraId="4285B301" w14:textId="77777777">
      <w:pPr>
        <w:jc w:val="right"/>
      </w:pPr>
      <w:r>
        <w:rPr>
          <w:noProof/>
          <w:lang w:eastAsia="zh-CN" w:bidi="ar-SA"/>
        </w:rPr>
        <w:drawing>
          <wp:inline distT="0" distB="0" distL="0" distR="0">
            <wp:extent cx="2381250" cy="952500"/>
            <wp:effectExtent l="19050" t="0" r="9525" b="0"/>
            <wp:docPr id="1" name="Picture 0" descr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6FA" w14:paraId="1E30F346" w14:textId="71B19D32">
      <w:pPr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  <w:r>
        <w:rPr>
          <w:noProof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FC66FA" w:rsidRPr="00FC66FA" w14:paraId="32BE8E51" w14:textId="5366906B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全文共3页，当前为第3页。</w:t>
                  </w:r>
                </w:p>
              </w:txbxContent>
            </v:textbox>
          </v:shape>
        </w:pict>
      </w:r>
    </w:p>
    <w:p w:rsidR="00FC66FA" w14:paraId="56F189F6" w14:textId="77777777">
      <w:pPr>
        <w:ind w:firstLine="600"/>
      </w:pPr>
    </w:p>
    <w:p w:rsidR="00FC66FA" w14:paraId="0B4691CA" w14:textId="77777777">
      <w:pPr>
        <w:jc w:val="center"/>
      </w:pPr>
      <w:r>
        <w:rPr>
          <w:rFonts w:ascii="黑体" w:eastAsia="黑体" w:hAnsi="黑体" w:cs="黑体"/>
          <w:b/>
          <w:bCs/>
          <w:sz w:val="30"/>
          <w:szCs w:val="30"/>
        </w:rPr>
        <w:t>目录</w:t>
      </w:r>
    </w:p>
    <w:p w:rsidR="00FC66FA" w14:paraId="2D53A9AE" w14:textId="77777777">
      <w:pPr>
        <w:ind w:firstLine="2000"/>
      </w:pPr>
    </w:p>
    <w:p w:rsidR="00FC66FA" w14:paraId="7DA153FF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第一章        基本信息</w:t>
      </w:r>
    </w:p>
    <w:p w:rsidR="00FC66FA" w14:paraId="31204B09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第二章        项目投资单位</w:t>
      </w:r>
    </w:p>
    <w:p w:rsidR="00FC66FA" w14:paraId="3EEB533D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第三章        建设背景及必要性分析</w:t>
      </w:r>
    </w:p>
    <w:p w:rsidR="00FC66FA" w14:paraId="64E52320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第四章        项目市场分析</w:t>
      </w:r>
    </w:p>
    <w:p w:rsidR="00FC66FA" w14:paraId="458165E8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第五章        投资方案</w:t>
      </w:r>
    </w:p>
    <w:p w:rsidR="00FC66FA" w14:paraId="102F429C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第六章        项目选址规划</w:t>
      </w:r>
    </w:p>
    <w:p w:rsidR="00FC66FA" w14:paraId="001B1F89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第七章        土建工程设计</w:t>
      </w:r>
    </w:p>
    <w:p w:rsidR="00FC66FA" w14:paraId="2B957B79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第八章        项目工艺先进性</w:t>
      </w:r>
    </w:p>
    <w:p w:rsidR="00FC66FA" w14:paraId="20AEAD59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第九章        项目环境保护分析</w:t>
      </w:r>
    </w:p>
    <w:p w:rsidR="00FC66FA" w14:paraId="683CEFC5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第十章        安全规范管理</w:t>
      </w:r>
    </w:p>
    <w:p w:rsidR="00FC66FA" w14:paraId="04C73A80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第十一章      建设及运营风险分析</w:t>
      </w:r>
    </w:p>
    <w:p w:rsidR="00FC66FA" w14:paraId="6A1C037C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第十二章      节能</w:t>
      </w:r>
    </w:p>
    <w:p w:rsidR="00FC66FA" w14:paraId="4FBE94B9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第十三章      计划安排</w:t>
      </w:r>
    </w:p>
    <w:p w:rsidR="00FC66FA" w14:paraId="5D5C4D87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第十四章      投资方案分析</w:t>
      </w:r>
    </w:p>
    <w:p w:rsidR="00FC66FA" w14:paraId="39172975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第十五章      项目经济效益可行性</w:t>
      </w:r>
    </w:p>
    <w:p w:rsidR="00FC66FA" w14:paraId="489E392E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第十六章      评价及建议</w:t>
      </w:r>
    </w:p>
    <w:p w:rsidR="00FC66FA" w14:paraId="79048514" w14:textId="77777777">
      <w:pPr>
        <w:ind w:firstLine="2000"/>
      </w:pPr>
      <w:r>
        <w:rPr>
          <w:rFonts w:ascii="黑体" w:eastAsia="黑体" w:hAnsi="黑体" w:cs="黑体"/>
          <w:sz w:val="30"/>
          <w:szCs w:val="30"/>
        </w:rPr>
        <w:t>第十七章      项目招投标方案</w:t>
      </w:r>
    </w:p>
    <w:p w:rsidR="00FC66FA" w14:paraId="3D725BA2" w14:textId="20BF2E4B">
      <w:pPr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  <w:r>
        <w:rPr>
          <w:noProof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FC66FA" w:rsidRPr="00FC66FA" w14:paraId="6AF2ED30" w14:textId="04824C84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全文共4页，当前为第4页。</w:t>
                  </w:r>
                </w:p>
              </w:txbxContent>
            </v:textbox>
          </v:shape>
        </w:pict>
      </w:r>
    </w:p>
    <w:p w:rsidR="00FC66FA" w14:paraId="673229FE" w14:textId="77777777">
      <w:pPr>
        <w:jc w:val="center"/>
      </w:pPr>
      <w:r>
        <w:rPr>
          <w:rFonts w:ascii="黑体" w:eastAsia="黑体" w:hAnsi="黑体" w:cs="黑体"/>
          <w:b/>
          <w:bCs/>
          <w:sz w:val="32"/>
          <w:szCs w:val="32"/>
        </w:rPr>
        <w:t>第一章  基本信息</w:t>
      </w:r>
      <w:r>
        <w:br/>
      </w:r>
    </w:p>
    <w:p w:rsidR="00FC66FA" w14:paraId="0A81F4CE" w14:textId="77777777">
      <w:pPr>
        <w:ind w:firstLine="600"/>
      </w:pPr>
      <w:r>
        <w:rPr>
          <w:rFonts w:ascii="黑体" w:eastAsia="黑体" w:hAnsi="黑体" w:cs="黑体"/>
          <w:b/>
          <w:bCs/>
          <w:sz w:val="32"/>
          <w:szCs w:val="32"/>
        </w:rPr>
        <w:t>一、项目提出的理由</w:t>
      </w:r>
    </w:p>
    <w:p w:rsidR="00FC66FA" w14:paraId="36993C2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战略性新兴产业代表新一轮科技革命和产业变革的方向，是培育发展新动能、获取未来竞争新优势的关键领域。“十三五”时期，要把战略性新兴产业摆在经济社会发展更加突出的位置，大力构建现代产业新体系，推动经济社会持续健康发展。</w:t>
      </w:r>
    </w:p>
    <w:p w:rsidR="00FC66FA" w14:paraId="2FA5A2A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战略性新兴产业代表新一轮科技革命和产业变革的方向，是培育发展新动能、获取未来竞争新优势的关键领域。“十三五”时期，要把战略性新兴产业摆在经济社会发展更加突出的位置，大力构建现代产业新体系，推动经济社会持续健康发展。</w:t>
      </w:r>
    </w:p>
    <w:p w:rsidR="00FC66FA" w14:paraId="005D852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战略性新兴产业代表新一轮科技革命和产业变革的方向，是培育发展新动能、获取未来竞争新优势的关键领域。“十三五”时期，要把战略性新兴产业摆在经济社会发展更加突出的位置，大力构建现代产业新体系，推动经济社会持续健康发展。</w:t>
      </w:r>
    </w:p>
    <w:p w:rsidR="00FC66FA" w14:paraId="1ECA3AFB" w14:textId="77777777">
      <w:pPr>
        <w:ind w:firstLine="600"/>
      </w:pPr>
      <w:r>
        <w:rPr>
          <w:rFonts w:ascii="黑体" w:eastAsia="黑体" w:hAnsi="黑体" w:cs="黑体"/>
          <w:b/>
          <w:bCs/>
          <w:sz w:val="32"/>
          <w:szCs w:val="32"/>
        </w:rPr>
        <w:t>二、项目概况</w:t>
      </w:r>
    </w:p>
    <w:p w:rsidR="00FC66FA" w14:paraId="4F4574CB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FC66FA" w14:paraId="369E6E2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新材料项目</w:t>
      </w:r>
    </w:p>
    <w:p w:rsidR="00FC66FA" w14:paraId="76F4C946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FC66FA" w14:paraId="27DA6CFB" w14:textId="15BE2405">
      <w:pPr>
        <w:ind w:firstLine="600"/>
        <w:sectPr w:rsidSect="00A02F19">
          <w:headerReference w:type="default" r:id="rId9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5" o:spid="_x0000_s1029" type="#_x0000_t202" style="width:500pt;height:5pt;margin-top:787pt;margin-left:0;mso-wrap-style:square;position:absolute;visibility:hidden;z-index:251662336">
            <v:textbox>
              <w:txbxContent>
                <w:p w:rsidR="00FC66FA" w:rsidRPr="00FC66FA" w14:paraId="66F042D0" w14:textId="2A40077F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全文共5页，当前为第5页。</w:t>
                  </w:r>
                </w:p>
              </w:txbxContent>
            </v:textbox>
          </v:shape>
        </w:pict>
      </w:r>
      <w:r w:rsidR="00464E27">
        <w:rPr>
          <w:rFonts w:ascii="仿宋" w:eastAsia="仿宋" w:hAnsi="仿宋" w:cs="仿宋"/>
          <w:sz w:val="30"/>
          <w:szCs w:val="30"/>
        </w:rPr>
        <w:t>某经济示范区</w:t>
      </w:r>
    </w:p>
    <w:p w:rsidR="00FC66FA" w14:paraId="0193980D" w14:textId="77777777">
      <w:pPr>
        <w:ind w:firstLine="600"/>
      </w:pPr>
    </w:p>
    <w:p w:rsidR="00FC66FA" w14:paraId="163CED6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建设区域以城市总体规划为依据，布局相对独立，便于集中开展科研、生产经营和管理活动，并且统筹考虑用地与城市发展的关系，与项目建设地的建成区有较方便的联系。项目选址应符合城乡建设总体规划和项目占地使用规划的要求，同时具备便捷的陆路交通和方便的施工场址，并且与大气污染防治、水资源和自然生态资源保护相一致。</w:t>
      </w:r>
    </w:p>
    <w:p w:rsidR="00FC66FA" w14:paraId="3A6CA1F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FC66FA" w14:paraId="748DAD3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项目总用地面积7050.19平方米（折合约10.57亩）。</w:t>
      </w:r>
    </w:p>
    <w:p w:rsidR="00FC66FA" w14:paraId="7A3B3FD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FC66FA" w14:paraId="4E0E11AC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该工程规划建筑系数54.20%，建筑容积率1.37，建设区域绿化覆盖率5.73%，固定资产投资强度169.91万元/亩。</w:t>
      </w:r>
    </w:p>
    <w:p w:rsidR="00FC66FA" w14:paraId="0CC8CE3A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FC66FA" w14:paraId="0E9C394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项目净用地面积7050.19平方米，建筑物基底占地面积3821.20平方米，总建筑面积9658.76平方米，其中：规划建设主体工程6426.24平方米，项目规划绿化面积553.67平方米。</w:t>
      </w:r>
    </w:p>
    <w:p w:rsidR="00FC66FA" w14:paraId="1A4E00BB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FC66FA" w14:paraId="3D7ED8A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项目计划购置设备共计39台（套），设备购置费821.49万元。</w:t>
      </w:r>
    </w:p>
    <w:p w:rsidR="00FC66FA" w14:paraId="464A6CE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FC66FA" w14:paraId="304021B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1、项目年用电量983308.11千瓦时，折合120.85吨标准煤。</w:t>
      </w:r>
    </w:p>
    <w:p w:rsidR="00FC66FA" w14:paraId="275A8735" w14:textId="756C561F">
      <w:pPr>
        <w:ind w:firstLine="600"/>
        <w:sectPr w:rsidSect="00A02F19">
          <w:headerReference w:type="default" r:id="rId10"/>
          <w:type w:val="nextPage"/>
          <w:pgSz w:w="12240" w:h="15840"/>
          <w:pgMar w:top="1800" w:right="1200" w:bottom="1200" w:left="12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FC66FA" w:rsidRPr="00FC66FA" w14:paraId="7293FE82" w14:textId="3297AF26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全文共6页，当前为第6页。</w:t>
                  </w:r>
                </w:p>
              </w:txbxContent>
            </v:textbox>
          </v:shape>
        </w:pict>
      </w:r>
      <w:r w:rsidR="00464E27">
        <w:rPr>
          <w:rFonts w:ascii="仿宋" w:eastAsia="仿宋" w:hAnsi="仿宋" w:cs="仿宋"/>
          <w:sz w:val="30"/>
          <w:szCs w:val="30"/>
        </w:rPr>
        <w:t>2、项目年总用水量2054.67立方米，折合0.18吨标准煤。</w:t>
      </w:r>
    </w:p>
    <w:p w:rsidR="00FC66FA" w14:paraId="5701BD4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、“新材料项目投资建设项目”，年用电量983308.11千瓦时，年总用水量2054.67立方米，项目年综合总耗能量（当量值）121.03吨标准煤/年。达产年综合节能量36.15吨标准煤/年，项目总节能率25.88%，能源利用效果良好。</w:t>
      </w:r>
    </w:p>
    <w:p w:rsidR="00FC66FA" w14:paraId="78C7B332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FC66FA" w14:paraId="203273E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某经济示范区发展规划，符合某经济示范区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FC66FA" w14:paraId="4A95771A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FC66FA" w14:paraId="630708E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项目预计总投资2205.45万元，其中：固定资产投资1795.95万元，占项目总投资的81.43%；流动资金409.50万元，占项目总投资的18.57%。</w:t>
      </w:r>
    </w:p>
    <w:p w:rsidR="00FC66FA" w14:paraId="1FED1AFA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FC66FA" w14:paraId="66309DD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FC66FA" w14:paraId="72253E90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FC66FA" w14:paraId="19DE1041" w14:textId="00270A44">
      <w:pPr>
        <w:ind w:firstLine="600"/>
        <w:sectPr w:rsidSect="00A02F19">
          <w:headerReference w:type="default" r:id="rId11"/>
          <w:type w:val="nextPage"/>
          <w:pgSz w:w="12240" w:h="15840"/>
          <w:pgMar w:top="1800" w:right="1200" w:bottom="1200" w:left="12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7" o:spid="_x0000_s1031" type="#_x0000_t202" style="width:500pt;height:5pt;margin-top:787pt;margin-left:0;mso-wrap-style:square;position:absolute;visibility:hidden;z-index:251664384">
            <v:textbox>
              <w:txbxContent>
                <w:p w:rsidR="00FC66FA" w:rsidRPr="00FC66FA" w14:paraId="63CB9421" w14:textId="13FEA915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全文共7页，当前为第7页。</w:t>
                  </w:r>
                </w:p>
              </w:txbxContent>
            </v:textbox>
          </v:shape>
        </w:pict>
      </w:r>
    </w:p>
    <w:p w:rsidR="00FC66FA" w14:textId="00270A44">
      <w:pPr>
        <w:ind w:firstLine="600"/>
      </w:pPr>
      <w:r w:rsidR="00464E27">
        <w:rPr>
          <w:rFonts w:ascii="仿宋" w:eastAsia="仿宋" w:hAnsi="仿宋" w:cs="仿宋"/>
          <w:sz w:val="30"/>
          <w:szCs w:val="30"/>
        </w:rPr>
        <w:t>预期达产年营业收入3957.00万元，总成本费用3025.96万元，税金及附加43.61万元，利润总额931.04万元，利税总额1103.07万元，税后净利润698.28万元，达产年纳税总额404.79万元；达产年投资利润率42.22%，投资利税率50.02%，投资回报率31.66%，全部投资回收期4.66年，提供就业职位61个。</w:t>
      </w:r>
    </w:p>
    <w:p w:rsidR="00FC66FA" w14:paraId="77223D7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FC66FA" w14:paraId="779DE73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本期工程项目建设期限规划12个月。</w:t>
      </w:r>
    </w:p>
    <w:p w:rsidR="00FC66FA" w14:paraId="7FBCC85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项目承办单位组建一个投资控制小组，负责各期投资目标管理跟踪，各阶段实际投资与计划对比，进行投资计划调整，分析原因采取措施，确保该项目建设目标如期完成。</w:t>
      </w:r>
    </w:p>
    <w:p w:rsidR="00FC66FA" w14:paraId="085E2F23" w14:textId="77777777">
      <w:pPr>
        <w:ind w:firstLine="600"/>
      </w:pPr>
      <w:r>
        <w:rPr>
          <w:rFonts w:ascii="黑体" w:eastAsia="黑体" w:hAnsi="黑体" w:cs="黑体"/>
          <w:b/>
          <w:bCs/>
          <w:sz w:val="32"/>
          <w:szCs w:val="32"/>
        </w:rPr>
        <w:t>三、项目评价</w:t>
      </w:r>
    </w:p>
    <w:p w:rsidR="00FC66FA" w14:paraId="2043057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、本期工程项目符合国家产业发展政策和规划要求，符合某经济示范区及某经济示范区新材料行业布局和结构调整政策；项目的建设对促进某经济示范区新材料产业结构、技术结构、组织结构、产品结构的调整优化有着积极的推动意义。</w:t>
      </w:r>
    </w:p>
    <w:p w:rsidR="00FC66FA" w14:paraId="463679F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、xxx投资公司为适应国内外市场需求，拟建“新材料项目”，本期工程项目的建设能够有力促进某经济示范区经济发展，为社会提供就业职位61个，达产年纳税总额404.79万元，可以促进某经济示范区区域经济的繁荣发展和社会稳定，为地方财政收入做出积极的贡献。</w:t>
      </w:r>
    </w:p>
    <w:p w:rsidR="00FC66FA" w14:paraId="32F174E9" w14:textId="77777777">
      <w:pPr>
        <w:ind w:firstLine="600"/>
        <w:sectPr w:rsidSect="00A02F19">
          <w:headerReference w:type="default" r:id="rId12"/>
          <w:type w:val="nextPage"/>
          <w:pgSz w:w="12240" w:h="15840"/>
          <w:pgMar w:top="1800" w:right="1200" w:bottom="1200" w:left="12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仿宋" w:eastAsia="仿宋" w:hAnsi="仿宋" w:cs="仿宋"/>
          <w:sz w:val="30"/>
          <w:szCs w:val="30"/>
        </w:rPr>
        <w:t>3、项目达产年投资利润率42.22%，投资利税率50.02%，全部投资回报率31.66%，全部投资回收期4.66年，固定资产投资回收期4.66年（含建设期），项目具有较强的盈利能力和抗风险能力。</w:t>
      </w:r>
    </w:p>
    <w:p w:rsidR="00FC66FA" w14:paraId="741EDE5E" w14:textId="24004801">
      <w:pPr>
        <w:ind w:firstLine="600"/>
        <w:sectPr w:rsidSect="00A02F19">
          <w:headerReference w:type="default" r:id="rId13"/>
          <w:type w:val="nextPage"/>
          <w:pgSz w:w="12240" w:h="15840"/>
          <w:pgMar w:top="1800" w:right="1200" w:bottom="1200" w:left="12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8" o:spid="_x0000_s1032" type="#_x0000_t202" style="width:500pt;height:5pt;margin-top:787pt;margin-left:0;mso-wrap-style:square;position:absolute;visibility:hidden;z-index:251665408">
            <v:textbox>
              <w:txbxContent>
                <w:p w:rsidR="00FC66FA" w:rsidRPr="00FC66FA" w14:paraId="5D418A20" w14:textId="365CDFBE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全文共8页，当前为第8页。</w:t>
                  </w:r>
                </w:p>
              </w:txbxContent>
            </v:textbox>
          </v:shape>
        </w:pict>
      </w:r>
      <w:r w:rsidR="00464E27">
        <w:rPr>
          <w:rFonts w:ascii="仿宋" w:eastAsia="仿宋" w:hAnsi="仿宋" w:cs="仿宋"/>
          <w:sz w:val="30"/>
          <w:szCs w:val="30"/>
        </w:rPr>
        <w:t>民间投资是我国制造业发展的主要力量，约占制造业投资的85%以上，党中央、国务院一直高度重视民间投资的健康发展。为贯彻党的十九大精神，落实国务院对促进民间投资的一系列工作部署，工业和信息化部与发</w:t>
      </w:r>
    </w:p>
    <w:p w:rsidR="00FC66FA" w14:textId="24004801">
      <w:pPr>
        <w:ind w:firstLine="600"/>
      </w:pPr>
      <w:r w:rsidR="00464E27">
        <w:rPr>
          <w:rFonts w:ascii="仿宋" w:eastAsia="仿宋" w:hAnsi="仿宋" w:cs="仿宋"/>
          <w:sz w:val="30"/>
          <w:szCs w:val="30"/>
        </w:rPr>
        <w:t>展改革委、科技部、财政部等15个相关部门和单位联合印发了《关于发挥民间投资作用推进实施制造强国战略的指导意见》，围绕《中国制造2025》，明确了促进民营制造业企业健康发展的指导思想、主要任务和保障措施，旨在释放民间投资活力，引导民营制造业企业转型升级，加快制造强国建设。民间投资是我国制造业发展的主要力量，约占制造业投资的85%以上，党中央、国务院一直高度重视民间投资的健康发展。为贯彻党的十九大精神，落实国务院对促进民间投资的一系列工作部署，工业和信息化部与发展改革委、科技部、财政部等15个相关部门和单位联合印发了《关于发挥民间投资作用推进实施制造强国战略的指导意见》，围绕《中国制造2025》，明确了促进民营制造业企业健康发展的指导思想、主要任务和保障措施，旨在释放民间投资活力，引导民营制造业企业转型升级，加快制造强国建设。改革开放以来，我国非公有制经济发展迅速，在支撑增长、促进就业、扩大创新、增加税收，推动社会主义市场经济制度完善等方面发挥了重要作用，已成为我国经济社会发展的重要基础。但部分民营企业经营管理方式和发展模式粗放，管理方式、管理理念落后，风险防范机制不健全，先进管理模式和管理手段应用不够广泛，企业文化和社会责任缺乏，难以适应我国经济社会发展的新常态和新要求。公有制为主体、多种所有制经济共同发展,是我国的基本经济制度；毫不动摇巩固和发展公</w:t>
      </w:r>
      <w:r>
        <w:rPr>
          <w:rFonts w:ascii="仿宋" w:eastAsia="仿宋" w:hAnsi="仿宋" w:cs="仿宋"/>
          <w:noProof/>
          <w:sz w:val="30"/>
          <w:szCs w:val="30"/>
        </w:rPr>
        <w:pict>
          <v:shape id="PageShape9" o:spid="_x0000_s1033" type="#_x0000_t202" style="width:500pt;height:5pt;margin-top:787pt;margin-left:0;mso-wrap-style:square;position:absolute;visibility:hidden;z-index:251666432">
            <v:textbox>
              <w:txbxContent>
                <w:p w:rsidR="00FC66FA" w:rsidRPr="00FC66FA" w14:paraId="0C449B69" w14:textId="3F0AAFDC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全文共9页，当前为第9页。</w:t>
                  </w:r>
                </w:p>
              </w:txbxContent>
            </v:textbox>
          </v:shape>
        </w:pict>
      </w:r>
      <w:r w:rsidR="00464E27">
        <w:rPr>
          <w:rFonts w:ascii="仿宋" w:eastAsia="仿宋" w:hAnsi="仿宋" w:cs="仿宋"/>
          <w:sz w:val="30"/>
          <w:szCs w:val="30"/>
        </w:rPr>
        <w:t>有制经济，毫不动摇鼓励、支持和引导非公有制经济发展，是党和国家的</w:t>
      </w:r>
      <w:r w:rsidR="00464E27">
        <w:rPr>
          <w:rFonts w:ascii="仿宋" w:eastAsia="仿宋" w:hAnsi="仿宋" w:cs="仿宋"/>
          <w:sz w:val="30"/>
          <w:szCs w:val="30"/>
        </w:rPr>
        <w:t>大政方针。今天，我们对民营经济的包容与支持始终如一，人们在市场经济中创造未来的激情也澎湃如昨。</w:t>
      </w:r>
    </w:p>
    <w:p w:rsidR="00FC66FA" w14:paraId="5F45A02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立足我省省情，发挥制造业特色优势，集中力量化解过剩产能、发展新兴产业、改造传统动能，提高全要素生产率，推动制造业整体素质提升。</w:t>
      </w:r>
    </w:p>
    <w:p w:rsidR="00FC66FA" w14:paraId="0D1ECB12" w14:textId="77777777">
      <w:pPr>
        <w:ind w:firstLine="600"/>
      </w:pPr>
      <w:r>
        <w:rPr>
          <w:rFonts w:ascii="黑体" w:eastAsia="黑体" w:hAnsi="黑体" w:cs="黑体"/>
          <w:b/>
          <w:bCs/>
          <w:sz w:val="32"/>
          <w:szCs w:val="32"/>
        </w:rPr>
        <w:t>四、主要经济指标</w:t>
      </w:r>
      <w:r>
        <w:br/>
      </w:r>
    </w:p>
    <w:p w:rsidR="00FC66FA" w14:paraId="71613A84" w14:textId="180964EA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10" o:spid="_x0000_s1034" type="#_x0000_t202" style="width:500pt;height:5pt;margin-top:787pt;margin-left:0;mso-wrap-style:square;position:absolute;visibility:hidden;z-index:251667456">
            <v:textbox>
              <w:txbxContent>
                <w:p w:rsidR="00FC66FA" w:rsidRPr="00FC66FA" w14:paraId="5C662BD0" w14:textId="56ABB5C9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全文共10页，当前为第10页。</w:t>
                  </w:r>
                </w:p>
              </w:txbxContent>
            </v:textbox>
          </v:shape>
        </w:pict>
      </w:r>
      <w:r w:rsidR="00464E27"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1A5B2956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FC66FA" w:rsidRPr="00722E63" w14:paraId="3A0ED702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C66FA" w:rsidRPr="00722E63" w14:paraId="665B47B5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C66FA" w:rsidRPr="00722E63" w14:paraId="56DADEBE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C66FA" w:rsidRPr="00722E63" w14:paraId="259FFFC2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C66FA" w:rsidRPr="00722E63" w14:paraId="06237C10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1ADB34C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364D929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8FCCC1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52DB0F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4EBF40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7050.19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AFDEF8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10.57亩</w:t>
            </w:r>
          </w:p>
        </w:tc>
      </w:tr>
      <w:tr w14:paraId="012F6BC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6683D61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AB8DB2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0BBC30D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E36B4C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3C2BF3E" w14:textId="77777777"/>
        </w:tc>
      </w:tr>
      <w:tr w14:paraId="2331AE9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1346FC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540462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DCF494D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43BE0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54.20%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832E2C1" w14:textId="77777777"/>
        </w:tc>
      </w:tr>
      <w:tr w14:paraId="1432097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44048A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D41267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76CEDE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万元/亩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8EEC45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169.91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AEF94F3" w14:textId="77777777"/>
        </w:tc>
      </w:tr>
      <w:tr w14:paraId="1259B5F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EA1F63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670847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59677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88025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3821.20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7383519" w14:textId="77777777"/>
        </w:tc>
      </w:tr>
      <w:tr w14:paraId="7BCF3E7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16A6427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35157A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29C7BE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8495B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9658.76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13EA867" w14:textId="77777777"/>
        </w:tc>
      </w:tr>
      <w:tr w14:paraId="5DAA084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89BA31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5CD413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E4B9ED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61A73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553.67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FDB5DC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绿化率5.73%</w:t>
            </w:r>
          </w:p>
        </w:tc>
      </w:tr>
      <w:tr w14:paraId="366A27C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F0CED0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DEDFF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E7C637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501E62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2205.45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4E7A9CF" w14:textId="77777777"/>
        </w:tc>
      </w:tr>
      <w:tr w14:paraId="631ED2F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2185561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34369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C4443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1D8B6C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1795.95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1E7C288" w14:textId="77777777"/>
        </w:tc>
      </w:tr>
      <w:tr w14:paraId="250767E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3091474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068ED1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45CC4A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5F11C1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726.47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DCEE3D7" w14:textId="77777777"/>
        </w:tc>
      </w:tr>
      <w:tr w14:paraId="5FD4C38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2829D69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81B531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B4FCEE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FC178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32.94%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C3A3373" w14:textId="77777777"/>
        </w:tc>
      </w:tr>
      <w:tr w14:paraId="4BD0537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005D081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C0C97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A2D27B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1590C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821.49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053D99E" w14:textId="77777777"/>
        </w:tc>
      </w:tr>
    </w:tbl>
    <w:p>
      <w:pPr>
        <w:sectPr w:rsidSect="00A02F19">
          <w:headerReference w:type="default" r:id="rId14"/>
          <w:type w:val="nextPage"/>
          <w:pgSz w:w="12240" w:h="15840"/>
          <w:pgMar w:top="1800" w:right="1200" w:bottom="1200" w:left="1200" w:header="720" w:footer="720" w:gutter="0"/>
          <w:pgNumType w:start="10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255887E0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121F10F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CDA9C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9B50911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129B95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37.25%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8B79193" w14:textId="77777777"/>
        </w:tc>
      </w:tr>
      <w:tr w14:paraId="355D7F2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0615D3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240D8D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CCBD19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233DE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247.99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AFCF55B" w14:textId="77777777"/>
        </w:tc>
      </w:tr>
      <w:tr w14:paraId="36D7329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EE4900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1763C9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FFFB48A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FBDEE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11.24%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47CE7D9" w14:textId="77777777"/>
        </w:tc>
      </w:tr>
      <w:tr w14:paraId="25AF647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78BCC4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CDDFA9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AE38D95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6BB6A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81.43%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EEE43E4" w14:textId="77777777"/>
        </w:tc>
      </w:tr>
      <w:tr w14:paraId="78C0BE0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4ACD1A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4F42A5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60945A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CC260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409.50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7FBFA5E" w14:textId="77777777"/>
        </w:tc>
      </w:tr>
      <w:tr w14:paraId="0409992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15467F7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C93B9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A3BF2AA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8D94C9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18.57%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35BCE63" w14:textId="77777777"/>
        </w:tc>
      </w:tr>
      <w:tr w14:paraId="07B4716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7F44A02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6C0696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E989D0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FCC5A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3957.00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DC9F478" w14:textId="77777777"/>
        </w:tc>
      </w:tr>
      <w:tr w14:paraId="281BC38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306FD6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D9195B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529CD1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FAD16D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3025.96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E51EDC6" w14:textId="77777777"/>
        </w:tc>
      </w:tr>
      <w:tr w14:paraId="2177AB3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4C2A1DE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6C97E9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B0AE4C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BF7E31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931.04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FD09F30" w14:textId="77777777"/>
        </w:tc>
      </w:tr>
      <w:tr w14:paraId="051394E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06F007F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16F58C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7AE1C1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D788EF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698.28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511C086" w14:textId="77777777"/>
        </w:tc>
      </w:tr>
      <w:tr w14:paraId="61EE4E4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B43E23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64A4D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B9366D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0DD941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F86D035" w14:textId="77777777"/>
        </w:tc>
      </w:tr>
      <w:tr w14:paraId="11025CF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0E3DEF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91A0F6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7CE30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C23794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128.42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7F0192B" w14:textId="77777777"/>
        </w:tc>
      </w:tr>
      <w:tr w14:paraId="3E36564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22B4469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905F6A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4D4945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A4CFEC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43.61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6D68198" w14:textId="77777777"/>
        </w:tc>
      </w:tr>
      <w:tr w14:paraId="2B51F5B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45987BC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5D1F5B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2CC0E3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94A89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404.79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B76E592" w14:textId="77777777"/>
        </w:tc>
      </w:tr>
      <w:tr w14:paraId="086E31E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024B77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4330D3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58EA9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D0BB4B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1103.07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5214559" w14:textId="77777777"/>
        </w:tc>
      </w:tr>
      <w:tr w14:paraId="6ADE062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067CA10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63AD2B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9B2F818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1E4985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42.22%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9B549D3" w14:textId="77777777"/>
        </w:tc>
      </w:tr>
      <w:tr w14:paraId="6695EA3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62A00D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130964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001B653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4CBC5F2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50.02%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19B1C34" w14:textId="77777777"/>
        </w:tc>
      </w:tr>
      <w:tr w14:paraId="1F28D20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2046BBB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49C01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FEE5615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5694E0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31.66%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3E339AF" w14:textId="77777777"/>
        </w:tc>
      </w:tr>
      <w:tr w14:paraId="7E631EA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7C0D4B9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51B1C1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C120FB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BF1225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4.66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CBF350D" w14:textId="77777777"/>
        </w:tc>
      </w:tr>
      <w:tr w14:paraId="37D978B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3B9B819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7C6B1F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CA5B76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C79DB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9E601A1" w14:textId="77777777"/>
        </w:tc>
      </w:tr>
      <w:tr w14:paraId="73CB945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2CFA09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0F4B9D1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2D54AA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B9E9CD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983308.11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EF40E0A" w14:textId="77777777"/>
        </w:tc>
      </w:tr>
      <w:tr w14:paraId="7608A15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6406871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978CA0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9EB5E7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3594A32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2054.67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242C191" w14:textId="77777777"/>
        </w:tc>
      </w:tr>
      <w:tr w14:paraId="603B2B8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442202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7C909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675E72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43073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121.03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1CD68D3" w14:textId="77777777"/>
        </w:tc>
      </w:tr>
      <w:tr w14:paraId="00C9692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590117A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9F5646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61A3549" w14:textId="77777777"/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667B183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25.88%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1B5E03ED" w14:textId="77777777"/>
        </w:tc>
      </w:tr>
      <w:tr w14:paraId="6C148A7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49D4A12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D379C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97ADF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9ED0DE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36.15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63BB826" w14:textId="77777777"/>
        </w:tc>
      </w:tr>
      <w:tr w14:paraId="581677B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FC66FA" w:rsidRPr="00722E63" w14:paraId="6B107FB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2FFBDB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581EA8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2B3A6E9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FC66FA" w:rsidRPr="00722E63" w14:paraId="7BB133A0" w14:textId="77777777"/>
        </w:tc>
      </w:tr>
    </w:tbl>
    <w:p>
      <w:pPr>
        <w:sectPr w:rsidSect="00A02F19">
          <w:headerReference w:type="default" r:id="rId15"/>
          <w:type w:val="nextPage"/>
          <w:pgSz w:w="12240" w:h="15840"/>
          <w:pgMar w:top="1800" w:right="1200" w:bottom="1200" w:left="1200" w:header="720" w:footer="720" w:gutter="0"/>
          <w:pgNumType w:start="11"/>
          <w:cols w:space="720"/>
          <w:titlePg w:val="0"/>
          <w:docGrid w:linePitch="360"/>
        </w:sectPr>
      </w:pPr>
    </w:p>
    <w:p w:rsidR="00FC66FA" w14:paraId="70FC55D0" w14:textId="77777777">
      <w:pPr>
        <w:jc w:val="center"/>
      </w:pPr>
      <w:r>
        <w:rPr>
          <w:rFonts w:ascii="黑体" w:eastAsia="黑体" w:hAnsi="黑体" w:cs="黑体"/>
          <w:b/>
          <w:bCs/>
          <w:sz w:val="32"/>
          <w:szCs w:val="32"/>
        </w:rPr>
        <w:t xml:space="preserve"> </w:t>
      </w:r>
      <w:r>
        <w:br/>
      </w:r>
    </w:p>
    <w:p w:rsidR="00FC66FA" w14:paraId="1B7509B2" w14:textId="77777777">
      <w:pPr>
        <w:jc w:val="center"/>
      </w:pPr>
      <w:r>
        <w:rPr>
          <w:rFonts w:ascii="黑体" w:eastAsia="黑体" w:hAnsi="黑体" w:cs="黑体"/>
          <w:b/>
          <w:bCs/>
          <w:sz w:val="32"/>
          <w:szCs w:val="32"/>
        </w:rPr>
        <w:t>第二章  项目投资单位</w:t>
      </w:r>
      <w:r>
        <w:br/>
      </w:r>
    </w:p>
    <w:p w:rsidR="00FC66FA" w14:paraId="7401B253" w14:textId="1469B717">
      <w:pPr>
        <w:ind w:firstLine="600"/>
      </w:pPr>
      <w:r>
        <w:rPr>
          <w:rFonts w:ascii="黑体" w:eastAsia="黑体" w:hAnsi="黑体" w:cs="黑体"/>
          <w:b/>
          <w:bCs/>
          <w:noProof/>
          <w:sz w:val="32"/>
          <w:szCs w:val="32"/>
        </w:rPr>
        <w:pict>
          <v:shape id="PageShape11" o:spid="_x0000_s1035" type="#_x0000_t202" style="width:500pt;height:5pt;margin-top:787pt;margin-left:0;mso-wrap-style:square;position:absolute;visibility:hidden;z-index:251668480">
            <v:textbox>
              <w:txbxContent>
                <w:p w:rsidR="00FC66FA" w:rsidRPr="00FC66FA" w14:paraId="5BBE2565" w14:textId="28AD6EBB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全文共11页，当前为第11页。</w:t>
                  </w:r>
                </w:p>
              </w:txbxContent>
            </v:textbox>
          </v:shape>
        </w:pict>
      </w:r>
      <w:r w:rsidR="00464E27">
        <w:rPr>
          <w:rFonts w:ascii="黑体" w:eastAsia="黑体" w:hAnsi="黑体" w:cs="黑体"/>
          <w:b/>
          <w:bCs/>
          <w:sz w:val="32"/>
          <w:szCs w:val="32"/>
        </w:rPr>
        <w:t>一、项目承办单位基本情况</w:t>
      </w:r>
    </w:p>
    <w:p w:rsidR="00FC66FA" w14:paraId="002310F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FC66FA" w14:paraId="5C4F970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xxx集团</w:t>
      </w:r>
    </w:p>
    <w:p w:rsidR="00FC66FA" w14:paraId="746278BB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FC66FA" w14:paraId="00BE903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公司一直秉承“坚持原创，追求领先”的经营理念，不断创造令客户惊喜的产品和服务。本公司秉承“顾客至上，锐意进取”的经营理念，坚持“客户第一”的原则为广大客户提供优质的服务。公司坚持“责任+爱心”的服务理念，将诚信经营、诚信服务作为企业立世之本，在服务社会、方便大众中赢得信誉、赢得市场。“满足社会和业主的需要，是我们不懈的追求”的企业观念，面对经济发展步入快车道的良好机遇，正以高昂的热情投身于建设宏伟大业。公司将“以运营服务业带动制造业，以制造业支持运营服务业”经营模式，树立起双向融合的新格局，全面系统化扩展经营领域。公司为以适应本土化需求为导向，高度整合全球供应链。</w:t>
      </w:r>
    </w:p>
    <w:p w:rsidR="00FC66FA" w14:paraId="29AECE85" w14:textId="207DCA03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12" o:spid="_x0000_s1036" type="#_x0000_t202" style="width:500pt;height:5pt;margin-top:787pt;margin-left:0;mso-wrap-style:square;position:absolute;visibility:hidden;z-index:251669504">
            <v:textbox>
              <w:txbxContent>
                <w:p w:rsidR="00FC66FA" w:rsidRPr="00FC66FA" w14:paraId="3C09E8A2" w14:textId="632E6A7D">
                  <w:pPr>
                    <w:rPr>
                      <w:rFonts w:ascii="黑体" w:eastAsia="黑体"/>
                      <w:sz w:val="24"/>
                    </w:rPr>
                  </w:pPr>
                  <w:r w:rsidRPr="00FC66FA">
                    <w:rPr>
                      <w:rFonts w:ascii="黑体" w:eastAsia="黑体" w:hint="eastAsia"/>
                      <w:sz w:val="24"/>
                    </w:rPr>
                    <w:t>新材料项目可行性分析报告 全文共12页，当前为第12页。</w:t>
                  </w:r>
                  <w:r w:rsidRPr="00FC66FA">
                    <w:rPr>
                      <w:rFonts w:ascii="黑体" w:eastAsia="黑体"/>
                      <w:sz w:val="24"/>
                    </w:rPr>
                    <w:br/>
                  </w:r>
                  <w:r w:rsidRPr="00FC66FA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spacing w:line="240" w:lineRule="auto"/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16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sz w:val="30"/>
                        <w:szCs w:val="30"/>
                        <w:u w:val="single" w:color="0000EE"/>
                      </w:rPr>
                      <w:t>https://d.book118.com/295313103323011040</w:t>
                    </w:r>
                  </w:hyperlink>
                </w:p>
                <w:p w:rsidR="00FC66FA" w:rsidRPr="00FC66FA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</w:p>
    <w:sectPr w:rsidSect="00A02F19">
      <w:headerReference w:type="default" r:id="rId17"/>
      <w:type w:val="nextPage"/>
      <w:pgSz w:w="12240" w:h="15840"/>
      <w:pgMar w:top="1800" w:right="1200" w:bottom="1200" w:left="12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paraId="6228C467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66FA" w:rsidP="00FC66FA" w14:textId="131A04F8">
    <w:pPr>
      <w:jc w:val="center"/>
    </w:pPr>
    <w:r>
      <w:rPr>
        <w:rFonts w:ascii="仿宋" w:eastAsia="仿宋" w:hAnsi="仿宋" w:cs="仿宋" w:hint="eastAsia"/>
        <w:sz w:val="20"/>
        <w:szCs w:val="20"/>
      </w:rPr>
      <w:t>新材料项目可行性分析报告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813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2735E3"/>
    <w:rsid w:val="00464E27"/>
    <w:rsid w:val="00722E63"/>
    <w:rsid w:val="00A02F19"/>
    <w:rsid w:val="00A94AF2"/>
    <w:rsid w:val="00FC66FA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1F7B87"/>
  <w15:docId w15:val="{F4B658E3-504E-4609-B7FF-BB4B1C49F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FC66F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66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66F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6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yperlink" Target="https://d.book118.com/295313103323011040" TargetMode="External" /><Relationship Id="rId17" Type="http://schemas.openxmlformats.org/officeDocument/2006/relationships/header" Target="head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1.png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19696</Words>
  <Characters>21075</Characters>
  <Application>Microsoft Office Word</Application>
  <DocSecurity>0</DocSecurity>
  <Lines>1170</Lines>
  <Paragraphs>970</Paragraphs>
  <ScaleCrop>false</ScaleCrop>
  <Company>officegen</Company>
  <LinksUpToDate>false</LinksUpToDate>
  <CharactersWithSpaces>39801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2024-01-05T09:20:00Z</dcterms:created>
  <dcterms:modified xsi:type="dcterms:W3CDTF">2024-01-05T09:20:00Z</dcterms:modified>
</cp:coreProperties>
</file>