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BodyText"/>
        <w:rPr>
          <w:rFonts w:ascii="Times New Roman"/>
          <w:sz w:val="20"/>
        </w:rPr>
      </w:pPr>
    </w:p>
    <w:p>
      <w:pPr>
        <w:pStyle w:val="BodyText"/>
        <w:rPr>
          <w:rFonts w:ascii="Times New Roman"/>
          <w:sz w:val="20"/>
        </w:rPr>
      </w:pPr>
    </w:p>
    <w:p>
      <w:pPr>
        <w:pStyle w:val="BodyText"/>
        <w:spacing w:before="3"/>
        <w:rPr>
          <w:rFonts w:ascii="Times New Roman"/>
          <w:sz w:val="18"/>
        </w:rPr>
      </w:pPr>
    </w:p>
    <w:p>
      <w:pPr>
        <w:spacing w:before="0" w:line="702" w:lineRule="exact"/>
        <w:ind w:left="217" w:right="95" w:firstLine="0"/>
        <w:jc w:val="center"/>
        <w:rPr>
          <w:rFonts w:ascii="Microsoft JhengHei" w:eastAsia="Microsoft JhengHei"/>
          <w:b/>
          <w:sz w:val="44"/>
        </w:rPr>
      </w:pPr>
      <w:r>
        <w:rPr>
          <w:rFonts w:ascii="Microsoft JhengHei" w:eastAsia="Microsoft JhengHei"/>
          <w:b/>
          <w:spacing w:val="-2"/>
          <w:sz w:val="44"/>
        </w:rPr>
        <w:t>综合治理工程施工</w:t>
      </w:r>
    </w:p>
    <w:p>
      <w:pPr>
        <w:pStyle w:val="BodyText"/>
        <w:rPr>
          <w:rFonts w:ascii="Microsoft JhengHei"/>
          <w:b/>
          <w:sz w:val="44"/>
        </w:rPr>
      </w:pPr>
    </w:p>
    <w:p>
      <w:pPr>
        <w:pStyle w:val="BodyText"/>
        <w:spacing w:before="17"/>
        <w:rPr>
          <w:rFonts w:ascii="Microsoft JhengHei"/>
          <w:b/>
          <w:sz w:val="49"/>
        </w:rPr>
      </w:pPr>
    </w:p>
    <w:p>
      <w:pPr>
        <w:pStyle w:val="Title"/>
      </w:pPr>
      <w:r>
        <w:rPr>
          <w:spacing w:val="-1"/>
        </w:rPr>
        <w:t>外墙翻新专项施工方案</w:t>
      </w:r>
    </w:p>
    <w:p>
      <w:pPr>
        <w:pStyle w:val="BodyText"/>
        <w:rPr>
          <w:rFonts w:ascii="Microsoft JhengHei"/>
          <w:b/>
          <w:sz w:val="56"/>
        </w:rPr>
      </w:pPr>
    </w:p>
    <w:p>
      <w:pPr>
        <w:pStyle w:val="BodyText"/>
        <w:rPr>
          <w:rFonts w:ascii="Microsoft JhengHei"/>
          <w:b/>
          <w:sz w:val="56"/>
        </w:rPr>
      </w:pPr>
    </w:p>
    <w:p>
      <w:pPr>
        <w:pStyle w:val="BodyText"/>
        <w:rPr>
          <w:rFonts w:ascii="Microsoft JhengHei"/>
          <w:b/>
          <w:sz w:val="56"/>
        </w:rPr>
      </w:pPr>
    </w:p>
    <w:p>
      <w:pPr>
        <w:pStyle w:val="BodyText"/>
        <w:rPr>
          <w:rFonts w:ascii="Microsoft JhengHei"/>
          <w:b/>
          <w:sz w:val="56"/>
        </w:rPr>
      </w:pPr>
    </w:p>
    <w:p>
      <w:pPr>
        <w:pStyle w:val="BodyText"/>
        <w:spacing w:before="10"/>
        <w:rPr>
          <w:rFonts w:ascii="Microsoft JhengHei"/>
          <w:b/>
          <w:sz w:val="48"/>
        </w:rPr>
      </w:pPr>
    </w:p>
    <w:p>
      <w:pPr>
        <w:pStyle w:val="Heading2"/>
        <w:ind w:left="137" w:right="95"/>
        <w:jc w:val="center"/>
      </w:pPr>
      <w:r>
        <w:rPr>
          <w:rFonts w:ascii="Times New Roman" w:eastAsia="Times New Roman"/>
        </w:rPr>
        <w:t>X</w:t>
      </w:r>
      <w:r>
        <w:rPr>
          <w:rFonts w:ascii="Times New Roman" w:eastAsia="Times New Roman"/>
          <w:spacing w:val="2"/>
        </w:rPr>
        <w:t xml:space="preserve"> </w:t>
      </w:r>
      <w:r>
        <w:rPr>
          <w:spacing w:val="-3"/>
        </w:rPr>
        <w:t>有限公司</w:t>
      </w:r>
    </w:p>
    <w:p>
      <w:pPr>
        <w:spacing w:after="0"/>
        <w:jc w:val="center"/>
        <w:sectPr>
          <w:headerReference w:type="default" r:id="rId4"/>
          <w:footerReference w:type="default" r:id="rId5"/>
          <w:type w:val="continuous"/>
          <w:pgSz w:w="11910" w:h="16840"/>
          <w:pgMar w:top="1180" w:right="640" w:bottom="1580" w:left="1020" w:header="996" w:footer="1381"/>
          <w:pgNumType w:start="1"/>
          <w:cols w:space="708"/>
        </w:sectPr>
      </w:pPr>
    </w:p>
    <w:p>
      <w:pPr>
        <w:spacing w:before="16"/>
        <w:ind w:left="0" w:right="95" w:firstLine="0"/>
        <w:jc w:val="center"/>
        <w:rPr>
          <w:rFonts w:ascii="Microsoft JhengHei" w:eastAsia="Microsoft JhengHei"/>
          <w:b/>
          <w:sz w:val="36"/>
        </w:rPr>
      </w:pPr>
      <w:r>
        <w:rPr>
          <w:rFonts w:ascii="Microsoft JhengHei" w:eastAsia="Microsoft JhengHei"/>
          <w:b/>
          <w:spacing w:val="-5"/>
          <w:sz w:val="36"/>
        </w:rPr>
        <w:t>目录</w:t>
      </w:r>
    </w:p>
    <w:sdt>
      <w:sdtPr>
        <w:id w:val="1854587363"/>
        <w:docPartObj>
          <w:docPartGallery w:val="Table of Contents"/>
          <w:docPartUnique/>
        </w:docPartObj>
      </w:sdtPr>
      <w:sdtContent>
        <w:p>
          <w:pPr>
            <w:pStyle w:val="TOC1"/>
            <w:tabs>
              <w:tab w:val="left" w:leader="dot" w:pos="9213"/>
            </w:tabs>
            <w:spacing w:before="39"/>
            <w:rPr>
              <w:rFonts w:ascii="Times New Roman" w:eastAsia="Times New Roman"/>
            </w:rPr>
          </w:pPr>
          <w:hyperlink w:anchor="_bookmark0" w:history="1">
            <w:r>
              <w:t>第</w:t>
            </w:r>
            <w:r>
              <w:t>一</w:t>
            </w:r>
            <w:r>
              <w:t>章</w:t>
            </w:r>
            <w:r>
              <w:rPr>
                <w:spacing w:val="46"/>
                <w:w w:val="150"/>
              </w:rPr>
              <w:t xml:space="preserve"> </w:t>
            </w:r>
            <w:r>
              <w:t>编</w:t>
            </w:r>
            <w:r>
              <w:t>辑</w:t>
            </w:r>
            <w:r>
              <w:t>说</w:t>
            </w:r>
            <w:r>
              <w:t>明</w:t>
            </w:r>
            <w:r>
              <w:t>及</w:t>
            </w:r>
            <w:r>
              <w:t>编</w:t>
            </w:r>
            <w:r>
              <w:t>辑</w:t>
            </w:r>
            <w:r>
              <w:t>依</w:t>
            </w:r>
            <w:r>
              <w:rPr>
                <w:spacing w:val="-10"/>
              </w:rPr>
              <w:t>据</w:t>
            </w:r>
          </w:hyperlink>
          <w:r>
            <w:rPr>
              <w:rFonts w:ascii="Times New Roman" w:eastAsia="Times New Roman"/>
              <w:b w:val="0"/>
            </w:rPr>
            <w:tab/>
          </w:r>
          <w:hyperlink w:anchor="_bookmark0" w:history="1">
            <w:r>
              <w:rPr>
                <w:rFonts w:ascii="Times New Roman" w:eastAsia="Times New Roman"/>
                <w:spacing w:val="-10"/>
              </w:rPr>
              <w:t>3</w:t>
            </w:r>
          </w:hyperlink>
        </w:p>
        <w:p>
          <w:pPr>
            <w:pStyle w:val="TOC2"/>
            <w:tabs>
              <w:tab w:val="left" w:leader="dot" w:pos="9611"/>
            </w:tabs>
            <w:spacing w:before="201"/>
            <w:rPr>
              <w:rFonts w:ascii="Times New Roman" w:eastAsia="Times New Roman"/>
            </w:rPr>
          </w:pPr>
          <w:hyperlink w:anchor="_bookmark1" w:history="1">
            <w:r>
              <w:t>第一节 编制说</w:t>
            </w:r>
            <w:r>
              <w:rPr>
                <w:spacing w:val="-10"/>
              </w:rPr>
              <w:t>明</w:t>
            </w:r>
          </w:hyperlink>
          <w:r>
            <w:rPr>
              <w:rFonts w:ascii="Times New Roman" w:eastAsia="Times New Roman"/>
            </w:rPr>
            <w:tab/>
          </w:r>
          <w:hyperlink w:anchor="_bookmark1" w:history="1">
            <w:r>
              <w:rPr>
                <w:rFonts w:ascii="Times New Roman" w:eastAsia="Times New Roman"/>
                <w:spacing w:val="-10"/>
              </w:rPr>
              <w:t>3</w:t>
            </w:r>
          </w:hyperlink>
        </w:p>
        <w:p>
          <w:pPr>
            <w:pStyle w:val="TOC2"/>
            <w:tabs>
              <w:tab w:val="left" w:leader="dot" w:pos="9611"/>
            </w:tabs>
            <w:rPr>
              <w:rFonts w:ascii="Times New Roman" w:eastAsia="Times New Roman"/>
            </w:rPr>
          </w:pPr>
          <w:hyperlink w:anchor="_bookmark2" w:history="1">
            <w:r>
              <w:t>第二节 编制依</w:t>
            </w:r>
            <w:r>
              <w:rPr>
                <w:spacing w:val="-10"/>
              </w:rPr>
              <w:t>据</w:t>
            </w:r>
          </w:hyperlink>
          <w:r>
            <w:rPr>
              <w:rFonts w:ascii="Times New Roman" w:eastAsia="Times New Roman"/>
            </w:rPr>
            <w:tab/>
          </w:r>
          <w:hyperlink w:anchor="_bookmark2" w:history="1">
            <w:r>
              <w:rPr>
                <w:rFonts w:ascii="Times New Roman" w:eastAsia="Times New Roman"/>
                <w:spacing w:val="-10"/>
              </w:rPr>
              <w:t>3</w:t>
            </w:r>
          </w:hyperlink>
        </w:p>
        <w:p>
          <w:pPr>
            <w:pStyle w:val="TOC1"/>
            <w:tabs>
              <w:tab w:val="left" w:leader="dot" w:pos="9213"/>
            </w:tabs>
            <w:rPr>
              <w:rFonts w:ascii="Times New Roman" w:eastAsia="Times New Roman"/>
            </w:rPr>
          </w:pPr>
          <w:hyperlink w:anchor="_bookmark3" w:history="1">
            <w:r>
              <w:t>第</w:t>
            </w:r>
            <w:r>
              <w:t>二</w:t>
            </w:r>
            <w:r>
              <w:t>章</w:t>
            </w:r>
            <w:r>
              <w:rPr>
                <w:spacing w:val="76"/>
              </w:rPr>
              <w:t xml:space="preserve"> </w:t>
            </w:r>
            <w:r>
              <w:t>工</w:t>
            </w:r>
            <w:r>
              <w:t>程</w:t>
            </w:r>
            <w:r>
              <w:t>概</w:t>
            </w:r>
            <w:r>
              <w:rPr>
                <w:spacing w:val="-10"/>
              </w:rPr>
              <w:t>况</w:t>
            </w:r>
          </w:hyperlink>
          <w:r>
            <w:rPr>
              <w:rFonts w:ascii="Times New Roman" w:eastAsia="Times New Roman"/>
              <w:b w:val="0"/>
            </w:rPr>
            <w:tab/>
          </w:r>
          <w:hyperlink w:anchor="_bookmark3" w:history="1">
            <w:r>
              <w:rPr>
                <w:rFonts w:ascii="Times New Roman" w:eastAsia="Times New Roman"/>
                <w:spacing w:val="-10"/>
              </w:rPr>
              <w:t>3</w:t>
            </w:r>
          </w:hyperlink>
        </w:p>
        <w:p>
          <w:pPr>
            <w:pStyle w:val="TOC2"/>
            <w:tabs>
              <w:tab w:val="left" w:leader="dot" w:pos="9611"/>
            </w:tabs>
            <w:spacing w:before="202"/>
            <w:rPr>
              <w:rFonts w:ascii="Times New Roman" w:eastAsia="Times New Roman"/>
            </w:rPr>
          </w:pPr>
          <w:hyperlink w:anchor="_bookmark4" w:history="1">
            <w:r>
              <w:t>第一节 基本信</w:t>
            </w:r>
            <w:r>
              <w:rPr>
                <w:spacing w:val="-10"/>
              </w:rPr>
              <w:t>息</w:t>
            </w:r>
          </w:hyperlink>
          <w:r>
            <w:rPr>
              <w:rFonts w:ascii="Times New Roman" w:eastAsia="Times New Roman"/>
            </w:rPr>
            <w:tab/>
          </w:r>
          <w:hyperlink w:anchor="_bookmark4" w:history="1">
            <w:r>
              <w:rPr>
                <w:rFonts w:ascii="Times New Roman" w:eastAsia="Times New Roman"/>
                <w:spacing w:val="-10"/>
              </w:rPr>
              <w:t>3</w:t>
            </w:r>
          </w:hyperlink>
        </w:p>
        <w:p>
          <w:pPr>
            <w:pStyle w:val="TOC2"/>
            <w:tabs>
              <w:tab w:val="left" w:leader="dot" w:pos="9611"/>
            </w:tabs>
            <w:rPr>
              <w:rFonts w:ascii="Times New Roman" w:eastAsia="Times New Roman"/>
            </w:rPr>
          </w:pPr>
          <w:hyperlink w:anchor="_TOC_250013" w:history="1">
            <w:r>
              <w:t>第二节 本工程重大危险源概</w:t>
            </w:r>
            <w:r>
              <w:rPr>
                <w:spacing w:val="-10"/>
              </w:rPr>
              <w:t>况</w:t>
            </w:r>
            <w:r>
              <w:rPr>
                <w:rFonts w:ascii="Times New Roman" w:eastAsia="Times New Roman"/>
              </w:rPr>
              <w:tab/>
            </w:r>
            <w:r>
              <w:rPr>
                <w:rFonts w:ascii="Times New Roman" w:eastAsia="Times New Roman"/>
                <w:spacing w:val="-10"/>
              </w:rPr>
              <w:t>4</w:t>
            </w:r>
          </w:hyperlink>
        </w:p>
        <w:p>
          <w:pPr>
            <w:pStyle w:val="TOC2"/>
            <w:tabs>
              <w:tab w:val="left" w:leader="dot" w:pos="9611"/>
            </w:tabs>
            <w:rPr>
              <w:rFonts w:ascii="Times New Roman" w:eastAsia="Times New Roman"/>
            </w:rPr>
          </w:pPr>
          <w:hyperlink w:anchor="_TOC_250012" w:history="1">
            <w:r>
              <w:t>第三节 参建单位信</w:t>
            </w:r>
            <w:r>
              <w:rPr>
                <w:spacing w:val="-10"/>
              </w:rPr>
              <w:t>息</w:t>
            </w:r>
            <w:r>
              <w:rPr>
                <w:rFonts w:ascii="Times New Roman" w:eastAsia="Times New Roman"/>
              </w:rPr>
              <w:tab/>
            </w:r>
            <w:r>
              <w:rPr>
                <w:rFonts w:ascii="Times New Roman" w:eastAsia="Times New Roman"/>
                <w:spacing w:val="-10"/>
              </w:rPr>
              <w:t>4</w:t>
            </w:r>
          </w:hyperlink>
        </w:p>
        <w:p>
          <w:pPr>
            <w:pStyle w:val="TOC1"/>
            <w:tabs>
              <w:tab w:val="left" w:leader="dot" w:pos="9213"/>
            </w:tabs>
            <w:rPr>
              <w:rFonts w:ascii="Times New Roman" w:eastAsia="Times New Roman"/>
            </w:rPr>
          </w:pPr>
          <w:hyperlink w:anchor="_TOC_250011" w:history="1">
            <w:r>
              <w:t>第</w:t>
            </w:r>
            <w:r>
              <w:t>三</w:t>
            </w:r>
            <w:r>
              <w:t>章</w:t>
            </w:r>
            <w:r>
              <w:rPr>
                <w:spacing w:val="76"/>
              </w:rPr>
              <w:t xml:space="preserve"> </w:t>
            </w:r>
            <w:r>
              <w:t>施</w:t>
            </w:r>
            <w:r>
              <w:t>工</w:t>
            </w:r>
            <w:r>
              <w:t>安</w:t>
            </w:r>
            <w:r>
              <w:rPr>
                <w:spacing w:val="-10"/>
              </w:rPr>
              <w:t>排</w:t>
            </w:r>
            <w:r>
              <w:rPr>
                <w:rFonts w:ascii="Times New Roman" w:eastAsia="Times New Roman"/>
                <w:b w:val="0"/>
              </w:rPr>
              <w:tab/>
            </w:r>
            <w:r>
              <w:rPr>
                <w:rFonts w:ascii="Times New Roman" w:eastAsia="Times New Roman"/>
                <w:spacing w:val="-10"/>
              </w:rPr>
              <w:t>5</w:t>
            </w:r>
          </w:hyperlink>
        </w:p>
        <w:p>
          <w:pPr>
            <w:pStyle w:val="TOC2"/>
            <w:tabs>
              <w:tab w:val="left" w:leader="dot" w:pos="9611"/>
            </w:tabs>
            <w:spacing w:before="202"/>
            <w:rPr>
              <w:rFonts w:ascii="Times New Roman" w:eastAsia="Times New Roman"/>
            </w:rPr>
          </w:pPr>
          <w:hyperlink w:anchor="_TOC_250010" w:history="1">
            <w:r>
              <w:t>第一节 施工目</w:t>
            </w:r>
            <w:r>
              <w:rPr>
                <w:spacing w:val="-10"/>
              </w:rPr>
              <w:t>标</w:t>
            </w:r>
            <w:r>
              <w:rPr>
                <w:rFonts w:ascii="Times New Roman" w:eastAsia="Times New Roman"/>
              </w:rPr>
              <w:tab/>
            </w:r>
            <w:r>
              <w:rPr>
                <w:rFonts w:ascii="Times New Roman" w:eastAsia="Times New Roman"/>
                <w:spacing w:val="-10"/>
              </w:rPr>
              <w:t>5</w:t>
            </w:r>
          </w:hyperlink>
        </w:p>
        <w:p>
          <w:pPr>
            <w:pStyle w:val="TOC2"/>
            <w:tabs>
              <w:tab w:val="left" w:leader="dot" w:pos="9611"/>
            </w:tabs>
            <w:rPr>
              <w:rFonts w:ascii="Times New Roman" w:eastAsia="Times New Roman"/>
            </w:rPr>
          </w:pPr>
          <w:hyperlink w:anchor="_TOC_250009" w:history="1">
            <w:r>
              <w:t>第二节 本工程重点、难</w:t>
            </w:r>
            <w:r>
              <w:rPr>
                <w:spacing w:val="-10"/>
              </w:rPr>
              <w:t>点</w:t>
            </w:r>
            <w:r>
              <w:rPr>
                <w:rFonts w:ascii="Times New Roman" w:eastAsia="Times New Roman"/>
              </w:rPr>
              <w:tab/>
            </w:r>
            <w:r>
              <w:rPr>
                <w:rFonts w:ascii="Times New Roman" w:eastAsia="Times New Roman"/>
                <w:spacing w:val="-10"/>
              </w:rPr>
              <w:t>5</w:t>
            </w:r>
          </w:hyperlink>
        </w:p>
        <w:p>
          <w:pPr>
            <w:pStyle w:val="TOC2"/>
            <w:tabs>
              <w:tab w:val="left" w:leader="dot" w:pos="9611"/>
            </w:tabs>
            <w:rPr>
              <w:rFonts w:ascii="Times New Roman" w:eastAsia="Times New Roman"/>
            </w:rPr>
          </w:pPr>
          <w:hyperlink w:anchor="_TOC_250008" w:history="1">
            <w:r>
              <w:t>第三节 施工顺序及流水段安</w:t>
            </w:r>
            <w:r>
              <w:rPr>
                <w:spacing w:val="-10"/>
              </w:rPr>
              <w:t>排</w:t>
            </w:r>
            <w:r>
              <w:rPr>
                <w:rFonts w:ascii="Times New Roman" w:eastAsia="Times New Roman"/>
              </w:rPr>
              <w:tab/>
            </w:r>
            <w:r>
              <w:rPr>
                <w:rFonts w:ascii="Times New Roman" w:eastAsia="Times New Roman"/>
                <w:spacing w:val="-10"/>
              </w:rPr>
              <w:t>6</w:t>
            </w:r>
          </w:hyperlink>
        </w:p>
        <w:p>
          <w:pPr>
            <w:pStyle w:val="TOC2"/>
            <w:tabs>
              <w:tab w:val="left" w:leader="dot" w:pos="9611"/>
            </w:tabs>
            <w:rPr>
              <w:rFonts w:ascii="Times New Roman" w:eastAsia="Times New Roman"/>
            </w:rPr>
          </w:pPr>
          <w:hyperlink w:anchor="_TOC_250007" w:history="1">
            <w:r>
              <w:t>第四节 组织管理机构及岗位职</w:t>
            </w:r>
            <w:r>
              <w:rPr>
                <w:spacing w:val="-10"/>
              </w:rPr>
              <w:t>责</w:t>
            </w:r>
            <w:r>
              <w:rPr>
                <w:rFonts w:ascii="Times New Roman" w:eastAsia="Times New Roman"/>
              </w:rPr>
              <w:tab/>
            </w:r>
            <w:r>
              <w:rPr>
                <w:rFonts w:ascii="Times New Roman" w:eastAsia="Times New Roman"/>
                <w:spacing w:val="-10"/>
              </w:rPr>
              <w:t>8</w:t>
            </w:r>
          </w:hyperlink>
        </w:p>
        <w:p>
          <w:pPr>
            <w:pStyle w:val="TOC1"/>
            <w:tabs>
              <w:tab w:val="left" w:leader="dot" w:pos="9073"/>
            </w:tabs>
            <w:rPr>
              <w:rFonts w:ascii="Times New Roman" w:eastAsia="Times New Roman"/>
            </w:rPr>
          </w:pPr>
          <w:hyperlink w:anchor="_TOC_250006" w:history="1">
            <w:r>
              <w:t>第</w:t>
            </w:r>
            <w:r>
              <w:t>四</w:t>
            </w:r>
            <w:r>
              <w:t>章</w:t>
            </w:r>
            <w:r>
              <w:rPr>
                <w:spacing w:val="76"/>
              </w:rPr>
              <w:t xml:space="preserve"> </w:t>
            </w:r>
            <w:r>
              <w:t>施</w:t>
            </w:r>
            <w:r>
              <w:t>工</w:t>
            </w:r>
            <w:r>
              <w:t>进</w:t>
            </w:r>
            <w:r>
              <w:t>度</w:t>
            </w:r>
            <w:r>
              <w:t>计</w:t>
            </w:r>
            <w:r>
              <w:rPr>
                <w:spacing w:val="-10"/>
              </w:rPr>
              <w:t>划</w:t>
            </w:r>
            <w:r>
              <w:rPr>
                <w:rFonts w:ascii="Times New Roman" w:eastAsia="Times New Roman"/>
                <w:b w:val="0"/>
              </w:rPr>
              <w:tab/>
            </w:r>
            <w:r>
              <w:rPr>
                <w:rFonts w:ascii="Times New Roman" w:eastAsia="Times New Roman"/>
                <w:spacing w:val="-5"/>
              </w:rPr>
              <w:t>10</w:t>
            </w:r>
          </w:hyperlink>
        </w:p>
        <w:p>
          <w:pPr>
            <w:pStyle w:val="TOC1"/>
            <w:tabs>
              <w:tab w:val="left" w:leader="dot" w:pos="9073"/>
            </w:tabs>
            <w:spacing w:before="109"/>
            <w:rPr>
              <w:rFonts w:ascii="Times New Roman" w:eastAsia="Times New Roman"/>
            </w:rPr>
          </w:pPr>
          <w:hyperlink w:anchor="_TOC_250005" w:history="1">
            <w:r>
              <w:t>第</w:t>
            </w:r>
            <w:r>
              <w:t>五</w:t>
            </w:r>
            <w:r>
              <w:t>章</w:t>
            </w:r>
            <w:r>
              <w:rPr>
                <w:spacing w:val="46"/>
                <w:w w:val="150"/>
              </w:rPr>
              <w:t xml:space="preserve"> </w:t>
            </w:r>
            <w:r>
              <w:t>施</w:t>
            </w:r>
            <w:r>
              <w:t>工</w:t>
            </w:r>
            <w:r>
              <w:t>方</w:t>
            </w:r>
            <w:r>
              <w:t>法</w:t>
            </w:r>
            <w:r>
              <w:t>及</w:t>
            </w:r>
            <w:r>
              <w:t>工</w:t>
            </w:r>
            <w:r>
              <w:t>艺</w:t>
            </w:r>
            <w:r>
              <w:t>技</w:t>
            </w:r>
            <w:r>
              <w:rPr>
                <w:spacing w:val="-10"/>
              </w:rPr>
              <w:t>术</w:t>
            </w:r>
            <w:r>
              <w:rPr>
                <w:rFonts w:ascii="Times New Roman" w:eastAsia="Times New Roman"/>
                <w:b w:val="0"/>
              </w:rPr>
              <w:tab/>
            </w:r>
            <w:r>
              <w:rPr>
                <w:rFonts w:ascii="Times New Roman" w:eastAsia="Times New Roman"/>
                <w:spacing w:val="-5"/>
              </w:rPr>
              <w:t>11</w:t>
            </w:r>
          </w:hyperlink>
        </w:p>
        <w:p>
          <w:pPr>
            <w:pStyle w:val="TOC2"/>
            <w:tabs>
              <w:tab w:val="left" w:leader="dot" w:pos="9471"/>
            </w:tabs>
            <w:spacing w:before="202"/>
            <w:rPr>
              <w:rFonts w:ascii="Times New Roman" w:eastAsia="Times New Roman"/>
            </w:rPr>
          </w:pPr>
          <w:r>
            <w:t>第一节 外墙翻新的操作工</w:t>
          </w:r>
          <w:r>
            <w:rPr>
              <w:spacing w:val="-10"/>
            </w:rPr>
            <w:t>艺</w:t>
          </w:r>
          <w:r>
            <w:rPr>
              <w:rFonts w:ascii="Times New Roman" w:eastAsia="Times New Roman"/>
            </w:rPr>
            <w:tab/>
          </w:r>
          <w:r>
            <w:rPr>
              <w:rFonts w:ascii="Times New Roman" w:eastAsia="Times New Roman"/>
              <w:spacing w:val="-5"/>
            </w:rPr>
            <w:t>11</w:t>
          </w:r>
        </w:p>
        <w:p>
          <w:pPr>
            <w:pStyle w:val="TOC2"/>
            <w:tabs>
              <w:tab w:val="left" w:leader="dot" w:pos="9471"/>
            </w:tabs>
            <w:rPr>
              <w:rFonts w:ascii="Times New Roman" w:eastAsia="Times New Roman"/>
            </w:rPr>
          </w:pPr>
          <w:hyperlink w:anchor="_TOC_250004" w:history="1">
            <w:r>
              <w:t>第二节 外墙翻新的施工质量标准及注意事</w:t>
            </w:r>
            <w:r>
              <w:rPr>
                <w:spacing w:val="-10"/>
              </w:rPr>
              <w:t>项</w:t>
            </w:r>
            <w:r>
              <w:rPr>
                <w:rFonts w:ascii="Times New Roman" w:eastAsia="Times New Roman"/>
              </w:rPr>
              <w:tab/>
            </w:r>
            <w:r>
              <w:rPr>
                <w:rFonts w:ascii="Times New Roman" w:eastAsia="Times New Roman"/>
                <w:spacing w:val="-5"/>
              </w:rPr>
              <w:t>15</w:t>
            </w:r>
          </w:hyperlink>
        </w:p>
        <w:p>
          <w:pPr>
            <w:pStyle w:val="TOC1"/>
            <w:tabs>
              <w:tab w:val="left" w:pos="1124"/>
              <w:tab w:val="left" w:leader="dot" w:pos="9073"/>
            </w:tabs>
            <w:rPr>
              <w:rFonts w:ascii="Times New Roman" w:eastAsia="Times New Roman"/>
            </w:rPr>
          </w:pPr>
          <w:hyperlink w:anchor="_TOC_250003" w:history="1">
            <w:r>
              <w:t>第</w:t>
            </w:r>
            <w:r>
              <w:t>六</w:t>
            </w:r>
            <w:r>
              <w:rPr>
                <w:spacing w:val="-10"/>
              </w:rPr>
              <w:t>章</w:t>
            </w:r>
            <w:r>
              <w:tab/>
              <w:t>主</w:t>
            </w:r>
            <w:r>
              <w:t>要</w:t>
            </w:r>
            <w:r>
              <w:t>施</w:t>
            </w:r>
            <w:r>
              <w:t>工</w:t>
            </w:r>
            <w:r>
              <w:t>保</w:t>
            </w:r>
            <w:r>
              <w:t>证</w:t>
            </w:r>
            <w:r>
              <w:t>措</w:t>
            </w:r>
            <w:r>
              <w:rPr>
                <w:spacing w:val="-10"/>
              </w:rPr>
              <w:t>施</w:t>
            </w:r>
            <w:r>
              <w:rPr>
                <w:rFonts w:ascii="Times New Roman" w:eastAsia="Times New Roman"/>
                <w:b w:val="0"/>
              </w:rPr>
              <w:tab/>
            </w:r>
            <w:r>
              <w:rPr>
                <w:rFonts w:ascii="Times New Roman" w:eastAsia="Times New Roman"/>
                <w:spacing w:val="-5"/>
              </w:rPr>
              <w:t>24</w:t>
            </w:r>
          </w:hyperlink>
        </w:p>
        <w:p>
          <w:pPr>
            <w:pStyle w:val="TOC2"/>
            <w:tabs>
              <w:tab w:val="left" w:leader="dot" w:pos="9471"/>
            </w:tabs>
            <w:spacing w:before="202"/>
            <w:rPr>
              <w:rFonts w:ascii="Times New Roman" w:eastAsia="Times New Roman"/>
            </w:rPr>
          </w:pPr>
          <w:hyperlink w:anchor="_TOC_250002" w:history="1">
            <w:r>
              <w:t>第一节 质量保障措</w:t>
            </w:r>
            <w:r>
              <w:rPr>
                <w:spacing w:val="-10"/>
              </w:rPr>
              <w:t>施</w:t>
            </w:r>
            <w:r>
              <w:rPr>
                <w:rFonts w:ascii="Times New Roman" w:eastAsia="Times New Roman"/>
              </w:rPr>
              <w:tab/>
            </w:r>
            <w:r>
              <w:rPr>
                <w:rFonts w:ascii="Times New Roman" w:eastAsia="Times New Roman"/>
                <w:spacing w:val="-5"/>
              </w:rPr>
              <w:t>24</w:t>
            </w:r>
          </w:hyperlink>
        </w:p>
        <w:p>
          <w:pPr>
            <w:pStyle w:val="TOC2"/>
            <w:tabs>
              <w:tab w:val="left" w:leader="dot" w:pos="9471"/>
            </w:tabs>
            <w:rPr>
              <w:rFonts w:ascii="Times New Roman" w:eastAsia="Times New Roman"/>
            </w:rPr>
          </w:pPr>
          <w:hyperlink w:anchor="_TOC_250001" w:history="1">
            <w:r>
              <w:t>第二节 安全生产保证措</w:t>
            </w:r>
            <w:r>
              <w:rPr>
                <w:spacing w:val="-10"/>
              </w:rPr>
              <w:t>施</w:t>
            </w:r>
            <w:r>
              <w:rPr>
                <w:rFonts w:ascii="Times New Roman" w:eastAsia="Times New Roman"/>
              </w:rPr>
              <w:tab/>
            </w:r>
            <w:r>
              <w:rPr>
                <w:rFonts w:ascii="Times New Roman" w:eastAsia="Times New Roman"/>
                <w:spacing w:val="-5"/>
              </w:rPr>
              <w:t>25</w:t>
            </w:r>
          </w:hyperlink>
        </w:p>
        <w:p>
          <w:pPr>
            <w:pStyle w:val="TOC2"/>
            <w:tabs>
              <w:tab w:val="left" w:leader="dot" w:pos="9471"/>
            </w:tabs>
            <w:rPr>
              <w:rFonts w:ascii="Times New Roman" w:eastAsia="Times New Roman"/>
            </w:rPr>
          </w:pPr>
          <w:hyperlink w:anchor="_TOC_250000" w:history="1">
            <w:r>
              <w:t>第三节 文明施工及环保保证措</w:t>
            </w:r>
            <w:r>
              <w:rPr>
                <w:spacing w:val="-10"/>
              </w:rPr>
              <w:t>施</w:t>
            </w:r>
            <w:r>
              <w:rPr>
                <w:rFonts w:ascii="Times New Roman" w:eastAsia="Times New Roman"/>
              </w:rPr>
              <w:tab/>
            </w:r>
            <w:r>
              <w:rPr>
                <w:rFonts w:ascii="Times New Roman" w:eastAsia="Times New Roman"/>
                <w:spacing w:val="-5"/>
              </w:rPr>
              <w:t>29</w:t>
            </w:r>
          </w:hyperlink>
        </w:p>
      </w:sdtContent>
    </w:sdt>
    <w:p>
      <w:pPr>
        <w:spacing w:after="0"/>
        <w:rPr>
          <w:rFonts w:ascii="Times New Roman" w:eastAsia="Times New Roman"/>
        </w:rPr>
        <w:sectPr>
          <w:headerReference w:type="default" r:id="rId6"/>
          <w:footerReference w:type="default" r:id="rId7"/>
          <w:pgSz w:w="11910" w:h="16840"/>
          <w:pgMar w:top="1180" w:right="640" w:bottom="1600" w:left="1020" w:header="996" w:footer="1381"/>
          <w:pgNumType w:start="2"/>
          <w:cols w:space="708"/>
        </w:sectPr>
      </w:pPr>
    </w:p>
    <w:p>
      <w:pPr>
        <w:pStyle w:val="Heading1"/>
        <w:tabs>
          <w:tab w:val="left" w:pos="1582"/>
        </w:tabs>
        <w:spacing w:before="54"/>
        <w:ind w:firstLine="0"/>
      </w:pPr>
      <w:bookmarkStart w:id="0" w:name="_bookmark0"/>
      <w:bookmarkEnd w:id="0"/>
      <w:r>
        <w:t>第</w:t>
      </w:r>
      <w:r>
        <w:t>一</w:t>
      </w:r>
      <w:r>
        <w:rPr>
          <w:spacing w:val="-10"/>
        </w:rPr>
        <w:t>章</w:t>
      </w:r>
      <w:r>
        <w:tab/>
        <w:t>编</w:t>
      </w:r>
      <w:r>
        <w:t>辑</w:t>
      </w:r>
      <w:r>
        <w:t>说</w:t>
      </w:r>
      <w:r>
        <w:t>明</w:t>
      </w:r>
      <w:r>
        <w:t>及</w:t>
      </w:r>
      <w:r>
        <w:t>编</w:t>
      </w:r>
      <w:r>
        <w:t>辑</w:t>
      </w:r>
      <w:r>
        <w:t>依</w:t>
      </w:r>
      <w:r>
        <w:rPr>
          <w:spacing w:val="-10"/>
        </w:rPr>
        <w:t>据</w:t>
      </w:r>
    </w:p>
    <w:p>
      <w:pPr>
        <w:pStyle w:val="Heading2"/>
        <w:spacing w:before="134"/>
        <w:ind w:left="3811"/>
      </w:pPr>
      <w:bookmarkStart w:id="1" w:name="_bookmark1"/>
      <w:bookmarkEnd w:id="1"/>
      <w:r>
        <w:rPr>
          <w:spacing w:val="7"/>
        </w:rPr>
        <w:t>第一节 编制说明</w:t>
      </w:r>
    </w:p>
    <w:p>
      <w:pPr>
        <w:pStyle w:val="BodyText"/>
        <w:spacing w:before="202" w:line="417" w:lineRule="auto"/>
        <w:ind w:left="398" w:right="492" w:firstLine="560"/>
        <w:jc w:val="both"/>
      </w:pPr>
      <w:r>
        <w:rPr>
          <w:spacing w:val="-2"/>
        </w:rPr>
        <w:t xml:space="preserve">本外墙翻新专项方案针对 综合治理工程施工总承包 </w:t>
      </w:r>
      <w:r>
        <w:rPr>
          <w:rFonts w:ascii="Times New Roman" w:eastAsia="Times New Roman"/>
        </w:rPr>
        <w:t xml:space="preserve">III </w:t>
      </w:r>
      <w:r>
        <w:t>标段工程编制，</w:t>
      </w:r>
      <w:r>
        <w:rPr>
          <w:spacing w:val="-2"/>
        </w:rPr>
        <w:t>依据工程现场实际情况，并按照本项目建设工程施工合同要求，以及国家现</w:t>
      </w:r>
      <w:r>
        <w:rPr>
          <w:spacing w:val="-2"/>
        </w:rPr>
        <w:t>行的有关法律法规、标准规范、规程等相关规定进行编制，经提交本公司主</w:t>
      </w:r>
      <w:r>
        <w:rPr>
          <w:spacing w:val="-2"/>
        </w:rPr>
        <w:t>管部门审核及公司技术负责人审批，报送监理及建设方审批，通过之后再由</w:t>
      </w:r>
      <w:r>
        <w:rPr>
          <w:spacing w:val="-2"/>
        </w:rPr>
        <w:t>项目部组织实施。</w:t>
      </w:r>
    </w:p>
    <w:p>
      <w:pPr>
        <w:pStyle w:val="Heading2"/>
        <w:spacing w:line="421" w:lineRule="exact"/>
        <w:ind w:left="3811"/>
      </w:pPr>
      <w:bookmarkStart w:id="2" w:name="_bookmark2"/>
      <w:bookmarkEnd w:id="2"/>
      <w:r>
        <w:rPr>
          <w:spacing w:val="7"/>
        </w:rPr>
        <w:t>第二节 编制依据</w:t>
      </w:r>
    </w:p>
    <w:p>
      <w:pPr>
        <w:pStyle w:val="BodyText"/>
        <w:spacing w:before="201"/>
        <w:ind w:left="1298"/>
      </w:pPr>
      <w:r>
        <w:rPr>
          <w:rFonts w:ascii="Times New Roman" w:eastAsia="Times New Roman"/>
        </w:rPr>
        <w:t>1</w:t>
      </w:r>
      <w:r>
        <w:t>、</w:t>
      </w:r>
      <w:r>
        <w:rPr>
          <w:spacing w:val="89"/>
          <w:w w:val="150"/>
        </w:rPr>
        <w:t xml:space="preserve"> </w:t>
      </w:r>
      <w:r>
        <w:rPr>
          <w:spacing w:val="-3"/>
        </w:rPr>
        <w:t>设计文件</w:t>
      </w:r>
    </w:p>
    <w:p>
      <w:pPr>
        <w:pStyle w:val="BodyText"/>
        <w:spacing w:before="266"/>
        <w:ind w:left="1298"/>
      </w:pPr>
      <w:r>
        <w:rPr>
          <w:rFonts w:ascii="Times New Roman" w:eastAsia="Times New Roman"/>
        </w:rPr>
        <w:t>2</w:t>
      </w:r>
      <w:r>
        <w:t>、</w:t>
      </w:r>
      <w:r>
        <w:rPr>
          <w:spacing w:val="89"/>
          <w:w w:val="150"/>
        </w:rPr>
        <w:t xml:space="preserve"> </w:t>
      </w:r>
      <w:r>
        <w:rPr>
          <w:spacing w:val="-9"/>
        </w:rPr>
        <w:t>《建筑工程施工质量验收统一标准》</w:t>
      </w:r>
      <w:r>
        <w:rPr>
          <w:spacing w:val="7"/>
        </w:rPr>
        <w:t>（</w:t>
      </w:r>
      <w:r>
        <w:rPr>
          <w:rFonts w:ascii="Times New Roman" w:eastAsia="Times New Roman"/>
          <w:spacing w:val="7"/>
        </w:rPr>
        <w:t>GB50300</w:t>
      </w:r>
      <w:r>
        <w:rPr>
          <w:spacing w:val="7"/>
        </w:rPr>
        <w:t>－</w:t>
      </w:r>
      <w:r>
        <w:rPr>
          <w:rFonts w:ascii="Times New Roman" w:eastAsia="Times New Roman"/>
          <w:spacing w:val="7"/>
        </w:rPr>
        <w:t>2013</w:t>
      </w:r>
      <w:r>
        <w:rPr>
          <w:spacing w:val="-133"/>
        </w:rPr>
        <w:t>）</w:t>
      </w:r>
      <w:r>
        <w:rPr>
          <w:spacing w:val="7"/>
        </w:rPr>
        <w:t>；</w:t>
      </w:r>
    </w:p>
    <w:p>
      <w:pPr>
        <w:pStyle w:val="BodyText"/>
        <w:spacing w:before="265"/>
        <w:ind w:left="1298"/>
      </w:pPr>
      <w:r>
        <w:rPr>
          <w:rFonts w:ascii="Times New Roman" w:eastAsia="Times New Roman"/>
        </w:rPr>
        <w:t>3</w:t>
      </w:r>
      <w:r>
        <w:rPr>
          <w:spacing w:val="-3"/>
        </w:rPr>
        <w:t>、 《建筑装饰装修工程质量验收规范》</w:t>
      </w:r>
      <w:r>
        <w:t>（</w:t>
      </w:r>
      <w:r>
        <w:rPr>
          <w:rFonts w:ascii="Times New Roman" w:eastAsia="Times New Roman"/>
        </w:rPr>
        <w:t>GB50210-</w:t>
      </w:r>
      <w:r>
        <w:rPr>
          <w:rFonts w:ascii="Times New Roman" w:eastAsia="Times New Roman"/>
          <w:spacing w:val="-2"/>
        </w:rPr>
        <w:t>2018</w:t>
      </w:r>
      <w:r>
        <w:rPr>
          <w:spacing w:val="-2"/>
        </w:rPr>
        <w:t>）</w:t>
      </w:r>
    </w:p>
    <w:p>
      <w:pPr>
        <w:pStyle w:val="BodyText"/>
        <w:spacing w:before="265"/>
        <w:ind w:left="1298"/>
        <w:rPr>
          <w:rFonts w:ascii="Times New Roman" w:eastAsia="Times New Roman"/>
        </w:rPr>
      </w:pPr>
      <w:r>
        <w:rPr>
          <w:rFonts w:ascii="Times New Roman" w:eastAsia="Times New Roman"/>
        </w:rPr>
        <w:t>4</w:t>
      </w:r>
      <w:r>
        <w:rPr>
          <w:spacing w:val="5"/>
        </w:rPr>
        <w:t>、 《建筑涂饰工程施工及验收规程》</w:t>
      </w:r>
      <w:r>
        <w:rPr>
          <w:rFonts w:ascii="Times New Roman" w:eastAsia="Times New Roman"/>
        </w:rPr>
        <w:t>(JGJ/T29-</w:t>
      </w:r>
      <w:r>
        <w:rPr>
          <w:rFonts w:ascii="Times New Roman" w:eastAsia="Times New Roman"/>
          <w:spacing w:val="-2"/>
        </w:rPr>
        <w:t>2015)</w:t>
      </w:r>
    </w:p>
    <w:p>
      <w:pPr>
        <w:pStyle w:val="BodyText"/>
        <w:spacing w:before="265"/>
        <w:ind w:left="1298"/>
      </w:pPr>
      <w:r>
        <w:rPr>
          <w:rFonts w:ascii="Times New Roman" w:eastAsia="Times New Roman"/>
        </w:rPr>
        <w:t>5</w:t>
      </w:r>
      <w:r>
        <w:rPr>
          <w:spacing w:val="-3"/>
        </w:rPr>
        <w:t>、 《施工现场临时用电安全技术规范》</w:t>
      </w:r>
      <w:r>
        <w:t>（</w:t>
      </w:r>
      <w:r>
        <w:rPr>
          <w:rFonts w:ascii="Times New Roman" w:eastAsia="Times New Roman"/>
        </w:rPr>
        <w:t>JGJ46-</w:t>
      </w:r>
      <w:r>
        <w:rPr>
          <w:rFonts w:ascii="Times New Roman" w:eastAsia="Times New Roman"/>
          <w:spacing w:val="-2"/>
        </w:rPr>
        <w:t>2005</w:t>
      </w:r>
      <w:r>
        <w:rPr>
          <w:spacing w:val="-2"/>
        </w:rPr>
        <w:t>）</w:t>
      </w:r>
    </w:p>
    <w:p>
      <w:pPr>
        <w:pStyle w:val="BodyText"/>
        <w:spacing w:before="266"/>
        <w:ind w:left="1298"/>
      </w:pPr>
      <w:r>
        <w:rPr>
          <w:rFonts w:ascii="Times New Roman" w:eastAsia="Times New Roman"/>
        </w:rPr>
        <w:t>6</w:t>
      </w:r>
      <w:r>
        <w:rPr>
          <w:spacing w:val="-1"/>
        </w:rPr>
        <w:t>、 《建筑施工安全检查标准》</w:t>
      </w:r>
      <w:r>
        <w:rPr>
          <w:spacing w:val="-2"/>
        </w:rPr>
        <w:t>（</w:t>
      </w:r>
      <w:r>
        <w:rPr>
          <w:rFonts w:ascii="Times New Roman" w:eastAsia="Times New Roman"/>
          <w:spacing w:val="-2"/>
        </w:rPr>
        <w:t>JGJ59</w:t>
      </w:r>
      <w:r>
        <w:rPr>
          <w:spacing w:val="-2"/>
        </w:rPr>
        <w:t>－</w:t>
      </w:r>
      <w:r>
        <w:rPr>
          <w:rFonts w:ascii="Times New Roman" w:eastAsia="Times New Roman"/>
          <w:spacing w:val="-2"/>
        </w:rPr>
        <w:t>2011</w:t>
      </w:r>
      <w:r>
        <w:rPr>
          <w:spacing w:val="-2"/>
        </w:rPr>
        <w:t>）</w:t>
      </w:r>
    </w:p>
    <w:p>
      <w:pPr>
        <w:pStyle w:val="BodyText"/>
        <w:spacing w:before="265"/>
        <w:ind w:left="1298"/>
      </w:pPr>
      <w:r>
        <w:rPr>
          <w:rFonts w:ascii="Times New Roman" w:eastAsia="Times New Roman"/>
        </w:rPr>
        <w:t>7</w:t>
      </w:r>
      <w:r>
        <w:rPr>
          <w:spacing w:val="-3"/>
        </w:rPr>
        <w:t>、 《建筑施工高空作业安全技术规范》</w:t>
      </w:r>
      <w:r>
        <w:t>（</w:t>
      </w:r>
      <w:r>
        <w:rPr>
          <w:rFonts w:ascii="Times New Roman" w:eastAsia="Times New Roman"/>
        </w:rPr>
        <w:t>JGJ80-</w:t>
      </w:r>
      <w:r>
        <w:rPr>
          <w:rFonts w:ascii="Times New Roman" w:eastAsia="Times New Roman"/>
          <w:spacing w:val="-2"/>
        </w:rPr>
        <w:t>2016</w:t>
      </w:r>
      <w:r>
        <w:rPr>
          <w:spacing w:val="-2"/>
        </w:rPr>
        <w:t>）</w:t>
      </w:r>
    </w:p>
    <w:p>
      <w:pPr>
        <w:pStyle w:val="BodyText"/>
        <w:spacing w:before="265"/>
        <w:ind w:left="1298"/>
      </w:pPr>
      <w:r>
        <w:rPr>
          <w:rFonts w:ascii="Times New Roman" w:eastAsia="Times New Roman"/>
        </w:rPr>
        <w:t>8</w:t>
      </w:r>
      <w:r>
        <w:rPr>
          <w:spacing w:val="-3"/>
        </w:rPr>
        <w:t>、 《建筑幕墙工程技术规范》</w:t>
      </w:r>
      <w:r>
        <w:t>（</w:t>
      </w:r>
      <w:r>
        <w:rPr>
          <w:rFonts w:ascii="Times New Roman" w:eastAsia="Times New Roman"/>
        </w:rPr>
        <w:t>DGJ08-56-</w:t>
      </w:r>
      <w:r>
        <w:rPr>
          <w:rFonts w:ascii="Times New Roman" w:eastAsia="Times New Roman"/>
          <w:spacing w:val="-2"/>
        </w:rPr>
        <w:t>2012</w:t>
      </w:r>
      <w:r>
        <w:rPr>
          <w:spacing w:val="-2"/>
        </w:rPr>
        <w:t>）</w:t>
      </w:r>
    </w:p>
    <w:p>
      <w:pPr>
        <w:pStyle w:val="BodyText"/>
        <w:spacing w:before="265"/>
        <w:ind w:left="1298"/>
      </w:pPr>
      <w:r>
        <w:rPr>
          <w:rFonts w:ascii="Times New Roman" w:eastAsia="Times New Roman"/>
        </w:rPr>
        <w:t>9</w:t>
      </w:r>
      <w:r>
        <w:rPr>
          <w:spacing w:val="-2"/>
        </w:rPr>
        <w:t>、 《钢结构工程施工及验收规范》</w:t>
      </w:r>
      <w:r>
        <w:t>（</w:t>
      </w:r>
      <w:r>
        <w:rPr>
          <w:rFonts w:ascii="Times New Roman" w:eastAsia="Times New Roman"/>
        </w:rPr>
        <w:t>GB50205-</w:t>
      </w:r>
      <w:r>
        <w:rPr>
          <w:rFonts w:ascii="Times New Roman" w:eastAsia="Times New Roman"/>
          <w:spacing w:val="-2"/>
        </w:rPr>
        <w:t>2017</w:t>
      </w:r>
      <w:r>
        <w:rPr>
          <w:spacing w:val="-2"/>
        </w:rPr>
        <w:t>）</w:t>
      </w:r>
    </w:p>
    <w:p>
      <w:pPr>
        <w:pStyle w:val="BodyText"/>
        <w:spacing w:before="266"/>
        <w:ind w:left="1298"/>
      </w:pPr>
      <w:r>
        <w:rPr>
          <w:rFonts w:ascii="Times New Roman" w:eastAsia="Times New Roman"/>
        </w:rPr>
        <w:t>10</w:t>
      </w:r>
      <w:r>
        <w:rPr>
          <w:spacing w:val="-1"/>
        </w:rPr>
        <w:t>、 合同文件、招标文件</w:t>
      </w:r>
    </w:p>
    <w:p>
      <w:pPr>
        <w:pStyle w:val="BodyText"/>
        <w:spacing w:before="265"/>
        <w:ind w:left="1298"/>
      </w:pPr>
      <w:r>
        <w:rPr>
          <w:rFonts w:ascii="Times New Roman" w:eastAsia="Times New Roman"/>
        </w:rPr>
        <w:t>11</w:t>
      </w:r>
      <w:r>
        <w:t>、 建筑施工手册（第五版</w:t>
      </w:r>
      <w:r>
        <w:rPr>
          <w:spacing w:val="-10"/>
        </w:rPr>
        <w:t>）</w:t>
      </w:r>
    </w:p>
    <w:p>
      <w:pPr>
        <w:pStyle w:val="BodyText"/>
        <w:spacing w:before="2"/>
        <w:rPr>
          <w:sz w:val="29"/>
        </w:rPr>
      </w:pPr>
    </w:p>
    <w:p>
      <w:pPr>
        <w:pStyle w:val="Heading1"/>
        <w:tabs>
          <w:tab w:val="left" w:pos="1582"/>
        </w:tabs>
        <w:spacing w:before="1"/>
        <w:ind w:firstLine="0"/>
      </w:pPr>
      <w:bookmarkStart w:id="3" w:name="_bookmark3"/>
      <w:bookmarkEnd w:id="3"/>
      <w:r>
        <w:t>第</w:t>
      </w:r>
      <w:r>
        <w:t>二</w:t>
      </w:r>
      <w:r>
        <w:rPr>
          <w:spacing w:val="-10"/>
        </w:rPr>
        <w:t>章</w:t>
      </w:r>
      <w:r>
        <w:tab/>
        <w:t>工</w:t>
      </w:r>
      <w:r>
        <w:t>程</w:t>
      </w:r>
      <w:r>
        <w:t>概</w:t>
      </w:r>
      <w:r>
        <w:rPr>
          <w:spacing w:val="-10"/>
        </w:rPr>
        <w:t>况</w:t>
      </w:r>
    </w:p>
    <w:p>
      <w:pPr>
        <w:pStyle w:val="Heading2"/>
        <w:tabs>
          <w:tab w:val="left" w:pos="5144"/>
        </w:tabs>
        <w:spacing w:before="134"/>
        <w:ind w:left="3881"/>
      </w:pPr>
      <w:bookmarkStart w:id="4" w:name="_bookmark4"/>
      <w:bookmarkEnd w:id="4"/>
      <w:r>
        <w:t>第</w:t>
      </w:r>
      <w:r>
        <w:t>一</w:t>
      </w:r>
      <w:r>
        <w:rPr>
          <w:spacing w:val="-10"/>
        </w:rPr>
        <w:t>节</w:t>
      </w:r>
      <w:r>
        <w:tab/>
        <w:t>基</w:t>
      </w:r>
      <w:r>
        <w:t>本</w:t>
      </w:r>
      <w:r>
        <w:t>信</w:t>
      </w:r>
      <w:r>
        <w:rPr>
          <w:spacing w:val="-10"/>
        </w:rPr>
        <w:t>息</w:t>
      </w:r>
    </w:p>
    <w:p>
      <w:pPr>
        <w:pStyle w:val="BodyText"/>
        <w:spacing w:before="201"/>
        <w:ind w:left="558" w:right="95"/>
        <w:jc w:val="center"/>
      </w:pPr>
      <w:r>
        <w:rPr>
          <w:spacing w:val="-1"/>
        </w:rPr>
        <w:t>本方案主要针对的施工内容为村内居民楼的外立面改造。经过初步现场</w:t>
      </w:r>
    </w:p>
    <w:p>
      <w:pPr>
        <w:spacing w:after="0"/>
        <w:jc w:val="center"/>
        <w:sectPr>
          <w:headerReference w:type="default" r:id="rId8"/>
          <w:footerReference w:type="default" r:id="rId9"/>
          <w:pgSz w:w="11910" w:h="16840"/>
          <w:pgMar w:top="1180" w:right="640" w:bottom="1580" w:left="1020" w:header="996" w:footer="1381"/>
          <w:pgNumType w:start="3"/>
          <w:cols w:space="708"/>
        </w:sectPr>
      </w:pPr>
    </w:p>
    <w:p>
      <w:pPr>
        <w:pStyle w:val="BodyText"/>
        <w:rPr>
          <w:sz w:val="9"/>
        </w:rPr>
      </w:pPr>
    </w:p>
    <w:p>
      <w:pPr>
        <w:pStyle w:val="BodyText"/>
        <w:spacing w:before="70" w:line="417" w:lineRule="auto"/>
        <w:ind w:left="398" w:right="492"/>
        <w:jc w:val="both"/>
      </w:pPr>
      <w:r>
        <w:rPr>
          <w:spacing w:val="-6"/>
        </w:rPr>
        <w:t xml:space="preserve">勘查，需要对其改造的村民楼约 </w:t>
      </w:r>
      <w:r>
        <w:rPr>
          <w:rFonts w:ascii="Times New Roman" w:eastAsia="Times New Roman"/>
          <w:spacing w:val="-4"/>
        </w:rPr>
        <w:t>400</w:t>
      </w:r>
      <w:r>
        <w:rPr>
          <w:rFonts w:ascii="Times New Roman" w:eastAsia="Times New Roman"/>
          <w:spacing w:val="-14"/>
        </w:rPr>
        <w:t xml:space="preserve"> </w:t>
      </w:r>
      <w:r>
        <w:rPr>
          <w:spacing w:val="-10"/>
        </w:rPr>
        <w:t xml:space="preserve">栋。其中 </w:t>
      </w:r>
      <w:r>
        <w:rPr>
          <w:rFonts w:ascii="Times New Roman" w:eastAsia="Times New Roman"/>
          <w:spacing w:val="-4"/>
        </w:rPr>
        <w:t>7</w:t>
      </w:r>
      <w:r>
        <w:rPr>
          <w:rFonts w:ascii="Times New Roman" w:eastAsia="Times New Roman"/>
          <w:spacing w:val="-13"/>
        </w:rPr>
        <w:t xml:space="preserve"> </w:t>
      </w:r>
      <w:r>
        <w:rPr>
          <w:spacing w:val="-8"/>
        </w:rPr>
        <w:t xml:space="preserve">层以上的楼房共 </w:t>
      </w:r>
      <w:r>
        <w:rPr>
          <w:rFonts w:ascii="Times New Roman" w:eastAsia="Times New Roman"/>
          <w:spacing w:val="-4"/>
        </w:rPr>
        <w:t>51</w:t>
      </w:r>
      <w:r>
        <w:rPr>
          <w:rFonts w:ascii="Times New Roman" w:eastAsia="Times New Roman"/>
          <w:spacing w:val="-11"/>
        </w:rPr>
        <w:t xml:space="preserve"> </w:t>
      </w:r>
      <w:r>
        <w:rPr>
          <w:spacing w:val="-4"/>
        </w:rPr>
        <w:t>栋（最高</w:t>
      </w:r>
      <w:r>
        <w:rPr>
          <w:spacing w:val="-13"/>
        </w:rPr>
        <w:t xml:space="preserve">只有 </w:t>
      </w:r>
      <w:r>
        <w:rPr>
          <w:rFonts w:ascii="Times New Roman" w:eastAsia="Times New Roman"/>
          <w:spacing w:val="-2"/>
        </w:rPr>
        <w:t>7</w:t>
      </w:r>
      <w:r>
        <w:rPr>
          <w:rFonts w:ascii="Times New Roman" w:eastAsia="Times New Roman"/>
          <w:spacing w:val="-16"/>
        </w:rPr>
        <w:t xml:space="preserve"> </w:t>
      </w:r>
      <w:r>
        <w:rPr>
          <w:spacing w:val="-2"/>
        </w:rPr>
        <w:t>层</w:t>
      </w:r>
      <w:r>
        <w:rPr>
          <w:spacing w:val="-140"/>
        </w:rPr>
        <w:t>）</w:t>
      </w:r>
      <w:r>
        <w:rPr>
          <w:spacing w:val="-6"/>
        </w:rPr>
        <w:t xml:space="preserve">。平均每层楼房高度 </w:t>
      </w:r>
      <w:r>
        <w:rPr>
          <w:rFonts w:ascii="Times New Roman" w:eastAsia="Times New Roman"/>
          <w:spacing w:val="-2"/>
        </w:rPr>
        <w:t>2.8m~3.1m</w:t>
      </w:r>
      <w:r>
        <w:rPr>
          <w:spacing w:val="-2"/>
        </w:rPr>
        <w:t>。部分老旧楼房需全部外墙抹灰层</w:t>
      </w:r>
      <w:r>
        <w:rPr>
          <w:spacing w:val="-2"/>
        </w:rPr>
        <w:t>凿除后翻新，部分楼房需局部剔除空鼓墙体后进行翻新处理。</w:t>
      </w:r>
    </w:p>
    <w:p>
      <w:pPr>
        <w:pStyle w:val="Heading2"/>
        <w:tabs>
          <w:tab w:val="left" w:pos="1123"/>
        </w:tabs>
        <w:spacing w:line="426" w:lineRule="exact"/>
        <w:ind w:left="0" w:right="95"/>
        <w:jc w:val="center"/>
        <w:rPr>
          <w:rFonts w:ascii="微软雅黑" w:eastAsia="微软雅黑"/>
        </w:rPr>
      </w:pPr>
      <w:bookmarkStart w:id="5" w:name="_TOC_250013"/>
      <w:r>
        <w:rPr>
          <w:rFonts w:ascii="微软雅黑" w:eastAsia="微软雅黑"/>
        </w:rPr>
        <w:t>第</w:t>
      </w:r>
      <w:r>
        <w:rPr>
          <w:rFonts w:ascii="微软雅黑" w:eastAsia="微软雅黑"/>
        </w:rPr>
        <w:t>二</w:t>
      </w:r>
      <w:r>
        <w:rPr>
          <w:rFonts w:ascii="微软雅黑" w:eastAsia="微软雅黑"/>
          <w:spacing w:val="-10"/>
        </w:rPr>
        <w:t>节</w:t>
      </w:r>
      <w:r>
        <w:rPr>
          <w:rFonts w:ascii="微软雅黑" w:eastAsia="微软雅黑"/>
        </w:rPr>
        <w:tab/>
        <w:t>本</w:t>
      </w:r>
      <w:r>
        <w:rPr>
          <w:rFonts w:ascii="微软雅黑" w:eastAsia="微软雅黑"/>
        </w:rPr>
        <w:t>工</w:t>
      </w:r>
      <w:r>
        <w:rPr>
          <w:rFonts w:ascii="微软雅黑" w:eastAsia="微软雅黑"/>
        </w:rPr>
        <w:t>程</w:t>
      </w:r>
      <w:r>
        <w:rPr>
          <w:rFonts w:ascii="微软雅黑" w:eastAsia="微软雅黑"/>
        </w:rPr>
        <w:t>重</w:t>
      </w:r>
      <w:r>
        <w:rPr>
          <w:rFonts w:ascii="微软雅黑" w:eastAsia="微软雅黑"/>
        </w:rPr>
        <w:t>大</w:t>
      </w:r>
      <w:r>
        <w:rPr>
          <w:rFonts w:ascii="微软雅黑" w:eastAsia="微软雅黑"/>
        </w:rPr>
        <w:t>危</w:t>
      </w:r>
      <w:r>
        <w:rPr>
          <w:rFonts w:ascii="微软雅黑" w:eastAsia="微软雅黑"/>
        </w:rPr>
        <w:t>险</w:t>
      </w:r>
      <w:r>
        <w:rPr>
          <w:rFonts w:ascii="微软雅黑" w:eastAsia="微软雅黑"/>
        </w:rPr>
        <w:t>源</w:t>
      </w:r>
      <w:r>
        <w:rPr>
          <w:rFonts w:ascii="微软雅黑" w:eastAsia="微软雅黑"/>
        </w:rPr>
        <w:t>概</w:t>
      </w:r>
      <w:bookmarkEnd w:id="5"/>
      <w:r>
        <w:rPr>
          <w:rFonts w:ascii="微软雅黑" w:eastAsia="微软雅黑"/>
          <w:spacing w:val="-10"/>
        </w:rPr>
        <w:t>况</w:t>
      </w:r>
    </w:p>
    <w:p>
      <w:pPr>
        <w:pStyle w:val="BodyText"/>
        <w:spacing w:before="7"/>
        <w:rPr>
          <w:rFonts w:ascii="微软雅黑"/>
          <w:b/>
          <w:sz w:val="3"/>
        </w:rPr>
      </w:pPr>
    </w:p>
    <w:tbl>
      <w:tblPr>
        <w:tblStyle w:val="TableNormal0"/>
        <w:tblW w:w="0" w:type="auto"/>
        <w:jc w:val="left"/>
        <w:tblInd w:w="2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300"/>
        <w:gridCol w:w="2344"/>
        <w:gridCol w:w="1172"/>
        <w:gridCol w:w="4020"/>
        <w:gridCol w:w="1005"/>
      </w:tblGrid>
      <w:tr>
        <w:tblPrEx>
          <w:tblW w:w="0" w:type="auto"/>
          <w:jc w:val="left"/>
          <w:tblInd w:w="2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935"/>
          <w:jc w:val="left"/>
        </w:trPr>
        <w:tc>
          <w:tcPr>
            <w:tcW w:w="1300" w:type="dxa"/>
          </w:tcPr>
          <w:p>
            <w:pPr>
              <w:pStyle w:val="TableParagraph"/>
              <w:spacing w:before="2"/>
              <w:rPr>
                <w:rFonts w:ascii="微软雅黑"/>
                <w:b/>
                <w:sz w:val="17"/>
              </w:rPr>
            </w:pPr>
          </w:p>
          <w:p>
            <w:pPr>
              <w:pStyle w:val="TableParagraph"/>
              <w:ind w:left="156" w:right="146"/>
              <w:jc w:val="center"/>
              <w:rPr>
                <w:sz w:val="24"/>
              </w:rPr>
            </w:pPr>
            <w:r>
              <w:rPr>
                <w:spacing w:val="-4"/>
                <w:sz w:val="24"/>
              </w:rPr>
              <w:t>危险源</w:t>
            </w:r>
          </w:p>
        </w:tc>
        <w:tc>
          <w:tcPr>
            <w:tcW w:w="2344" w:type="dxa"/>
          </w:tcPr>
          <w:p>
            <w:pPr>
              <w:pStyle w:val="TableParagraph"/>
              <w:spacing w:before="82"/>
              <w:ind w:left="105" w:right="95"/>
              <w:jc w:val="center"/>
              <w:rPr>
                <w:sz w:val="24"/>
              </w:rPr>
            </w:pPr>
            <w:r>
              <w:rPr>
                <w:spacing w:val="-2"/>
                <w:sz w:val="24"/>
              </w:rPr>
              <w:t>重大危险源潜在的</w:t>
            </w:r>
          </w:p>
          <w:p>
            <w:pPr>
              <w:pStyle w:val="TableParagraph"/>
              <w:spacing w:before="160"/>
              <w:ind w:left="105" w:right="95"/>
              <w:jc w:val="center"/>
              <w:rPr>
                <w:sz w:val="24"/>
              </w:rPr>
            </w:pPr>
            <w:r>
              <w:rPr>
                <w:spacing w:val="-3"/>
                <w:sz w:val="24"/>
              </w:rPr>
              <w:t>危险因素</w:t>
            </w:r>
          </w:p>
        </w:tc>
        <w:tc>
          <w:tcPr>
            <w:tcW w:w="1172" w:type="dxa"/>
          </w:tcPr>
          <w:p>
            <w:pPr>
              <w:pStyle w:val="TableParagraph"/>
              <w:spacing w:before="82"/>
              <w:ind w:left="225"/>
              <w:rPr>
                <w:sz w:val="24"/>
              </w:rPr>
            </w:pPr>
            <w:r>
              <w:rPr>
                <w:spacing w:val="-4"/>
                <w:sz w:val="24"/>
              </w:rPr>
              <w:t>可导致</w:t>
            </w:r>
          </w:p>
          <w:p>
            <w:pPr>
              <w:pStyle w:val="TableParagraph"/>
              <w:spacing w:before="160"/>
              <w:ind w:left="345"/>
              <w:rPr>
                <w:sz w:val="24"/>
              </w:rPr>
            </w:pPr>
            <w:r>
              <w:rPr>
                <w:spacing w:val="-5"/>
                <w:sz w:val="24"/>
              </w:rPr>
              <w:t>事故</w:t>
            </w:r>
          </w:p>
        </w:tc>
        <w:tc>
          <w:tcPr>
            <w:tcW w:w="4020" w:type="dxa"/>
          </w:tcPr>
          <w:p>
            <w:pPr>
              <w:pStyle w:val="TableParagraph"/>
              <w:spacing w:before="2"/>
              <w:rPr>
                <w:rFonts w:ascii="微软雅黑"/>
                <w:b/>
                <w:sz w:val="17"/>
              </w:rPr>
            </w:pPr>
          </w:p>
          <w:p>
            <w:pPr>
              <w:pStyle w:val="TableParagraph"/>
              <w:ind w:left="1516" w:right="1506"/>
              <w:jc w:val="center"/>
              <w:rPr>
                <w:sz w:val="24"/>
              </w:rPr>
            </w:pPr>
            <w:r>
              <w:rPr>
                <w:spacing w:val="-3"/>
                <w:sz w:val="24"/>
              </w:rPr>
              <w:t>控制措施</w:t>
            </w:r>
          </w:p>
        </w:tc>
        <w:tc>
          <w:tcPr>
            <w:tcW w:w="1005" w:type="dxa"/>
          </w:tcPr>
          <w:p>
            <w:pPr>
              <w:pStyle w:val="TableParagraph"/>
              <w:spacing w:before="82"/>
              <w:ind w:left="128" w:right="119"/>
              <w:jc w:val="center"/>
              <w:rPr>
                <w:sz w:val="24"/>
              </w:rPr>
            </w:pPr>
            <w:r>
              <w:rPr>
                <w:spacing w:val="-4"/>
                <w:sz w:val="24"/>
              </w:rPr>
              <w:t>受控时</w:t>
            </w:r>
          </w:p>
          <w:p>
            <w:pPr>
              <w:pStyle w:val="TableParagraph"/>
              <w:spacing w:before="160"/>
              <w:ind w:left="9"/>
              <w:jc w:val="center"/>
              <w:rPr>
                <w:sz w:val="24"/>
              </w:rPr>
            </w:pPr>
            <w:r>
              <w:rPr>
                <w:sz w:val="24"/>
              </w:rPr>
              <w:t>间</w:t>
            </w:r>
          </w:p>
        </w:tc>
      </w:tr>
      <w:tr>
        <w:tblPrEx>
          <w:tblW w:w="0" w:type="auto"/>
          <w:jc w:val="left"/>
          <w:tblInd w:w="295" w:type="dxa"/>
          <w:tblLayout w:type="fixed"/>
          <w:tblCellMar>
            <w:top w:w="0" w:type="dxa"/>
            <w:left w:w="0" w:type="dxa"/>
            <w:bottom w:w="0" w:type="dxa"/>
            <w:right w:w="0" w:type="dxa"/>
          </w:tblCellMar>
          <w:tblLook w:val="01E0"/>
        </w:tblPrEx>
        <w:trPr>
          <w:trHeight w:val="1871"/>
          <w:jc w:val="left"/>
        </w:trPr>
        <w:tc>
          <w:tcPr>
            <w:tcW w:w="1300" w:type="dxa"/>
          </w:tcPr>
          <w:p>
            <w:pPr>
              <w:pStyle w:val="TableParagraph"/>
              <w:rPr>
                <w:rFonts w:ascii="微软雅黑"/>
                <w:b/>
                <w:sz w:val="24"/>
              </w:rPr>
            </w:pPr>
          </w:p>
          <w:p>
            <w:pPr>
              <w:pStyle w:val="TableParagraph"/>
              <w:spacing w:before="9"/>
              <w:rPr>
                <w:rFonts w:ascii="微软雅黑"/>
                <w:b/>
                <w:sz w:val="18"/>
              </w:rPr>
            </w:pPr>
          </w:p>
          <w:p>
            <w:pPr>
              <w:pStyle w:val="TableParagraph"/>
              <w:spacing w:before="1"/>
              <w:ind w:left="156" w:right="146"/>
              <w:jc w:val="center"/>
              <w:rPr>
                <w:sz w:val="24"/>
              </w:rPr>
            </w:pPr>
            <w:r>
              <w:rPr>
                <w:spacing w:val="-3"/>
                <w:sz w:val="24"/>
              </w:rPr>
              <w:t>高处作业</w:t>
            </w:r>
          </w:p>
        </w:tc>
        <w:tc>
          <w:tcPr>
            <w:tcW w:w="2344" w:type="dxa"/>
          </w:tcPr>
          <w:p>
            <w:pPr>
              <w:pStyle w:val="TableParagraph"/>
              <w:spacing w:before="2"/>
              <w:rPr>
                <w:rFonts w:ascii="微软雅黑"/>
                <w:b/>
                <w:sz w:val="17"/>
              </w:rPr>
            </w:pPr>
          </w:p>
          <w:p>
            <w:pPr>
              <w:pStyle w:val="TableParagraph"/>
              <w:spacing w:line="364" w:lineRule="auto"/>
              <w:ind w:left="108" w:right="95"/>
              <w:jc w:val="center"/>
              <w:rPr>
                <w:sz w:val="24"/>
              </w:rPr>
            </w:pPr>
            <w:r>
              <w:rPr>
                <w:spacing w:val="-6"/>
                <w:sz w:val="24"/>
              </w:rPr>
              <w:t>自我防范意识差，高</w:t>
            </w:r>
            <w:r>
              <w:rPr>
                <w:spacing w:val="-2"/>
                <w:sz w:val="24"/>
              </w:rPr>
              <w:t>空作业不系安全带</w:t>
            </w:r>
            <w:r>
              <w:rPr>
                <w:spacing w:val="-2"/>
                <w:sz w:val="24"/>
              </w:rPr>
              <w:t>等防护措施</w:t>
            </w:r>
          </w:p>
        </w:tc>
        <w:tc>
          <w:tcPr>
            <w:tcW w:w="1172" w:type="dxa"/>
          </w:tcPr>
          <w:p>
            <w:pPr>
              <w:pStyle w:val="TableParagraph"/>
              <w:rPr>
                <w:rFonts w:ascii="微软雅黑"/>
                <w:b/>
                <w:sz w:val="24"/>
              </w:rPr>
            </w:pPr>
          </w:p>
          <w:p>
            <w:pPr>
              <w:pStyle w:val="TableParagraph"/>
              <w:spacing w:before="9"/>
              <w:rPr>
                <w:rFonts w:ascii="微软雅黑"/>
                <w:b/>
                <w:sz w:val="18"/>
              </w:rPr>
            </w:pPr>
          </w:p>
          <w:p>
            <w:pPr>
              <w:pStyle w:val="TableParagraph"/>
              <w:spacing w:before="1"/>
              <w:ind w:left="345"/>
              <w:rPr>
                <w:sz w:val="24"/>
              </w:rPr>
            </w:pPr>
            <w:r>
              <w:rPr>
                <w:spacing w:val="-5"/>
                <w:sz w:val="24"/>
              </w:rPr>
              <w:t>坠落</w:t>
            </w:r>
          </w:p>
        </w:tc>
        <w:tc>
          <w:tcPr>
            <w:tcW w:w="4020" w:type="dxa"/>
          </w:tcPr>
          <w:p>
            <w:pPr>
              <w:pStyle w:val="TableParagraph"/>
              <w:spacing w:before="82"/>
              <w:ind w:left="108"/>
              <w:rPr>
                <w:sz w:val="24"/>
              </w:rPr>
            </w:pPr>
            <w:r>
              <w:rPr>
                <w:rFonts w:ascii="Times New Roman" w:eastAsia="Times New Roman"/>
                <w:sz w:val="24"/>
              </w:rPr>
              <w:t>1</w:t>
            </w:r>
            <w:r>
              <w:rPr>
                <w:spacing w:val="-2"/>
                <w:sz w:val="24"/>
              </w:rPr>
              <w:t>、编制施工方案</w:t>
            </w:r>
          </w:p>
          <w:p>
            <w:pPr>
              <w:pStyle w:val="TableParagraph"/>
              <w:spacing w:before="160"/>
              <w:ind w:left="108"/>
              <w:rPr>
                <w:sz w:val="24"/>
              </w:rPr>
            </w:pPr>
            <w:r>
              <w:rPr>
                <w:rFonts w:ascii="Times New Roman" w:eastAsia="Times New Roman"/>
                <w:sz w:val="24"/>
              </w:rPr>
              <w:t>2</w:t>
            </w:r>
            <w:r>
              <w:rPr>
                <w:spacing w:val="-1"/>
                <w:sz w:val="24"/>
              </w:rPr>
              <w:t>、按规定进行专家论证</w:t>
            </w:r>
          </w:p>
          <w:p>
            <w:pPr>
              <w:pStyle w:val="TableParagraph"/>
              <w:spacing w:before="161"/>
              <w:ind w:left="108"/>
              <w:rPr>
                <w:sz w:val="24"/>
              </w:rPr>
            </w:pPr>
            <w:r>
              <w:rPr>
                <w:rFonts w:ascii="Times New Roman" w:eastAsia="Times New Roman"/>
                <w:sz w:val="24"/>
              </w:rPr>
              <w:t>3</w:t>
            </w:r>
            <w:r>
              <w:rPr>
                <w:spacing w:val="-1"/>
                <w:sz w:val="24"/>
              </w:rPr>
              <w:t>、做好作业前安全技术交底；</w:t>
            </w:r>
          </w:p>
          <w:p>
            <w:pPr>
              <w:pStyle w:val="TableParagraph"/>
              <w:spacing w:before="160"/>
              <w:ind w:left="108"/>
              <w:rPr>
                <w:sz w:val="24"/>
              </w:rPr>
            </w:pPr>
            <w:r>
              <w:rPr>
                <w:rFonts w:ascii="Times New Roman" w:eastAsia="Times New Roman"/>
                <w:sz w:val="24"/>
              </w:rPr>
              <w:t>4</w:t>
            </w:r>
            <w:r>
              <w:rPr>
                <w:spacing w:val="-2"/>
                <w:sz w:val="24"/>
              </w:rPr>
              <w:t>、加强安全防护检查</w:t>
            </w:r>
          </w:p>
        </w:tc>
        <w:tc>
          <w:tcPr>
            <w:tcW w:w="1005" w:type="dxa"/>
          </w:tcPr>
          <w:p>
            <w:pPr>
              <w:pStyle w:val="TableParagraph"/>
              <w:spacing w:before="2"/>
              <w:rPr>
                <w:rFonts w:ascii="微软雅黑"/>
                <w:b/>
                <w:sz w:val="17"/>
              </w:rPr>
            </w:pPr>
          </w:p>
          <w:p>
            <w:pPr>
              <w:pStyle w:val="TableParagraph"/>
              <w:spacing w:line="364" w:lineRule="auto"/>
              <w:ind w:left="142" w:right="130"/>
              <w:jc w:val="both"/>
              <w:rPr>
                <w:sz w:val="24"/>
              </w:rPr>
            </w:pPr>
            <w:r>
              <w:rPr>
                <w:spacing w:val="-4"/>
                <w:sz w:val="24"/>
              </w:rPr>
              <w:t>外立面</w:t>
            </w:r>
            <w:r>
              <w:rPr>
                <w:spacing w:val="-4"/>
                <w:sz w:val="24"/>
              </w:rPr>
              <w:t>施工全</w:t>
            </w:r>
            <w:r>
              <w:rPr>
                <w:spacing w:val="-6"/>
                <w:sz w:val="24"/>
              </w:rPr>
              <w:t>过程</w:t>
            </w:r>
          </w:p>
        </w:tc>
      </w:tr>
      <w:tr>
        <w:tblPrEx>
          <w:tblW w:w="0" w:type="auto"/>
          <w:jc w:val="left"/>
          <w:tblInd w:w="295" w:type="dxa"/>
          <w:tblLayout w:type="fixed"/>
          <w:tblCellMar>
            <w:top w:w="0" w:type="dxa"/>
            <w:left w:w="0" w:type="dxa"/>
            <w:bottom w:w="0" w:type="dxa"/>
            <w:right w:w="0" w:type="dxa"/>
          </w:tblCellMar>
          <w:tblLook w:val="01E0"/>
        </w:tblPrEx>
        <w:trPr>
          <w:trHeight w:val="2340"/>
          <w:jc w:val="left"/>
        </w:trPr>
        <w:tc>
          <w:tcPr>
            <w:tcW w:w="1300" w:type="dxa"/>
          </w:tcPr>
          <w:p>
            <w:pPr>
              <w:pStyle w:val="TableParagraph"/>
              <w:rPr>
                <w:rFonts w:ascii="微软雅黑"/>
                <w:b/>
                <w:sz w:val="24"/>
              </w:rPr>
            </w:pPr>
          </w:p>
          <w:p>
            <w:pPr>
              <w:pStyle w:val="TableParagraph"/>
              <w:spacing w:before="4"/>
              <w:rPr>
                <w:rFonts w:ascii="微软雅黑"/>
                <w:b/>
                <w:sz w:val="31"/>
              </w:rPr>
            </w:pPr>
          </w:p>
          <w:p>
            <w:pPr>
              <w:pStyle w:val="TableParagraph"/>
              <w:ind w:left="156" w:right="146"/>
              <w:jc w:val="center"/>
              <w:rPr>
                <w:sz w:val="24"/>
              </w:rPr>
            </w:pPr>
            <w:r>
              <w:rPr>
                <w:spacing w:val="-3"/>
                <w:sz w:val="24"/>
              </w:rPr>
              <w:t>高空坠物</w:t>
            </w:r>
          </w:p>
        </w:tc>
        <w:tc>
          <w:tcPr>
            <w:tcW w:w="2344" w:type="dxa"/>
          </w:tcPr>
          <w:p>
            <w:pPr>
              <w:pStyle w:val="TableParagraph"/>
              <w:spacing w:before="2"/>
              <w:rPr>
                <w:rFonts w:ascii="微软雅黑"/>
                <w:b/>
                <w:sz w:val="17"/>
              </w:rPr>
            </w:pPr>
          </w:p>
          <w:p>
            <w:pPr>
              <w:pStyle w:val="TableParagraph"/>
              <w:spacing w:line="364" w:lineRule="auto"/>
              <w:ind w:left="108" w:right="65" w:hanging="32"/>
              <w:jc w:val="center"/>
              <w:rPr>
                <w:sz w:val="24"/>
              </w:rPr>
            </w:pPr>
            <w:r>
              <w:rPr>
                <w:spacing w:val="-2"/>
                <w:sz w:val="24"/>
              </w:rPr>
              <w:t>脚手架防护棚、防护</w:t>
            </w:r>
            <w:r>
              <w:rPr>
                <w:spacing w:val="-2"/>
                <w:sz w:val="24"/>
              </w:rPr>
              <w:t>栏杆无按规范搭设、</w:t>
            </w:r>
            <w:r>
              <w:rPr>
                <w:spacing w:val="-2"/>
                <w:sz w:val="24"/>
              </w:rPr>
              <w:t>施工区域不封闭、不</w:t>
            </w:r>
            <w:r>
              <w:rPr>
                <w:spacing w:val="-4"/>
                <w:sz w:val="24"/>
              </w:rPr>
              <w:t>带安全帽</w:t>
            </w:r>
          </w:p>
        </w:tc>
        <w:tc>
          <w:tcPr>
            <w:tcW w:w="1172" w:type="dxa"/>
          </w:tcPr>
          <w:p>
            <w:pPr>
              <w:pStyle w:val="TableParagraph"/>
              <w:rPr>
                <w:rFonts w:ascii="微软雅黑"/>
                <w:b/>
                <w:sz w:val="24"/>
              </w:rPr>
            </w:pPr>
          </w:p>
          <w:p>
            <w:pPr>
              <w:pStyle w:val="TableParagraph"/>
              <w:spacing w:before="9"/>
              <w:rPr>
                <w:rFonts w:ascii="微软雅黑"/>
                <w:b/>
                <w:sz w:val="18"/>
              </w:rPr>
            </w:pPr>
          </w:p>
          <w:p>
            <w:pPr>
              <w:pStyle w:val="TableParagraph"/>
              <w:spacing w:before="1" w:line="364" w:lineRule="auto"/>
              <w:ind w:left="465" w:right="214" w:hanging="240"/>
              <w:rPr>
                <w:sz w:val="24"/>
              </w:rPr>
            </w:pPr>
            <w:r>
              <w:rPr>
                <w:spacing w:val="-4"/>
                <w:sz w:val="24"/>
              </w:rPr>
              <w:t>物体打</w:t>
            </w:r>
            <w:r>
              <w:rPr>
                <w:spacing w:val="-10"/>
                <w:sz w:val="24"/>
              </w:rPr>
              <w:t>击</w:t>
            </w:r>
          </w:p>
        </w:tc>
        <w:tc>
          <w:tcPr>
            <w:tcW w:w="4020" w:type="dxa"/>
          </w:tcPr>
          <w:p>
            <w:pPr>
              <w:pStyle w:val="TableParagraph"/>
              <w:spacing w:before="82"/>
              <w:ind w:left="108"/>
              <w:rPr>
                <w:sz w:val="24"/>
              </w:rPr>
            </w:pPr>
            <w:r>
              <w:rPr>
                <w:rFonts w:ascii="Times New Roman" w:eastAsia="Times New Roman"/>
                <w:sz w:val="24"/>
              </w:rPr>
              <w:t>1</w:t>
            </w:r>
            <w:r>
              <w:rPr>
                <w:spacing w:val="-10"/>
                <w:sz w:val="24"/>
              </w:rPr>
              <w:t>、 编制施工方案</w:t>
            </w:r>
          </w:p>
          <w:p>
            <w:pPr>
              <w:pStyle w:val="TableParagraph"/>
              <w:spacing w:before="160"/>
              <w:ind w:left="108"/>
              <w:rPr>
                <w:sz w:val="24"/>
              </w:rPr>
            </w:pPr>
            <w:r>
              <w:rPr>
                <w:rFonts w:ascii="Times New Roman" w:eastAsia="Times New Roman"/>
                <w:sz w:val="24"/>
              </w:rPr>
              <w:t>2</w:t>
            </w:r>
            <w:r>
              <w:rPr>
                <w:spacing w:val="-9"/>
                <w:sz w:val="24"/>
              </w:rPr>
              <w:t>、 做好作业前安全技术交底</w:t>
            </w:r>
          </w:p>
          <w:p>
            <w:pPr>
              <w:pStyle w:val="TableParagraph"/>
              <w:spacing w:before="161"/>
              <w:ind w:left="108"/>
              <w:rPr>
                <w:sz w:val="24"/>
              </w:rPr>
            </w:pPr>
            <w:r>
              <w:rPr>
                <w:rFonts w:ascii="Times New Roman" w:eastAsia="Times New Roman"/>
                <w:sz w:val="24"/>
              </w:rPr>
              <w:t>3</w:t>
            </w:r>
            <w:r>
              <w:rPr>
                <w:spacing w:val="-9"/>
                <w:sz w:val="24"/>
              </w:rPr>
              <w:t>、 加强安全防护检查</w:t>
            </w:r>
          </w:p>
          <w:p>
            <w:pPr>
              <w:pStyle w:val="TableParagraph"/>
              <w:spacing w:before="160"/>
              <w:ind w:left="108"/>
              <w:rPr>
                <w:sz w:val="24"/>
              </w:rPr>
            </w:pPr>
            <w:r>
              <w:rPr>
                <w:rFonts w:ascii="Times New Roman" w:eastAsia="Times New Roman"/>
                <w:sz w:val="24"/>
              </w:rPr>
              <w:t>4</w:t>
            </w:r>
            <w:r>
              <w:rPr>
                <w:spacing w:val="-8"/>
                <w:sz w:val="24"/>
              </w:rPr>
              <w:t>、 施工区域封闭施工</w:t>
            </w:r>
            <w:r>
              <w:rPr>
                <w:sz w:val="24"/>
              </w:rPr>
              <w:t>（对居民</w:t>
            </w:r>
            <w:r>
              <w:rPr>
                <w:spacing w:val="-10"/>
                <w:sz w:val="24"/>
              </w:rPr>
              <w:t>）</w:t>
            </w:r>
          </w:p>
          <w:p>
            <w:pPr>
              <w:pStyle w:val="TableParagraph"/>
              <w:spacing w:before="161"/>
              <w:ind w:left="108"/>
              <w:rPr>
                <w:sz w:val="24"/>
              </w:rPr>
            </w:pPr>
            <w:r>
              <w:rPr>
                <w:rFonts w:ascii="Times New Roman" w:eastAsia="Times New Roman"/>
                <w:sz w:val="24"/>
              </w:rPr>
              <w:t>5</w:t>
            </w:r>
            <w:r>
              <w:rPr>
                <w:spacing w:val="-1"/>
                <w:sz w:val="24"/>
              </w:rPr>
              <w:t>、进入施工现场必须配带安全帽</w:t>
            </w:r>
          </w:p>
        </w:tc>
        <w:tc>
          <w:tcPr>
            <w:tcW w:w="1005" w:type="dxa"/>
          </w:tcPr>
          <w:p>
            <w:pPr>
              <w:pStyle w:val="TableParagraph"/>
              <w:spacing w:before="15"/>
              <w:rPr>
                <w:rFonts w:ascii="微软雅黑"/>
                <w:b/>
                <w:sz w:val="29"/>
              </w:rPr>
            </w:pPr>
          </w:p>
          <w:p>
            <w:pPr>
              <w:pStyle w:val="TableParagraph"/>
              <w:spacing w:line="364" w:lineRule="auto"/>
              <w:ind w:left="142" w:right="130"/>
              <w:jc w:val="both"/>
              <w:rPr>
                <w:sz w:val="24"/>
              </w:rPr>
            </w:pPr>
            <w:r>
              <w:rPr>
                <w:spacing w:val="-4"/>
                <w:sz w:val="24"/>
              </w:rPr>
              <w:t>外立面</w:t>
            </w:r>
            <w:r>
              <w:rPr>
                <w:spacing w:val="-4"/>
                <w:sz w:val="24"/>
              </w:rPr>
              <w:t>施工全</w:t>
            </w:r>
            <w:r>
              <w:rPr>
                <w:spacing w:val="-6"/>
                <w:sz w:val="24"/>
              </w:rPr>
              <w:t>过程</w:t>
            </w:r>
          </w:p>
        </w:tc>
      </w:tr>
    </w:tbl>
    <w:p>
      <w:pPr>
        <w:pStyle w:val="Heading2"/>
        <w:tabs>
          <w:tab w:val="left" w:pos="1582"/>
        </w:tabs>
        <w:spacing w:before="47"/>
        <w:ind w:left="462"/>
        <w:jc w:val="center"/>
        <w:rPr>
          <w:rFonts w:ascii="微软雅黑" w:eastAsia="微软雅黑"/>
        </w:rPr>
      </w:pPr>
      <w:bookmarkStart w:id="6" w:name="_TOC_250012"/>
      <w:r>
        <w:rPr>
          <w:rFonts w:ascii="微软雅黑" w:eastAsia="微软雅黑"/>
        </w:rPr>
        <w:t>第</w:t>
      </w:r>
      <w:r>
        <w:rPr>
          <w:rFonts w:ascii="微软雅黑" w:eastAsia="微软雅黑"/>
        </w:rPr>
        <w:t>三</w:t>
      </w:r>
      <w:r>
        <w:rPr>
          <w:rFonts w:ascii="微软雅黑" w:eastAsia="微软雅黑"/>
          <w:spacing w:val="-10"/>
        </w:rPr>
        <w:t>节</w:t>
      </w:r>
      <w:r>
        <w:rPr>
          <w:rFonts w:ascii="微软雅黑" w:eastAsia="微软雅黑"/>
        </w:rPr>
        <w:tab/>
        <w:t>参</w:t>
      </w:r>
      <w:r>
        <w:rPr>
          <w:rFonts w:ascii="微软雅黑" w:eastAsia="微软雅黑"/>
        </w:rPr>
        <w:t>建</w:t>
      </w:r>
      <w:r>
        <w:rPr>
          <w:rFonts w:ascii="微软雅黑" w:eastAsia="微软雅黑"/>
        </w:rPr>
        <w:t>单</w:t>
      </w:r>
      <w:r>
        <w:rPr>
          <w:rFonts w:ascii="微软雅黑" w:eastAsia="微软雅黑"/>
        </w:rPr>
        <w:t>位</w:t>
      </w:r>
      <w:r>
        <w:rPr>
          <w:rFonts w:ascii="微软雅黑" w:eastAsia="微软雅黑"/>
        </w:rPr>
        <w:t>信</w:t>
      </w:r>
      <w:bookmarkEnd w:id="6"/>
      <w:r>
        <w:rPr>
          <w:rFonts w:ascii="微软雅黑" w:eastAsia="微软雅黑"/>
          <w:spacing w:val="-10"/>
        </w:rPr>
        <w:t>息</w:t>
      </w:r>
    </w:p>
    <w:p>
      <w:pPr>
        <w:pStyle w:val="BodyText"/>
        <w:spacing w:before="198"/>
        <w:ind w:left="958"/>
      </w:pPr>
      <w:r>
        <w:rPr>
          <w:rFonts w:ascii="Times New Roman" w:eastAsia="Times New Roman"/>
        </w:rPr>
        <w:t>1</w:t>
      </w:r>
      <w:r>
        <w:rPr>
          <w:spacing w:val="-2"/>
        </w:rPr>
        <w:t>、代建单位：</w:t>
      </w:r>
    </w:p>
    <w:p>
      <w:pPr>
        <w:pStyle w:val="BodyText"/>
        <w:spacing w:before="265"/>
        <w:ind w:left="958"/>
      </w:pPr>
      <w:r>
        <w:rPr>
          <w:rFonts w:ascii="Times New Roman" w:eastAsia="Times New Roman"/>
        </w:rPr>
        <w:t>2</w:t>
      </w:r>
      <w:r>
        <w:rPr>
          <w:spacing w:val="-2"/>
        </w:rPr>
        <w:t>、监理单位：</w:t>
      </w:r>
    </w:p>
    <w:p>
      <w:pPr>
        <w:pStyle w:val="BodyText"/>
        <w:spacing w:before="265"/>
        <w:ind w:left="958"/>
      </w:pPr>
      <w:r>
        <w:rPr>
          <w:rFonts w:ascii="Times New Roman" w:eastAsia="Times New Roman"/>
        </w:rPr>
        <w:t>3</w:t>
      </w:r>
      <w:r>
        <w:rPr>
          <w:spacing w:val="-2"/>
        </w:rPr>
        <w:t>、设计单位：</w:t>
      </w:r>
    </w:p>
    <w:p>
      <w:pPr>
        <w:pStyle w:val="BodyText"/>
        <w:spacing w:before="266"/>
        <w:ind w:left="958"/>
      </w:pPr>
      <w:r>
        <w:rPr>
          <w:rFonts w:ascii="Times New Roman" w:eastAsia="Times New Roman"/>
        </w:rPr>
        <w:t>4</w:t>
      </w:r>
      <w:r>
        <w:rPr>
          <w:spacing w:val="-2"/>
        </w:rPr>
        <w:t>、施工单位：</w:t>
      </w:r>
    </w:p>
    <w:p>
      <w:pPr>
        <w:pStyle w:val="BodyText"/>
        <w:spacing w:before="265"/>
        <w:ind w:left="958"/>
      </w:pPr>
      <w:r>
        <w:rPr>
          <w:rFonts w:ascii="Times New Roman" w:eastAsia="Times New Roman"/>
        </w:rPr>
        <w:t>5</w:t>
      </w:r>
      <w:r>
        <w:rPr>
          <w:spacing w:val="-2"/>
        </w:rPr>
        <w:t>、建设地点：</w:t>
      </w:r>
    </w:p>
    <w:p>
      <w:pPr>
        <w:pStyle w:val="BodyText"/>
        <w:rPr>
          <w:sz w:val="30"/>
        </w:rPr>
      </w:pPr>
    </w:p>
    <w:p>
      <w:pPr>
        <w:pStyle w:val="BodyText"/>
        <w:rPr>
          <w:sz w:val="30"/>
        </w:rPr>
      </w:pPr>
    </w:p>
    <w:p>
      <w:pPr>
        <w:pStyle w:val="BodyText"/>
        <w:rPr>
          <w:sz w:val="30"/>
        </w:rPr>
      </w:pPr>
    </w:p>
    <w:p>
      <w:pPr>
        <w:pStyle w:val="Heading1"/>
        <w:spacing w:before="264"/>
        <w:ind w:left="477" w:right="95" w:firstLine="0"/>
        <w:rPr>
          <w:rFonts w:ascii="微软雅黑" w:eastAsia="微软雅黑"/>
        </w:rPr>
      </w:pPr>
      <w:bookmarkStart w:id="7" w:name="_TOC_250011"/>
      <w:r>
        <w:rPr>
          <w:rFonts w:ascii="微软雅黑" w:eastAsia="微软雅黑"/>
        </w:rPr>
        <w:t>第三章</w:t>
      </w:r>
      <w:r>
        <w:rPr>
          <w:rFonts w:ascii="微软雅黑" w:eastAsia="微软雅黑"/>
          <w:spacing w:val="98"/>
          <w:w w:val="150"/>
        </w:rPr>
        <w:t xml:space="preserve"> </w:t>
      </w:r>
      <w:bookmarkEnd w:id="7"/>
      <w:r>
        <w:rPr>
          <w:rFonts w:ascii="微软雅黑" w:eastAsia="微软雅黑"/>
          <w:spacing w:val="-3"/>
        </w:rPr>
        <w:t>施工安排</w:t>
      </w:r>
    </w:p>
    <w:p>
      <w:pPr>
        <w:spacing w:after="0"/>
        <w:rPr>
          <w:rFonts w:ascii="微软雅黑" w:eastAsia="微软雅黑"/>
        </w:rPr>
        <w:sectPr>
          <w:headerReference w:type="default" r:id="rId10"/>
          <w:footerReference w:type="default" r:id="rId11"/>
          <w:pgSz w:w="11910" w:h="16840"/>
          <w:pgMar w:top="1180" w:right="640" w:bottom="1600" w:left="1020" w:header="996" w:footer="1381"/>
          <w:pgNumType w:start="4"/>
          <w:cols w:space="708"/>
        </w:sectPr>
      </w:pPr>
    </w:p>
    <w:p>
      <w:pPr>
        <w:pStyle w:val="BodyText"/>
        <w:spacing w:before="14"/>
        <w:rPr>
          <w:rFonts w:ascii="微软雅黑"/>
          <w:b/>
          <w:sz w:val="6"/>
        </w:rPr>
      </w:pPr>
    </w:p>
    <w:p>
      <w:pPr>
        <w:pStyle w:val="Heading2"/>
        <w:tabs>
          <w:tab w:val="left" w:pos="1121"/>
        </w:tabs>
        <w:spacing w:line="487" w:lineRule="exact"/>
        <w:ind w:left="0" w:right="376"/>
        <w:jc w:val="center"/>
        <w:rPr>
          <w:rFonts w:ascii="微软雅黑" w:eastAsia="微软雅黑"/>
        </w:rPr>
      </w:pPr>
      <w:bookmarkStart w:id="8" w:name="_TOC_250010"/>
      <w:r>
        <w:rPr>
          <w:rFonts w:ascii="微软雅黑" w:eastAsia="微软雅黑"/>
        </w:rPr>
        <w:t>第</w:t>
      </w:r>
      <w:r>
        <w:rPr>
          <w:rFonts w:ascii="微软雅黑" w:eastAsia="微软雅黑"/>
        </w:rPr>
        <w:t>一</w:t>
      </w:r>
      <w:r>
        <w:rPr>
          <w:rFonts w:ascii="微软雅黑" w:eastAsia="微软雅黑"/>
          <w:spacing w:val="-10"/>
        </w:rPr>
        <w:t>节</w:t>
      </w:r>
      <w:r>
        <w:rPr>
          <w:rFonts w:ascii="微软雅黑" w:eastAsia="微软雅黑"/>
        </w:rPr>
        <w:tab/>
        <w:t>施</w:t>
      </w:r>
      <w:r>
        <w:rPr>
          <w:rFonts w:ascii="微软雅黑" w:eastAsia="微软雅黑"/>
        </w:rPr>
        <w:t>工</w:t>
      </w:r>
      <w:r>
        <w:rPr>
          <w:rFonts w:ascii="微软雅黑" w:eastAsia="微软雅黑"/>
        </w:rPr>
        <w:t>目</w:t>
      </w:r>
      <w:bookmarkEnd w:id="8"/>
      <w:r>
        <w:rPr>
          <w:rFonts w:ascii="微软雅黑" w:eastAsia="微软雅黑"/>
          <w:spacing w:val="-10"/>
        </w:rPr>
        <w:t>标</w:t>
      </w:r>
    </w:p>
    <w:p>
      <w:pPr>
        <w:pStyle w:val="BodyText"/>
        <w:spacing w:before="7"/>
        <w:rPr>
          <w:rFonts w:ascii="微软雅黑"/>
          <w:b/>
          <w:sz w:val="7"/>
        </w:rPr>
      </w:pPr>
    </w:p>
    <w:p>
      <w:pPr>
        <w:spacing w:before="0" w:line="488" w:lineRule="exact"/>
        <w:ind w:left="958" w:right="0" w:firstLine="0"/>
        <w:jc w:val="left"/>
        <w:rPr>
          <w:rFonts w:ascii="微软雅黑" w:eastAsia="微软雅黑"/>
          <w:b/>
          <w:sz w:val="28"/>
        </w:rPr>
      </w:pPr>
      <w:r>
        <w:rPr>
          <w:rFonts w:ascii="微软雅黑" w:eastAsia="微软雅黑"/>
          <w:b/>
          <w:spacing w:val="-2"/>
          <w:sz w:val="28"/>
        </w:rPr>
        <w:t>一、进度目标</w:t>
      </w:r>
    </w:p>
    <w:p>
      <w:pPr>
        <w:pStyle w:val="BodyText"/>
        <w:spacing w:before="197"/>
        <w:ind w:left="818"/>
      </w:pPr>
      <w:r>
        <w:rPr>
          <w:spacing w:val="-18"/>
        </w:rPr>
        <w:t xml:space="preserve">确保在 </w:t>
      </w:r>
      <w:r>
        <w:t>2019</w:t>
      </w:r>
      <w:r>
        <w:rPr>
          <w:spacing w:val="-47"/>
        </w:rPr>
        <w:t xml:space="preserve"> 年 </w:t>
      </w:r>
      <w:r>
        <w:t>6</w:t>
      </w:r>
      <w:r>
        <w:rPr>
          <w:spacing w:val="-47"/>
        </w:rPr>
        <w:t xml:space="preserve"> 月 </w:t>
      </w:r>
      <w:r>
        <w:t>27</w:t>
      </w:r>
      <w:r>
        <w:rPr>
          <w:spacing w:val="-10"/>
        </w:rPr>
        <w:t xml:space="preserve"> 日前完成合同内全部工程内容</w:t>
      </w:r>
    </w:p>
    <w:p>
      <w:pPr>
        <w:pStyle w:val="Heading2"/>
        <w:spacing w:before="176"/>
        <w:ind w:left="958"/>
        <w:rPr>
          <w:rFonts w:ascii="微软雅黑" w:eastAsia="微软雅黑"/>
        </w:rPr>
      </w:pPr>
      <w:r>
        <w:rPr>
          <w:rFonts w:ascii="微软雅黑" w:eastAsia="微软雅黑"/>
          <w:spacing w:val="-2"/>
        </w:rPr>
        <w:t>二、质量目标</w:t>
      </w:r>
    </w:p>
    <w:p>
      <w:pPr>
        <w:pStyle w:val="BodyText"/>
        <w:spacing w:before="197"/>
        <w:ind w:left="818"/>
      </w:pPr>
      <w:r>
        <w:rPr>
          <w:spacing w:val="-5"/>
        </w:rPr>
        <w:t xml:space="preserve">确保本工程一次性验收合格率达到 </w:t>
      </w:r>
      <w:r>
        <w:t>100％</w:t>
      </w:r>
      <w:r>
        <w:rPr>
          <w:spacing w:val="-10"/>
        </w:rPr>
        <w:t>。</w:t>
      </w:r>
    </w:p>
    <w:p>
      <w:pPr>
        <w:pStyle w:val="Heading2"/>
        <w:spacing w:before="176"/>
        <w:ind w:left="958"/>
        <w:rPr>
          <w:rFonts w:ascii="微软雅黑" w:eastAsia="微软雅黑"/>
        </w:rPr>
      </w:pPr>
      <w:r>
        <w:rPr>
          <w:rFonts w:ascii="微软雅黑" w:eastAsia="微软雅黑"/>
          <w:spacing w:val="-2"/>
        </w:rPr>
        <w:t>三、安全目标</w:t>
      </w:r>
    </w:p>
    <w:p>
      <w:pPr>
        <w:pStyle w:val="BodyText"/>
        <w:spacing w:before="197"/>
        <w:ind w:left="958"/>
      </w:pPr>
      <w:r>
        <w:rPr>
          <w:spacing w:val="-5"/>
        </w:rPr>
        <w:t xml:space="preserve">施工阶段轻伤事故频率控制在 </w:t>
      </w:r>
      <w:r>
        <w:t>1.5‰，</w:t>
      </w:r>
      <w:r>
        <w:rPr>
          <w:spacing w:val="-6"/>
        </w:rPr>
        <w:t xml:space="preserve">重伤以上安全生产事故率为 </w:t>
      </w:r>
      <w:r>
        <w:t>0</w:t>
      </w:r>
      <w:r>
        <w:rPr>
          <w:spacing w:val="-10"/>
        </w:rPr>
        <w:t>。</w:t>
      </w:r>
    </w:p>
    <w:p>
      <w:pPr>
        <w:pStyle w:val="Heading2"/>
        <w:spacing w:before="176"/>
        <w:ind w:left="958"/>
        <w:rPr>
          <w:rFonts w:ascii="微软雅黑" w:eastAsia="微软雅黑"/>
        </w:rPr>
      </w:pPr>
      <w:r>
        <w:rPr>
          <w:rFonts w:ascii="微软雅黑" w:eastAsia="微软雅黑"/>
          <w:spacing w:val="-2"/>
        </w:rPr>
        <w:t>四、文明目标</w:t>
      </w:r>
    </w:p>
    <w:p>
      <w:pPr>
        <w:pStyle w:val="BodyText"/>
        <w:spacing w:before="198"/>
        <w:ind w:left="958"/>
      </w:pPr>
      <w:r>
        <w:rPr>
          <w:spacing w:val="-1"/>
        </w:rPr>
        <w:t>确保居民“零投诉”目标。</w:t>
      </w:r>
    </w:p>
    <w:p>
      <w:pPr>
        <w:pStyle w:val="BodyText"/>
      </w:pPr>
    </w:p>
    <w:p>
      <w:pPr>
        <w:pStyle w:val="BodyText"/>
        <w:spacing w:before="5"/>
        <w:rPr>
          <w:sz w:val="34"/>
        </w:rPr>
      </w:pPr>
    </w:p>
    <w:p>
      <w:pPr>
        <w:pStyle w:val="Heading2"/>
        <w:tabs>
          <w:tab w:val="left" w:pos="1121"/>
        </w:tabs>
        <w:ind w:left="0" w:right="376"/>
        <w:jc w:val="center"/>
        <w:rPr>
          <w:rFonts w:ascii="微软雅黑" w:eastAsia="微软雅黑"/>
        </w:rPr>
      </w:pPr>
      <w:bookmarkStart w:id="9" w:name="_TOC_250009"/>
      <w:r>
        <w:rPr>
          <w:rFonts w:ascii="微软雅黑" w:eastAsia="微软雅黑"/>
        </w:rPr>
        <w:t>第</w:t>
      </w:r>
      <w:r>
        <w:rPr>
          <w:rFonts w:ascii="微软雅黑" w:eastAsia="微软雅黑"/>
        </w:rPr>
        <w:t>二</w:t>
      </w:r>
      <w:r>
        <w:rPr>
          <w:rFonts w:ascii="微软雅黑" w:eastAsia="微软雅黑"/>
          <w:spacing w:val="-10"/>
        </w:rPr>
        <w:t>节</w:t>
      </w:r>
      <w:r>
        <w:rPr>
          <w:rFonts w:ascii="微软雅黑" w:eastAsia="微软雅黑"/>
        </w:rPr>
        <w:tab/>
        <w:t>本</w:t>
      </w:r>
      <w:r>
        <w:rPr>
          <w:rFonts w:ascii="微软雅黑" w:eastAsia="微软雅黑"/>
        </w:rPr>
        <w:t>工</w:t>
      </w:r>
      <w:r>
        <w:rPr>
          <w:rFonts w:ascii="微软雅黑" w:eastAsia="微软雅黑"/>
        </w:rPr>
        <w:t>程</w:t>
      </w:r>
      <w:r>
        <w:rPr>
          <w:rFonts w:ascii="微软雅黑" w:eastAsia="微软雅黑"/>
        </w:rPr>
        <w:t>重</w:t>
      </w:r>
      <w:r>
        <w:rPr>
          <w:rFonts w:ascii="微软雅黑" w:eastAsia="微软雅黑"/>
        </w:rPr>
        <w:t>点</w:t>
      </w:r>
      <w:r>
        <w:rPr>
          <w:rFonts w:ascii="微软雅黑" w:eastAsia="微软雅黑"/>
        </w:rPr>
        <w:t>、</w:t>
      </w:r>
      <w:r>
        <w:rPr>
          <w:rFonts w:ascii="微软雅黑" w:eastAsia="微软雅黑"/>
        </w:rPr>
        <w:t>难</w:t>
      </w:r>
      <w:bookmarkEnd w:id="9"/>
      <w:r>
        <w:rPr>
          <w:rFonts w:ascii="微软雅黑" w:eastAsia="微软雅黑"/>
          <w:spacing w:val="-10"/>
        </w:rPr>
        <w:t>点</w:t>
      </w:r>
    </w:p>
    <w:p>
      <w:pPr>
        <w:pStyle w:val="BodyText"/>
        <w:rPr>
          <w:rFonts w:ascii="微软雅黑"/>
          <w:b/>
        </w:rPr>
      </w:pPr>
    </w:p>
    <w:p>
      <w:pPr>
        <w:pStyle w:val="BodyText"/>
        <w:spacing w:before="10"/>
        <w:rPr>
          <w:rFonts w:ascii="微软雅黑"/>
          <w:b/>
          <w:sz w:val="16"/>
        </w:rPr>
      </w:pPr>
    </w:p>
    <w:p>
      <w:pPr>
        <w:pStyle w:val="BodyText"/>
        <w:spacing w:line="417" w:lineRule="auto"/>
        <w:ind w:left="398" w:right="492" w:firstLine="560"/>
        <w:jc w:val="both"/>
      </w:pPr>
      <w:r>
        <w:rPr>
          <w:rFonts w:ascii="Times New Roman" w:eastAsia="Times New Roman"/>
        </w:rPr>
        <w:t>1</w:t>
      </w:r>
      <w:r>
        <w:t>、本工程施工范围为 村内，村内居民众多，人流密集，每天穿梭在楼</w:t>
      </w:r>
      <w:r>
        <w:rPr>
          <w:spacing w:val="-2"/>
        </w:rPr>
        <w:t>宇之间的居民不计其数，出出入入，稍微有所不慎重，就会造成居民伤害。</w:t>
      </w:r>
      <w:r>
        <w:rPr>
          <w:spacing w:val="-2"/>
        </w:rPr>
        <w:t>防护棚、防护栏杆、脚手板、安全网都必须严格按照规范要求设置，并且通</w:t>
      </w:r>
      <w:r>
        <w:rPr>
          <w:spacing w:val="-2"/>
        </w:rPr>
        <w:t>过监理、甲方验收后方可正式开始施工，这都是为了保障居民和施工作业人</w:t>
      </w:r>
      <w:r>
        <w:rPr>
          <w:spacing w:val="-2"/>
        </w:rPr>
        <w:t>员的人身安全。重点和难点是安全防护，施工过程中阳台、窗口、外墙面空</w:t>
      </w:r>
      <w:r>
        <w:rPr>
          <w:spacing w:val="-2"/>
        </w:rPr>
        <w:t>鼓剔凿。操作人员的施工安全及渣土的垂直运输等。处理方案如下：</w:t>
      </w:r>
    </w:p>
    <w:p>
      <w:pPr>
        <w:pStyle w:val="ListParagraph"/>
        <w:numPr>
          <w:ilvl w:val="1"/>
          <w:numId w:val="16"/>
        </w:numPr>
        <w:tabs>
          <w:tab w:val="left" w:pos="1309"/>
        </w:tabs>
        <w:spacing w:before="0" w:after="0" w:line="357" w:lineRule="exact"/>
        <w:ind w:left="1309" w:right="0" w:hanging="351"/>
        <w:jc w:val="left"/>
        <w:rPr>
          <w:sz w:val="28"/>
        </w:rPr>
      </w:pPr>
      <w:r>
        <w:rPr>
          <w:spacing w:val="-1"/>
          <w:sz w:val="28"/>
        </w:rPr>
        <w:t>、 楼门入口处需搭设安全通道，保证居民及施工人员的安全。</w:t>
      </w:r>
    </w:p>
    <w:p>
      <w:pPr>
        <w:pStyle w:val="ListParagraph"/>
        <w:numPr>
          <w:ilvl w:val="1"/>
          <w:numId w:val="16"/>
        </w:numPr>
        <w:tabs>
          <w:tab w:val="left" w:pos="1309"/>
        </w:tabs>
        <w:spacing w:before="266" w:after="0" w:line="417" w:lineRule="auto"/>
        <w:ind w:left="398" w:right="352" w:firstLine="560"/>
        <w:jc w:val="left"/>
        <w:rPr>
          <w:sz w:val="28"/>
        </w:rPr>
      </w:pPr>
      <w:r>
        <w:rPr>
          <w:spacing w:val="-17"/>
          <w:sz w:val="28"/>
        </w:rPr>
        <w:t>、 村居民楼多为老房子，年久失修，外墙面存在大量空鼓或脱落墙皮，</w:t>
      </w:r>
      <w:r>
        <w:rPr>
          <w:spacing w:val="2"/>
          <w:sz w:val="28"/>
        </w:rPr>
        <w:t>为避免给此楼住户造成人员或财产的伤害，需将部分抹灰层剔除，经现场多</w:t>
      </w:r>
      <w:r>
        <w:rPr>
          <w:spacing w:val="-2"/>
          <w:sz w:val="28"/>
        </w:rPr>
        <w:t>次勘察，空鼓严重剔凿面积较大</w:t>
      </w:r>
      <w:r>
        <w:rPr>
          <w:sz w:val="28"/>
        </w:rPr>
        <w:t>（以现场实际剔凿面积测量计算为准</w:t>
      </w:r>
      <w:r>
        <w:rPr>
          <w:spacing w:val="-140"/>
          <w:sz w:val="28"/>
        </w:rPr>
        <w:t>）</w:t>
      </w:r>
      <w:r>
        <w:rPr>
          <w:spacing w:val="-4"/>
          <w:sz w:val="28"/>
        </w:rPr>
        <w:t>。剔除</w:t>
      </w:r>
    </w:p>
    <w:p>
      <w:pPr>
        <w:spacing w:after="0" w:line="417" w:lineRule="auto"/>
        <w:jc w:val="left"/>
        <w:rPr>
          <w:sz w:val="28"/>
        </w:rPr>
        <w:sectPr>
          <w:headerReference w:type="default" r:id="rId12"/>
          <w:footerReference w:type="default" r:id="rId13"/>
          <w:pgSz w:w="11910" w:h="16840"/>
          <w:pgMar w:top="1180" w:right="640" w:bottom="1600" w:left="1020" w:header="996" w:footer="1381"/>
          <w:pgNumType w:start="5"/>
          <w:cols w:space="708"/>
        </w:sectPr>
      </w:pPr>
    </w:p>
    <w:p>
      <w:pPr>
        <w:pStyle w:val="BodyText"/>
        <w:rPr>
          <w:sz w:val="9"/>
        </w:rPr>
      </w:pPr>
    </w:p>
    <w:p>
      <w:pPr>
        <w:pStyle w:val="BodyText"/>
        <w:spacing w:before="70"/>
        <w:ind w:left="398"/>
        <w:jc w:val="both"/>
      </w:pPr>
      <w:r>
        <w:rPr>
          <w:spacing w:val="-9"/>
        </w:rPr>
        <w:t xml:space="preserve">后的抹灰层采用 </w:t>
      </w:r>
      <w:r>
        <w:rPr>
          <w:rFonts w:ascii="Times New Roman" w:eastAsia="Times New Roman"/>
        </w:rPr>
        <w:t xml:space="preserve">20mm </w:t>
      </w:r>
      <w:r>
        <w:rPr>
          <w:spacing w:val="-2"/>
        </w:rPr>
        <w:t>挤塑板填充厚度。</w:t>
      </w:r>
    </w:p>
    <w:p>
      <w:pPr>
        <w:pStyle w:val="ListParagraph"/>
        <w:numPr>
          <w:ilvl w:val="1"/>
          <w:numId w:val="17"/>
        </w:numPr>
        <w:tabs>
          <w:tab w:val="left" w:pos="1309"/>
        </w:tabs>
        <w:spacing w:before="265" w:after="0" w:line="417" w:lineRule="auto"/>
        <w:ind w:left="398" w:right="492" w:firstLine="560"/>
        <w:jc w:val="both"/>
        <w:rPr>
          <w:sz w:val="28"/>
        </w:rPr>
      </w:pPr>
      <w:r>
        <w:rPr>
          <w:spacing w:val="-2"/>
          <w:sz w:val="28"/>
        </w:rPr>
        <w:t>、本工程，需采用脚手架对外墙进行涂料粉刷。踢除外墙空鼓抹灰层时，需将踢除的抹灰层渣土随踢随用挡板接住，后装入桶中采用滑轮垂直运输至地面，不得将剔除的抹灰层碎块随意掉至楼下，以免出现意外伤害事件</w:t>
      </w:r>
      <w:r>
        <w:rPr>
          <w:spacing w:val="-4"/>
          <w:sz w:val="28"/>
        </w:rPr>
        <w:t>发生。</w:t>
      </w:r>
    </w:p>
    <w:p>
      <w:pPr>
        <w:pStyle w:val="ListParagraph"/>
        <w:numPr>
          <w:ilvl w:val="1"/>
          <w:numId w:val="17"/>
        </w:numPr>
        <w:tabs>
          <w:tab w:val="left" w:pos="1309"/>
        </w:tabs>
        <w:spacing w:before="0" w:after="0" w:line="417" w:lineRule="auto"/>
        <w:ind w:left="398" w:right="352" w:firstLine="560"/>
        <w:jc w:val="left"/>
        <w:rPr>
          <w:sz w:val="28"/>
        </w:rPr>
      </w:pPr>
      <w:r>
        <w:rPr>
          <w:spacing w:val="-2"/>
          <w:sz w:val="28"/>
        </w:rPr>
        <w:t>、部分楼房有外墙空调室外机及护窗栏，需先将所用的空调室外机加</w:t>
      </w:r>
      <w:r>
        <w:rPr>
          <w:spacing w:val="-2"/>
          <w:sz w:val="28"/>
        </w:rPr>
        <w:t>以保护，避免碰坏。外窗护栏需先拆除后再施工，否则施工人员够不到墙面，</w:t>
      </w:r>
      <w:r>
        <w:rPr>
          <w:spacing w:val="-2"/>
          <w:sz w:val="28"/>
        </w:rPr>
        <w:t>无法施工。</w:t>
      </w:r>
    </w:p>
    <w:p>
      <w:pPr>
        <w:pStyle w:val="ListParagraph"/>
        <w:numPr>
          <w:ilvl w:val="1"/>
          <w:numId w:val="17"/>
        </w:numPr>
        <w:tabs>
          <w:tab w:val="left" w:pos="1309"/>
        </w:tabs>
        <w:spacing w:before="0" w:after="0" w:line="417" w:lineRule="auto"/>
        <w:ind w:left="398" w:right="492" w:firstLine="560"/>
        <w:jc w:val="left"/>
        <w:rPr>
          <w:sz w:val="28"/>
        </w:rPr>
      </w:pPr>
      <w:r>
        <w:rPr>
          <w:spacing w:val="-2"/>
          <w:sz w:val="28"/>
        </w:rPr>
        <w:t>、聚合物抗裂砂浆、外墙耐水腻子、涂料，工具等材料运输时，需装</w:t>
      </w:r>
      <w:r>
        <w:rPr>
          <w:spacing w:val="-2"/>
          <w:sz w:val="28"/>
        </w:rPr>
        <w:t>桶用滑轨吊至施工人员吊篮内。</w:t>
      </w:r>
    </w:p>
    <w:p>
      <w:pPr>
        <w:pStyle w:val="ListParagraph"/>
        <w:numPr>
          <w:ilvl w:val="1"/>
          <w:numId w:val="17"/>
        </w:numPr>
        <w:tabs>
          <w:tab w:val="left" w:pos="1309"/>
        </w:tabs>
        <w:spacing w:before="0" w:after="0" w:line="417" w:lineRule="auto"/>
        <w:ind w:left="398" w:right="352" w:firstLine="560"/>
        <w:jc w:val="left"/>
        <w:rPr>
          <w:sz w:val="28"/>
        </w:rPr>
      </w:pPr>
      <w:r>
        <w:rPr>
          <w:spacing w:val="-1"/>
          <w:sz w:val="28"/>
        </w:rPr>
        <w:t xml:space="preserve">、因本村居民房外墙，年久失修，局部外墙已脱落，需采用圆 </w:t>
      </w:r>
      <w:r>
        <w:rPr>
          <w:rFonts w:ascii="Times New Roman" w:eastAsia="Times New Roman"/>
          <w:sz w:val="28"/>
        </w:rPr>
        <w:t xml:space="preserve">6 </w:t>
      </w:r>
      <w:r>
        <w:rPr>
          <w:sz w:val="28"/>
        </w:rPr>
        <w:t>膨胀</w:t>
      </w:r>
      <w:r>
        <w:rPr>
          <w:spacing w:val="-15"/>
          <w:sz w:val="28"/>
        </w:rPr>
        <w:t xml:space="preserve">螺栓嵌入至楼板中，间距 </w:t>
      </w:r>
      <w:r>
        <w:rPr>
          <w:rFonts w:ascii="Times New Roman" w:eastAsia="Times New Roman"/>
          <w:sz w:val="28"/>
        </w:rPr>
        <w:t>200mm</w:t>
      </w:r>
      <w:r>
        <w:rPr>
          <w:rFonts w:ascii="Times New Roman" w:eastAsia="Times New Roman"/>
          <w:spacing w:val="-18"/>
          <w:sz w:val="28"/>
        </w:rPr>
        <w:t xml:space="preserve"> </w:t>
      </w:r>
      <w:r>
        <w:rPr>
          <w:spacing w:val="-11"/>
          <w:sz w:val="28"/>
        </w:rPr>
        <w:t>一道，再用镀锌钢板网栓在膨胀螺栓后抹灰。</w:t>
      </w:r>
      <w:r>
        <w:rPr>
          <w:spacing w:val="-2"/>
          <w:sz w:val="28"/>
        </w:rPr>
        <w:t>以保证抹灰层的牢靠。</w:t>
      </w:r>
    </w:p>
    <w:p>
      <w:pPr>
        <w:pStyle w:val="BodyText"/>
        <w:spacing w:line="417" w:lineRule="auto"/>
        <w:ind w:left="398" w:right="492" w:firstLine="560"/>
      </w:pPr>
      <w:r>
        <w:rPr>
          <w:rFonts w:ascii="Times New Roman" w:eastAsia="Times New Roman"/>
          <w:spacing w:val="-2"/>
        </w:rPr>
        <w:t>1.7</w:t>
      </w:r>
      <w:r>
        <w:rPr>
          <w:spacing w:val="-2"/>
        </w:rPr>
        <w:t>．经现场勘察，部分居民楼已经严重老化，无法判断是否影响结构安</w:t>
      </w:r>
      <w:r>
        <w:rPr>
          <w:spacing w:val="-2"/>
        </w:rPr>
        <w:t>全，本方案仅解决外墙抹灰层脱落及外墙粉刷，不对原有结构安全负责。</w:t>
      </w:r>
    </w:p>
    <w:p>
      <w:pPr>
        <w:pStyle w:val="BodyText"/>
        <w:spacing w:line="417" w:lineRule="auto"/>
        <w:ind w:left="398" w:right="492" w:firstLine="560"/>
        <w:jc w:val="both"/>
      </w:pPr>
      <w:r>
        <w:rPr>
          <w:rFonts w:ascii="Times New Roman" w:eastAsia="Times New Roman"/>
          <w:spacing w:val="-2"/>
        </w:rPr>
        <w:t>2</w:t>
      </w:r>
      <w:r>
        <w:rPr>
          <w:spacing w:val="-2"/>
        </w:rPr>
        <w:t>、是由于部分居民并不同意我司对其楼房的外面进行改造，并且他们会</w:t>
      </w:r>
      <w:r>
        <w:rPr>
          <w:spacing w:val="-2"/>
        </w:rPr>
        <w:t>担心结构安全和人身安全问题，因此造成我司工作面无法连续展开，与居民</w:t>
      </w:r>
      <w:r>
        <w:rPr>
          <w:spacing w:val="-2"/>
        </w:rPr>
        <w:t>间的协调沟通也是本工程的主要难点之一。</w:t>
      </w:r>
    </w:p>
    <w:p>
      <w:pPr>
        <w:pStyle w:val="BodyText"/>
        <w:spacing w:before="5"/>
        <w:rPr>
          <w:sz w:val="41"/>
        </w:rPr>
      </w:pPr>
    </w:p>
    <w:p>
      <w:pPr>
        <w:pStyle w:val="Heading2"/>
        <w:tabs>
          <w:tab w:val="left" w:pos="1121"/>
        </w:tabs>
        <w:ind w:left="0" w:right="376"/>
        <w:jc w:val="center"/>
        <w:rPr>
          <w:rFonts w:ascii="微软雅黑" w:eastAsia="微软雅黑"/>
        </w:rPr>
      </w:pPr>
      <w:bookmarkStart w:id="10" w:name="_TOC_250008"/>
      <w:r>
        <w:rPr>
          <w:rFonts w:ascii="微软雅黑" w:eastAsia="微软雅黑"/>
        </w:rPr>
        <w:t>第</w:t>
      </w:r>
      <w:r>
        <w:rPr>
          <w:rFonts w:ascii="微软雅黑" w:eastAsia="微软雅黑"/>
        </w:rPr>
        <w:t>三</w:t>
      </w:r>
      <w:r>
        <w:rPr>
          <w:rFonts w:ascii="微软雅黑" w:eastAsia="微软雅黑"/>
          <w:spacing w:val="-10"/>
        </w:rPr>
        <w:t>节</w:t>
      </w:r>
      <w:r>
        <w:rPr>
          <w:rFonts w:ascii="微软雅黑" w:eastAsia="微软雅黑"/>
        </w:rPr>
        <w:tab/>
        <w:t>施</w:t>
      </w:r>
      <w:r>
        <w:rPr>
          <w:rFonts w:ascii="微软雅黑" w:eastAsia="微软雅黑"/>
        </w:rPr>
        <w:t>工</w:t>
      </w:r>
      <w:r>
        <w:rPr>
          <w:rFonts w:ascii="微软雅黑" w:eastAsia="微软雅黑"/>
        </w:rPr>
        <w:t>顺</w:t>
      </w:r>
      <w:r>
        <w:rPr>
          <w:rFonts w:ascii="微软雅黑" w:eastAsia="微软雅黑"/>
        </w:rPr>
        <w:t>序</w:t>
      </w:r>
      <w:r>
        <w:rPr>
          <w:rFonts w:ascii="微软雅黑" w:eastAsia="微软雅黑"/>
        </w:rPr>
        <w:t>及</w:t>
      </w:r>
      <w:r>
        <w:rPr>
          <w:rFonts w:ascii="微软雅黑" w:eastAsia="微软雅黑"/>
        </w:rPr>
        <w:t>流</w:t>
      </w:r>
      <w:r>
        <w:rPr>
          <w:rFonts w:ascii="微软雅黑" w:eastAsia="微软雅黑"/>
        </w:rPr>
        <w:t>水</w:t>
      </w:r>
      <w:r>
        <w:rPr>
          <w:rFonts w:ascii="微软雅黑" w:eastAsia="微软雅黑"/>
        </w:rPr>
        <w:t>段</w:t>
      </w:r>
      <w:r>
        <w:rPr>
          <w:rFonts w:ascii="微软雅黑" w:eastAsia="微软雅黑"/>
        </w:rPr>
        <w:t>安</w:t>
      </w:r>
      <w:bookmarkEnd w:id="10"/>
      <w:r>
        <w:rPr>
          <w:rFonts w:ascii="微软雅黑" w:eastAsia="微软雅黑"/>
          <w:spacing w:val="-10"/>
        </w:rPr>
        <w:t>排</w:t>
      </w:r>
    </w:p>
    <w:p>
      <w:pPr>
        <w:pStyle w:val="BodyText"/>
        <w:spacing w:before="198" w:line="417" w:lineRule="auto"/>
        <w:ind w:left="398" w:right="492" w:firstLine="560"/>
      </w:pPr>
      <w:r>
        <w:rPr>
          <w:spacing w:val="-6"/>
        </w:rPr>
        <w:t>根据 设计文件要求，分为三个施工区域：九区、十区、十一区，三个施</w:t>
      </w:r>
      <w:r>
        <w:rPr>
          <w:spacing w:val="-2"/>
        </w:rPr>
        <w:t>工区域可以同时施工，如下图所示：</w:t>
      </w:r>
    </w:p>
    <w:p>
      <w:pPr>
        <w:spacing w:after="0" w:line="417" w:lineRule="auto"/>
        <w:sectPr>
          <w:headerReference w:type="default" r:id="rId14"/>
          <w:footerReference w:type="default" r:id="rId15"/>
          <w:pgSz w:w="11910" w:h="16840"/>
          <w:pgMar w:top="1180" w:right="640" w:bottom="1600" w:left="1020" w:header="996" w:footer="1381"/>
          <w:pgNumType w:start="6"/>
          <w:cols w:space="708"/>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Heading2"/>
        <w:tabs>
          <w:tab w:val="left" w:pos="1121"/>
        </w:tabs>
        <w:spacing w:before="138"/>
        <w:ind w:left="0" w:right="376"/>
        <w:jc w:val="center"/>
      </w:pPr>
      <w:bookmarkStart w:id="11" w:name="_TOC_250007"/>
      <w:r>
        <w:t>第</w:t>
      </w:r>
      <w:r>
        <w:t>四</w:t>
      </w:r>
      <w:r>
        <w:rPr>
          <w:spacing w:val="-10"/>
        </w:rPr>
        <w:t>节</w:t>
      </w:r>
      <w:r>
        <w:tab/>
        <w:t>组</w:t>
      </w:r>
      <w:r>
        <w:t>织</w:t>
      </w:r>
      <w:r>
        <w:t>管</w:t>
      </w:r>
      <w:r>
        <w:t>理</w:t>
      </w:r>
      <w:r>
        <w:t>机</w:t>
      </w:r>
      <w:r>
        <w:t>构</w:t>
      </w:r>
      <w:r>
        <w:t>及</w:t>
      </w:r>
      <w:r>
        <w:t>岗</w:t>
      </w:r>
      <w:r>
        <w:t>位</w:t>
      </w:r>
      <w:r>
        <w:t>职</w:t>
      </w:r>
      <w:bookmarkEnd w:id="11"/>
      <w:r>
        <w:rPr>
          <w:spacing w:val="-10"/>
        </w:rPr>
        <w:t>责</w:t>
      </w:r>
    </w:p>
    <w:p>
      <w:pPr>
        <w:pStyle w:val="BodyText"/>
        <w:rPr>
          <w:rFonts w:ascii="Microsoft JhengHei"/>
          <w:b/>
          <w:sz w:val="20"/>
        </w:rPr>
      </w:pPr>
    </w:p>
    <w:p>
      <w:pPr>
        <w:pStyle w:val="BodyText"/>
        <w:rPr>
          <w:rFonts w:ascii="Microsoft JhengHei"/>
          <w:b/>
          <w:sz w:val="20"/>
        </w:rPr>
      </w:pPr>
    </w:p>
    <w:p>
      <w:pPr>
        <w:pStyle w:val="BodyText"/>
        <w:rPr>
          <w:rFonts w:ascii="Microsoft JhengHei"/>
          <w:b/>
          <w:sz w:val="20"/>
        </w:rPr>
      </w:pPr>
    </w:p>
    <w:p>
      <w:pPr>
        <w:pStyle w:val="BodyText"/>
        <w:rPr>
          <w:rFonts w:ascii="Microsoft JhengHei"/>
          <w:b/>
          <w:sz w:val="20"/>
        </w:rPr>
      </w:pPr>
    </w:p>
    <w:p>
      <w:pPr>
        <w:pStyle w:val="BodyText"/>
        <w:rPr>
          <w:rFonts w:ascii="Microsoft JhengHei"/>
          <w:b/>
          <w:sz w:val="20"/>
        </w:rPr>
      </w:pPr>
    </w:p>
    <w:p>
      <w:pPr>
        <w:pStyle w:val="BodyText"/>
        <w:rPr>
          <w:rFonts w:ascii="Microsoft JhengHei"/>
          <w:b/>
          <w:sz w:val="20"/>
        </w:rPr>
      </w:pPr>
    </w:p>
    <w:p>
      <w:pPr>
        <w:pStyle w:val="BodyText"/>
        <w:rPr>
          <w:rFonts w:ascii="Microsoft JhengHei"/>
          <w:b/>
          <w:sz w:val="20"/>
        </w:rPr>
      </w:pPr>
    </w:p>
    <w:p>
      <w:pPr>
        <w:pStyle w:val="BodyText"/>
        <w:rPr>
          <w:rFonts w:ascii="Microsoft JhengHei"/>
          <w:b/>
          <w:sz w:val="20"/>
        </w:rPr>
      </w:pPr>
    </w:p>
    <w:p>
      <w:pPr>
        <w:pStyle w:val="BodyText"/>
        <w:spacing w:before="6"/>
        <w:rPr>
          <w:rFonts w:ascii="Microsoft JhengHei"/>
          <w:b/>
          <w:sz w:val="17"/>
        </w:rPr>
      </w:pPr>
    </w:p>
    <w:p>
      <w:pPr>
        <w:pStyle w:val="BodyText"/>
        <w:spacing w:before="60"/>
        <w:ind w:left="398"/>
      </w:pPr>
      <w:r>
        <w:rPr>
          <w:spacing w:val="-2"/>
        </w:rPr>
        <w:t>岗位职责：</w:t>
      </w:r>
    </w:p>
    <w:p>
      <w:pPr>
        <w:pStyle w:val="BodyText"/>
        <w:spacing w:before="2" w:after="1"/>
        <w:rPr>
          <w:sz w:val="10"/>
        </w:rPr>
      </w:pPr>
    </w:p>
    <w:tbl>
      <w:tblPr>
        <w:tblStyle w:val="TableNormal1"/>
        <w:tblW w:w="0" w:type="auto"/>
        <w:jc w:val="left"/>
        <w:tblInd w:w="2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106"/>
        <w:gridCol w:w="1708"/>
        <w:gridCol w:w="6799"/>
      </w:tblGrid>
      <w:tr>
        <w:tblPrEx>
          <w:tblW w:w="0" w:type="auto"/>
          <w:jc w:val="left"/>
          <w:tblInd w:w="2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650"/>
          <w:jc w:val="left"/>
        </w:trPr>
        <w:tc>
          <w:tcPr>
            <w:tcW w:w="1106" w:type="dxa"/>
          </w:tcPr>
          <w:p>
            <w:pPr>
              <w:pStyle w:val="TableParagraph"/>
              <w:spacing w:before="148"/>
              <w:ind w:left="273"/>
              <w:rPr>
                <w:sz w:val="28"/>
              </w:rPr>
            </w:pPr>
            <w:r>
              <w:rPr>
                <w:spacing w:val="-5"/>
                <w:sz w:val="28"/>
              </w:rPr>
              <w:t>姓名</w:t>
            </w:r>
          </w:p>
        </w:tc>
        <w:tc>
          <w:tcPr>
            <w:tcW w:w="1708" w:type="dxa"/>
          </w:tcPr>
          <w:p>
            <w:pPr>
              <w:pStyle w:val="TableParagraph"/>
              <w:spacing w:before="148"/>
              <w:ind w:left="238" w:right="229"/>
              <w:jc w:val="center"/>
              <w:rPr>
                <w:sz w:val="28"/>
              </w:rPr>
            </w:pPr>
            <w:r>
              <w:rPr>
                <w:spacing w:val="-5"/>
                <w:sz w:val="28"/>
              </w:rPr>
              <w:t>职务</w:t>
            </w:r>
          </w:p>
        </w:tc>
        <w:tc>
          <w:tcPr>
            <w:tcW w:w="6799" w:type="dxa"/>
          </w:tcPr>
          <w:p>
            <w:pPr>
              <w:pStyle w:val="TableParagraph"/>
              <w:spacing w:before="148"/>
              <w:ind w:left="3384" w:right="2815"/>
              <w:jc w:val="center"/>
              <w:rPr>
                <w:sz w:val="28"/>
              </w:rPr>
            </w:pPr>
            <w:r>
              <w:rPr>
                <w:spacing w:val="-5"/>
                <w:sz w:val="28"/>
              </w:rPr>
              <w:t>职责</w:t>
            </w:r>
          </w:p>
        </w:tc>
      </w:tr>
      <w:tr>
        <w:tblPrEx>
          <w:tblW w:w="0" w:type="auto"/>
          <w:jc w:val="left"/>
          <w:tblInd w:w="295" w:type="dxa"/>
          <w:tblLayout w:type="fixed"/>
          <w:tblCellMar>
            <w:top w:w="0" w:type="dxa"/>
            <w:left w:w="0" w:type="dxa"/>
            <w:bottom w:w="0" w:type="dxa"/>
            <w:right w:w="0" w:type="dxa"/>
          </w:tblCellMar>
          <w:tblLook w:val="01E0"/>
        </w:tblPrEx>
        <w:trPr>
          <w:trHeight w:val="1568"/>
          <w:jc w:val="left"/>
        </w:trPr>
        <w:tc>
          <w:tcPr>
            <w:tcW w:w="1106" w:type="dxa"/>
          </w:tcPr>
          <w:p>
            <w:pPr>
              <w:pStyle w:val="TableParagraph"/>
              <w:rPr>
                <w:rFonts w:ascii="Times New Roman"/>
                <w:sz w:val="24"/>
              </w:rPr>
            </w:pPr>
          </w:p>
        </w:tc>
        <w:tc>
          <w:tcPr>
            <w:tcW w:w="1708" w:type="dxa"/>
          </w:tcPr>
          <w:p>
            <w:pPr>
              <w:pStyle w:val="TableParagraph"/>
              <w:rPr>
                <w:sz w:val="24"/>
              </w:rPr>
            </w:pPr>
          </w:p>
          <w:p>
            <w:pPr>
              <w:pStyle w:val="TableParagraph"/>
              <w:spacing w:before="4"/>
              <w:rPr>
                <w:sz w:val="25"/>
              </w:rPr>
            </w:pPr>
          </w:p>
          <w:p>
            <w:pPr>
              <w:pStyle w:val="TableParagraph"/>
              <w:ind w:left="239" w:right="229"/>
              <w:jc w:val="center"/>
              <w:rPr>
                <w:sz w:val="24"/>
              </w:rPr>
            </w:pPr>
            <w:r>
              <w:rPr>
                <w:spacing w:val="-3"/>
                <w:sz w:val="24"/>
              </w:rPr>
              <w:t>项目经理</w:t>
            </w:r>
          </w:p>
        </w:tc>
        <w:tc>
          <w:tcPr>
            <w:tcW w:w="6799" w:type="dxa"/>
          </w:tcPr>
          <w:p>
            <w:pPr>
              <w:pStyle w:val="TableParagraph"/>
              <w:spacing w:before="94"/>
              <w:ind w:left="107"/>
              <w:rPr>
                <w:sz w:val="24"/>
              </w:rPr>
            </w:pPr>
            <w:r>
              <w:rPr>
                <w:rFonts w:ascii="Times New Roman" w:eastAsia="Times New Roman"/>
                <w:sz w:val="24"/>
              </w:rPr>
              <w:t>1</w:t>
            </w:r>
            <w:r>
              <w:rPr>
                <w:spacing w:val="-1"/>
                <w:sz w:val="24"/>
              </w:rPr>
              <w:t>、安全生产第一责任人；</w:t>
            </w:r>
          </w:p>
          <w:p>
            <w:pPr>
              <w:pStyle w:val="TableParagraph"/>
              <w:spacing w:before="51"/>
              <w:ind w:left="107"/>
              <w:rPr>
                <w:sz w:val="24"/>
              </w:rPr>
            </w:pPr>
            <w:r>
              <w:rPr>
                <w:rFonts w:ascii="Times New Roman" w:eastAsia="Times New Roman"/>
                <w:sz w:val="24"/>
              </w:rPr>
              <w:t>2</w:t>
            </w:r>
            <w:r>
              <w:rPr>
                <w:spacing w:val="-1"/>
                <w:sz w:val="24"/>
              </w:rPr>
              <w:t>、主持编辑施工方案；</w:t>
            </w:r>
          </w:p>
          <w:p>
            <w:pPr>
              <w:pStyle w:val="TableParagraph"/>
              <w:spacing w:before="52"/>
              <w:ind w:left="107"/>
              <w:rPr>
                <w:sz w:val="24"/>
              </w:rPr>
            </w:pPr>
            <w:r>
              <w:rPr>
                <w:rFonts w:ascii="Times New Roman" w:eastAsia="Times New Roman"/>
                <w:sz w:val="24"/>
              </w:rPr>
              <w:t>3</w:t>
            </w:r>
            <w:r>
              <w:rPr>
                <w:spacing w:val="-1"/>
                <w:sz w:val="24"/>
              </w:rPr>
              <w:t>、安全生产全过程组织与协调；</w:t>
            </w:r>
          </w:p>
          <w:p>
            <w:pPr>
              <w:pStyle w:val="TableParagraph"/>
              <w:spacing w:before="51"/>
              <w:ind w:left="107"/>
              <w:rPr>
                <w:sz w:val="24"/>
              </w:rPr>
            </w:pPr>
            <w:r>
              <w:rPr>
                <w:rFonts w:ascii="Times New Roman" w:eastAsia="Times New Roman"/>
                <w:sz w:val="24"/>
              </w:rPr>
              <w:t>4</w:t>
            </w:r>
            <w:r>
              <w:rPr>
                <w:spacing w:val="-1"/>
                <w:sz w:val="24"/>
              </w:rPr>
              <w:t>、响应落实国家法律法规、企业规章制度；</w:t>
            </w:r>
          </w:p>
        </w:tc>
      </w:tr>
      <w:tr>
        <w:tblPrEx>
          <w:tblW w:w="0" w:type="auto"/>
          <w:jc w:val="left"/>
          <w:tblInd w:w="295" w:type="dxa"/>
          <w:tblLayout w:type="fixed"/>
          <w:tblCellMar>
            <w:top w:w="0" w:type="dxa"/>
            <w:left w:w="0" w:type="dxa"/>
            <w:bottom w:w="0" w:type="dxa"/>
            <w:right w:w="0" w:type="dxa"/>
          </w:tblCellMar>
          <w:tblLook w:val="01E0"/>
        </w:tblPrEx>
        <w:trPr>
          <w:trHeight w:val="1338"/>
          <w:jc w:val="left"/>
        </w:trPr>
        <w:tc>
          <w:tcPr>
            <w:tcW w:w="1106" w:type="dxa"/>
          </w:tcPr>
          <w:p>
            <w:pPr>
              <w:pStyle w:val="TableParagraph"/>
              <w:rPr>
                <w:rFonts w:ascii="Times New Roman"/>
                <w:sz w:val="24"/>
              </w:rPr>
            </w:pPr>
          </w:p>
        </w:tc>
        <w:tc>
          <w:tcPr>
            <w:tcW w:w="1708" w:type="dxa"/>
          </w:tcPr>
          <w:p>
            <w:pPr>
              <w:pStyle w:val="TableParagraph"/>
              <w:rPr>
                <w:sz w:val="24"/>
              </w:rPr>
            </w:pPr>
          </w:p>
          <w:p>
            <w:pPr>
              <w:pStyle w:val="TableParagraph"/>
              <w:spacing w:before="209"/>
              <w:ind w:left="239" w:right="229"/>
              <w:jc w:val="center"/>
              <w:rPr>
                <w:sz w:val="24"/>
              </w:rPr>
            </w:pPr>
            <w:r>
              <w:rPr>
                <w:spacing w:val="-2"/>
                <w:sz w:val="24"/>
              </w:rPr>
              <w:t>技术负责人</w:t>
            </w:r>
          </w:p>
        </w:tc>
        <w:tc>
          <w:tcPr>
            <w:tcW w:w="6799" w:type="dxa"/>
          </w:tcPr>
          <w:p>
            <w:pPr>
              <w:pStyle w:val="TableParagraph"/>
              <w:spacing w:before="158"/>
              <w:ind w:left="107"/>
              <w:rPr>
                <w:sz w:val="24"/>
              </w:rPr>
            </w:pPr>
            <w:r>
              <w:rPr>
                <w:rFonts w:ascii="Times New Roman" w:eastAsia="Times New Roman"/>
                <w:sz w:val="24"/>
              </w:rPr>
              <w:t>1</w:t>
            </w:r>
            <w:r>
              <w:rPr>
                <w:spacing w:val="-1"/>
                <w:sz w:val="24"/>
              </w:rPr>
              <w:t>、制定项目安全技术措施和分项工程安全施工方案；</w:t>
            </w:r>
          </w:p>
          <w:p>
            <w:pPr>
              <w:pStyle w:val="TableParagraph"/>
              <w:spacing w:before="51"/>
              <w:ind w:left="107"/>
              <w:rPr>
                <w:sz w:val="24"/>
              </w:rPr>
            </w:pPr>
            <w:r>
              <w:rPr>
                <w:rFonts w:ascii="Times New Roman" w:eastAsia="Times New Roman"/>
                <w:sz w:val="24"/>
              </w:rPr>
              <w:t>2</w:t>
            </w:r>
            <w:r>
              <w:rPr>
                <w:spacing w:val="-1"/>
                <w:sz w:val="24"/>
              </w:rPr>
              <w:t>、督促安全措施的落实</w:t>
            </w:r>
          </w:p>
          <w:p>
            <w:pPr>
              <w:pStyle w:val="TableParagraph"/>
              <w:spacing w:before="52"/>
              <w:ind w:left="107"/>
              <w:rPr>
                <w:sz w:val="24"/>
              </w:rPr>
            </w:pPr>
            <w:r>
              <w:rPr>
                <w:rFonts w:ascii="Times New Roman" w:eastAsia="Times New Roman"/>
                <w:sz w:val="24"/>
              </w:rPr>
              <w:t>3</w:t>
            </w:r>
            <w:r>
              <w:rPr>
                <w:spacing w:val="-1"/>
                <w:sz w:val="24"/>
              </w:rPr>
              <w:t>、解决施工过程中的不安全技术问题</w:t>
            </w:r>
          </w:p>
        </w:tc>
      </w:tr>
      <w:tr>
        <w:tblPrEx>
          <w:tblW w:w="0" w:type="auto"/>
          <w:jc w:val="left"/>
          <w:tblInd w:w="295" w:type="dxa"/>
          <w:tblLayout w:type="fixed"/>
          <w:tblCellMar>
            <w:top w:w="0" w:type="dxa"/>
            <w:left w:w="0" w:type="dxa"/>
            <w:bottom w:w="0" w:type="dxa"/>
            <w:right w:w="0" w:type="dxa"/>
          </w:tblCellMar>
          <w:tblLook w:val="01E0"/>
        </w:tblPrEx>
        <w:trPr>
          <w:trHeight w:val="1792"/>
          <w:jc w:val="left"/>
        </w:trPr>
        <w:tc>
          <w:tcPr>
            <w:tcW w:w="1106" w:type="dxa"/>
          </w:tcPr>
          <w:p>
            <w:pPr>
              <w:pStyle w:val="TableParagraph"/>
              <w:rPr>
                <w:rFonts w:ascii="Times New Roman"/>
                <w:sz w:val="24"/>
              </w:rPr>
            </w:pPr>
          </w:p>
        </w:tc>
        <w:tc>
          <w:tcPr>
            <w:tcW w:w="1708" w:type="dxa"/>
          </w:tcPr>
          <w:p>
            <w:pPr>
              <w:pStyle w:val="TableParagraph"/>
              <w:rPr>
                <w:sz w:val="24"/>
              </w:rPr>
            </w:pPr>
          </w:p>
          <w:p>
            <w:pPr>
              <w:pStyle w:val="TableParagraph"/>
              <w:rPr>
                <w:sz w:val="34"/>
              </w:rPr>
            </w:pPr>
          </w:p>
          <w:p>
            <w:pPr>
              <w:pStyle w:val="TableParagraph"/>
              <w:spacing w:before="1"/>
              <w:ind w:left="239" w:right="229"/>
              <w:jc w:val="center"/>
              <w:rPr>
                <w:sz w:val="24"/>
              </w:rPr>
            </w:pPr>
            <w:r>
              <w:rPr>
                <w:spacing w:val="-3"/>
                <w:sz w:val="24"/>
              </w:rPr>
              <w:t>安全主任</w:t>
            </w:r>
          </w:p>
        </w:tc>
        <w:tc>
          <w:tcPr>
            <w:tcW w:w="6799" w:type="dxa"/>
          </w:tcPr>
          <w:p>
            <w:pPr>
              <w:pStyle w:val="TableParagraph"/>
              <w:spacing w:before="206"/>
              <w:ind w:left="107"/>
              <w:rPr>
                <w:sz w:val="24"/>
              </w:rPr>
            </w:pPr>
            <w:r>
              <w:rPr>
                <w:rFonts w:ascii="Times New Roman" w:eastAsia="Times New Roman"/>
                <w:sz w:val="24"/>
              </w:rPr>
              <w:t>1</w:t>
            </w:r>
            <w:r>
              <w:rPr>
                <w:spacing w:val="-1"/>
                <w:sz w:val="24"/>
              </w:rPr>
              <w:t>、监督施工全过程的安全生产、纠正违章</w:t>
            </w:r>
          </w:p>
          <w:p>
            <w:pPr>
              <w:pStyle w:val="TableParagraph"/>
              <w:spacing w:before="51"/>
              <w:ind w:left="107"/>
              <w:rPr>
                <w:sz w:val="24"/>
              </w:rPr>
            </w:pPr>
            <w:r>
              <w:rPr>
                <w:rFonts w:ascii="Times New Roman" w:eastAsia="Times New Roman"/>
                <w:sz w:val="24"/>
              </w:rPr>
              <w:t>2</w:t>
            </w:r>
            <w:r>
              <w:rPr>
                <w:spacing w:val="-1"/>
                <w:sz w:val="24"/>
              </w:rPr>
              <w:t>、配合有关部门排除施工部安全因素</w:t>
            </w:r>
          </w:p>
          <w:p>
            <w:pPr>
              <w:pStyle w:val="TableParagraph"/>
              <w:spacing w:before="51"/>
              <w:ind w:left="107"/>
              <w:rPr>
                <w:sz w:val="24"/>
              </w:rPr>
            </w:pPr>
            <w:r>
              <w:rPr>
                <w:rFonts w:ascii="Times New Roman" w:eastAsia="Times New Roman"/>
                <w:sz w:val="24"/>
              </w:rPr>
              <w:t>3</w:t>
            </w:r>
            <w:r>
              <w:rPr>
                <w:spacing w:val="-1"/>
                <w:sz w:val="24"/>
              </w:rPr>
              <w:t>、项目全员安全活动和安全教育</w:t>
            </w:r>
          </w:p>
          <w:p>
            <w:pPr>
              <w:pStyle w:val="TableParagraph"/>
              <w:spacing w:before="51"/>
              <w:ind w:left="107"/>
              <w:rPr>
                <w:sz w:val="24"/>
              </w:rPr>
            </w:pPr>
            <w:r>
              <w:rPr>
                <w:rFonts w:ascii="Times New Roman" w:eastAsia="Times New Roman"/>
                <w:sz w:val="24"/>
              </w:rPr>
              <w:t>4</w:t>
            </w:r>
            <w:r>
              <w:rPr>
                <w:spacing w:val="-1"/>
                <w:sz w:val="24"/>
              </w:rPr>
              <w:t>、监督劳动用品质量和使用</w:t>
            </w:r>
          </w:p>
        </w:tc>
      </w:tr>
    </w:tbl>
    <w:p>
      <w:pPr>
        <w:spacing w:after="0"/>
        <w:rPr>
          <w:sz w:val="24"/>
        </w:rPr>
        <w:sectPr>
          <w:headerReference w:type="default" r:id="rId16"/>
          <w:footerReference w:type="default" r:id="rId17"/>
          <w:pgSz w:w="11910" w:h="16840"/>
          <w:pgMar w:top="1180" w:right="640" w:bottom="1600" w:left="1020" w:header="996" w:footer="1381"/>
          <w:pgNumType w:start="7"/>
          <w:cols w:space="708"/>
        </w:sectPr>
      </w:pPr>
    </w:p>
    <w:p>
      <w:pPr>
        <w:pStyle w:val="BodyText"/>
        <w:spacing w:before="12"/>
        <w:rPr>
          <w:sz w:val="3"/>
        </w:rPr>
      </w:pPr>
    </w:p>
    <w:tbl>
      <w:tblPr>
        <w:tblStyle w:val="TableNormal2"/>
        <w:tblW w:w="0" w:type="auto"/>
        <w:jc w:val="left"/>
        <w:tblInd w:w="2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106"/>
        <w:gridCol w:w="1708"/>
        <w:gridCol w:w="6799"/>
      </w:tblGrid>
      <w:tr>
        <w:tblPrEx>
          <w:tblW w:w="0" w:type="auto"/>
          <w:jc w:val="left"/>
          <w:tblInd w:w="2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1201"/>
          <w:jc w:val="left"/>
        </w:trPr>
        <w:tc>
          <w:tcPr>
            <w:tcW w:w="1106" w:type="dxa"/>
          </w:tcPr>
          <w:p>
            <w:pPr>
              <w:pStyle w:val="TableParagraph"/>
              <w:rPr>
                <w:rFonts w:ascii="Times New Roman"/>
                <w:sz w:val="24"/>
              </w:rPr>
            </w:pPr>
          </w:p>
        </w:tc>
        <w:tc>
          <w:tcPr>
            <w:tcW w:w="1708" w:type="dxa"/>
          </w:tcPr>
          <w:p>
            <w:pPr>
              <w:pStyle w:val="TableParagraph"/>
              <w:rPr>
                <w:sz w:val="21"/>
              </w:rPr>
            </w:pPr>
          </w:p>
          <w:p>
            <w:pPr>
              <w:pStyle w:val="TableParagraph"/>
              <w:spacing w:line="280" w:lineRule="auto"/>
              <w:ind w:left="733" w:right="123" w:hanging="600"/>
              <w:rPr>
                <w:sz w:val="24"/>
              </w:rPr>
            </w:pPr>
            <w:r>
              <w:rPr>
                <w:spacing w:val="-2"/>
                <w:sz w:val="24"/>
              </w:rPr>
              <w:t>生产调度负责</w:t>
            </w:r>
            <w:r>
              <w:rPr>
                <w:spacing w:val="-10"/>
                <w:sz w:val="24"/>
              </w:rPr>
              <w:t>人</w:t>
            </w:r>
          </w:p>
        </w:tc>
        <w:tc>
          <w:tcPr>
            <w:tcW w:w="6799" w:type="dxa"/>
          </w:tcPr>
          <w:p>
            <w:pPr>
              <w:pStyle w:val="TableParagraph"/>
              <w:rPr>
                <w:sz w:val="21"/>
              </w:rPr>
            </w:pPr>
          </w:p>
          <w:p>
            <w:pPr>
              <w:pStyle w:val="TableParagraph"/>
              <w:ind w:left="107"/>
              <w:rPr>
                <w:sz w:val="24"/>
              </w:rPr>
            </w:pPr>
            <w:r>
              <w:rPr>
                <w:rFonts w:ascii="Times New Roman" w:eastAsia="Times New Roman"/>
                <w:sz w:val="24"/>
              </w:rPr>
              <w:t>1</w:t>
            </w:r>
            <w:r>
              <w:rPr>
                <w:spacing w:val="-1"/>
                <w:sz w:val="24"/>
              </w:rPr>
              <w:t>、在安全生产前提下，合理安排生产计划；</w:t>
            </w:r>
          </w:p>
          <w:p>
            <w:pPr>
              <w:pStyle w:val="TableParagraph"/>
              <w:spacing w:before="52"/>
              <w:ind w:left="107"/>
              <w:rPr>
                <w:sz w:val="24"/>
              </w:rPr>
            </w:pPr>
            <w:r>
              <w:rPr>
                <w:rFonts w:ascii="Times New Roman" w:eastAsia="Times New Roman"/>
                <w:sz w:val="24"/>
              </w:rPr>
              <w:t>2</w:t>
            </w:r>
            <w:r>
              <w:rPr>
                <w:spacing w:val="-1"/>
                <w:sz w:val="24"/>
              </w:rPr>
              <w:t>、组织施工安全技术措施的实施</w:t>
            </w:r>
          </w:p>
        </w:tc>
      </w:tr>
      <w:tr>
        <w:tblPrEx>
          <w:tblW w:w="0" w:type="auto"/>
          <w:jc w:val="left"/>
          <w:tblInd w:w="295" w:type="dxa"/>
          <w:tblLayout w:type="fixed"/>
          <w:tblCellMar>
            <w:top w:w="0" w:type="dxa"/>
            <w:left w:w="0" w:type="dxa"/>
            <w:bottom w:w="0" w:type="dxa"/>
            <w:right w:w="0" w:type="dxa"/>
          </w:tblCellMar>
          <w:tblLook w:val="01E0"/>
        </w:tblPrEx>
        <w:trPr>
          <w:trHeight w:val="1323"/>
          <w:jc w:val="left"/>
        </w:trPr>
        <w:tc>
          <w:tcPr>
            <w:tcW w:w="1106" w:type="dxa"/>
          </w:tcPr>
          <w:p>
            <w:pPr>
              <w:pStyle w:val="TableParagraph"/>
              <w:rPr>
                <w:rFonts w:ascii="Times New Roman"/>
                <w:sz w:val="24"/>
              </w:rPr>
            </w:pPr>
          </w:p>
        </w:tc>
        <w:tc>
          <w:tcPr>
            <w:tcW w:w="1708" w:type="dxa"/>
          </w:tcPr>
          <w:p>
            <w:pPr>
              <w:pStyle w:val="TableParagraph"/>
              <w:spacing w:before="10"/>
              <w:rPr>
                <w:sz w:val="25"/>
              </w:rPr>
            </w:pPr>
          </w:p>
          <w:p>
            <w:pPr>
              <w:pStyle w:val="TableParagraph"/>
              <w:spacing w:line="280" w:lineRule="auto"/>
              <w:ind w:left="733" w:right="123" w:hanging="600"/>
              <w:rPr>
                <w:sz w:val="24"/>
              </w:rPr>
            </w:pPr>
            <w:r>
              <w:rPr>
                <w:spacing w:val="-2"/>
                <w:sz w:val="24"/>
              </w:rPr>
              <w:t>消防管理负责</w:t>
            </w:r>
            <w:r>
              <w:rPr>
                <w:spacing w:val="-10"/>
                <w:sz w:val="24"/>
              </w:rPr>
              <w:t>人</w:t>
            </w:r>
          </w:p>
        </w:tc>
        <w:tc>
          <w:tcPr>
            <w:tcW w:w="6799" w:type="dxa"/>
          </w:tcPr>
          <w:p>
            <w:pPr>
              <w:pStyle w:val="TableParagraph"/>
              <w:spacing w:before="151"/>
              <w:ind w:left="107"/>
              <w:rPr>
                <w:sz w:val="24"/>
              </w:rPr>
            </w:pPr>
            <w:r>
              <w:rPr>
                <w:rFonts w:ascii="Times New Roman" w:eastAsia="Times New Roman"/>
                <w:sz w:val="24"/>
              </w:rPr>
              <w:t>1</w:t>
            </w:r>
            <w:r>
              <w:rPr>
                <w:spacing w:val="-1"/>
                <w:sz w:val="24"/>
              </w:rPr>
              <w:t>、保证防火设备设施齐全有效；</w:t>
            </w:r>
          </w:p>
          <w:p>
            <w:pPr>
              <w:pStyle w:val="TableParagraph"/>
              <w:spacing w:before="51"/>
              <w:ind w:left="107"/>
              <w:rPr>
                <w:sz w:val="24"/>
              </w:rPr>
            </w:pPr>
            <w:r>
              <w:rPr>
                <w:rFonts w:ascii="Times New Roman" w:eastAsia="Times New Roman"/>
                <w:sz w:val="24"/>
              </w:rPr>
              <w:t>2</w:t>
            </w:r>
            <w:r>
              <w:rPr>
                <w:spacing w:val="-2"/>
                <w:sz w:val="24"/>
              </w:rPr>
              <w:t>、消除火灾隐患</w:t>
            </w:r>
          </w:p>
          <w:p>
            <w:pPr>
              <w:pStyle w:val="TableParagraph"/>
              <w:spacing w:before="52"/>
              <w:ind w:left="107"/>
              <w:rPr>
                <w:sz w:val="24"/>
              </w:rPr>
            </w:pPr>
            <w:r>
              <w:rPr>
                <w:rFonts w:ascii="Times New Roman" w:eastAsia="Times New Roman"/>
                <w:sz w:val="24"/>
              </w:rPr>
              <w:t>3</w:t>
            </w:r>
            <w:r>
              <w:rPr>
                <w:spacing w:val="-1"/>
                <w:sz w:val="24"/>
              </w:rPr>
              <w:t>、负责现场消防管理工作</w:t>
            </w:r>
          </w:p>
        </w:tc>
      </w:tr>
      <w:tr>
        <w:tblPrEx>
          <w:tblW w:w="0" w:type="auto"/>
          <w:jc w:val="left"/>
          <w:tblInd w:w="295" w:type="dxa"/>
          <w:tblLayout w:type="fixed"/>
          <w:tblCellMar>
            <w:top w:w="0" w:type="dxa"/>
            <w:left w:w="0" w:type="dxa"/>
            <w:bottom w:w="0" w:type="dxa"/>
            <w:right w:w="0" w:type="dxa"/>
          </w:tblCellMar>
          <w:tblLook w:val="01E0"/>
        </w:tblPrEx>
        <w:trPr>
          <w:trHeight w:val="1125"/>
          <w:jc w:val="left"/>
        </w:trPr>
        <w:tc>
          <w:tcPr>
            <w:tcW w:w="1106" w:type="dxa"/>
          </w:tcPr>
          <w:p>
            <w:pPr>
              <w:pStyle w:val="TableParagraph"/>
              <w:rPr>
                <w:rFonts w:ascii="Times New Roman"/>
                <w:sz w:val="24"/>
              </w:rPr>
            </w:pPr>
          </w:p>
        </w:tc>
        <w:tc>
          <w:tcPr>
            <w:tcW w:w="1708" w:type="dxa"/>
          </w:tcPr>
          <w:p>
            <w:pPr>
              <w:pStyle w:val="TableParagraph"/>
              <w:spacing w:before="1"/>
              <w:rPr>
                <w:sz w:val="18"/>
              </w:rPr>
            </w:pPr>
          </w:p>
          <w:p>
            <w:pPr>
              <w:pStyle w:val="TableParagraph"/>
              <w:spacing w:line="280" w:lineRule="auto"/>
              <w:ind w:left="733" w:right="123" w:hanging="600"/>
              <w:rPr>
                <w:sz w:val="24"/>
              </w:rPr>
            </w:pPr>
            <w:r>
              <w:rPr>
                <w:spacing w:val="-2"/>
                <w:sz w:val="24"/>
              </w:rPr>
              <w:t>劳务管理负责</w:t>
            </w:r>
            <w:r>
              <w:rPr>
                <w:spacing w:val="-10"/>
                <w:sz w:val="24"/>
              </w:rPr>
              <w:t>人</w:t>
            </w:r>
          </w:p>
        </w:tc>
        <w:tc>
          <w:tcPr>
            <w:tcW w:w="6799" w:type="dxa"/>
          </w:tcPr>
          <w:p>
            <w:pPr>
              <w:pStyle w:val="TableParagraph"/>
              <w:spacing w:before="52"/>
              <w:ind w:left="107"/>
              <w:rPr>
                <w:sz w:val="24"/>
              </w:rPr>
            </w:pPr>
            <w:r>
              <w:rPr>
                <w:rFonts w:ascii="Times New Roman" w:eastAsia="Times New Roman"/>
                <w:sz w:val="24"/>
              </w:rPr>
              <w:t>1</w:t>
            </w:r>
            <w:r>
              <w:rPr>
                <w:spacing w:val="-1"/>
                <w:sz w:val="24"/>
              </w:rPr>
              <w:t>、保证进场施工人员安全技术素质；</w:t>
            </w:r>
          </w:p>
          <w:p>
            <w:pPr>
              <w:pStyle w:val="TableParagraph"/>
              <w:spacing w:before="51"/>
              <w:ind w:left="107"/>
              <w:rPr>
                <w:sz w:val="24"/>
              </w:rPr>
            </w:pPr>
            <w:r>
              <w:rPr>
                <w:rFonts w:ascii="Times New Roman" w:eastAsia="Times New Roman"/>
                <w:sz w:val="24"/>
              </w:rPr>
              <w:t>2</w:t>
            </w:r>
            <w:r>
              <w:rPr>
                <w:spacing w:val="-1"/>
                <w:sz w:val="24"/>
              </w:rPr>
              <w:t>、控制加班加点，保证劳逸结合</w:t>
            </w:r>
          </w:p>
          <w:p>
            <w:pPr>
              <w:pStyle w:val="TableParagraph"/>
              <w:spacing w:before="52"/>
              <w:ind w:left="107"/>
              <w:rPr>
                <w:sz w:val="24"/>
              </w:rPr>
            </w:pPr>
            <w:r>
              <w:rPr>
                <w:rFonts w:ascii="Times New Roman" w:eastAsia="Times New Roman"/>
                <w:sz w:val="24"/>
              </w:rPr>
              <w:t>3</w:t>
            </w:r>
            <w:r>
              <w:rPr>
                <w:spacing w:val="-1"/>
                <w:sz w:val="24"/>
              </w:rPr>
              <w:t>、提供必需劳保用品，确保安全；</w:t>
            </w:r>
          </w:p>
        </w:tc>
      </w:tr>
      <w:tr>
        <w:tblPrEx>
          <w:tblW w:w="0" w:type="auto"/>
          <w:jc w:val="left"/>
          <w:tblInd w:w="295" w:type="dxa"/>
          <w:tblLayout w:type="fixed"/>
          <w:tblCellMar>
            <w:top w:w="0" w:type="dxa"/>
            <w:left w:w="0" w:type="dxa"/>
            <w:bottom w:w="0" w:type="dxa"/>
            <w:right w:w="0" w:type="dxa"/>
          </w:tblCellMar>
          <w:tblLook w:val="01E0"/>
        </w:tblPrEx>
        <w:trPr>
          <w:trHeight w:val="761"/>
          <w:jc w:val="left"/>
        </w:trPr>
        <w:tc>
          <w:tcPr>
            <w:tcW w:w="1106" w:type="dxa"/>
          </w:tcPr>
          <w:p>
            <w:pPr>
              <w:pStyle w:val="TableParagraph"/>
              <w:rPr>
                <w:rFonts w:ascii="Times New Roman"/>
                <w:sz w:val="24"/>
              </w:rPr>
            </w:pPr>
          </w:p>
        </w:tc>
        <w:tc>
          <w:tcPr>
            <w:tcW w:w="1708" w:type="dxa"/>
          </w:tcPr>
          <w:p>
            <w:pPr>
              <w:pStyle w:val="TableParagraph"/>
              <w:spacing w:before="3" w:line="358" w:lineRule="exact"/>
              <w:ind w:left="733" w:right="123" w:hanging="600"/>
              <w:rPr>
                <w:sz w:val="24"/>
              </w:rPr>
            </w:pPr>
            <w:r>
              <w:rPr>
                <w:spacing w:val="-2"/>
                <w:sz w:val="24"/>
              </w:rPr>
              <w:t>机械管理负责</w:t>
            </w:r>
            <w:r>
              <w:rPr>
                <w:spacing w:val="-10"/>
                <w:sz w:val="24"/>
              </w:rPr>
              <w:t>人</w:t>
            </w:r>
          </w:p>
        </w:tc>
        <w:tc>
          <w:tcPr>
            <w:tcW w:w="6799" w:type="dxa"/>
          </w:tcPr>
          <w:p>
            <w:pPr>
              <w:pStyle w:val="TableParagraph"/>
              <w:spacing w:before="49"/>
              <w:ind w:left="107"/>
              <w:rPr>
                <w:sz w:val="24"/>
              </w:rPr>
            </w:pPr>
            <w:r>
              <w:rPr>
                <w:rFonts w:ascii="Times New Roman" w:eastAsia="Times New Roman"/>
                <w:sz w:val="24"/>
              </w:rPr>
              <w:t>1</w:t>
            </w:r>
            <w:r>
              <w:rPr>
                <w:spacing w:val="-1"/>
                <w:sz w:val="24"/>
              </w:rPr>
              <w:t>、保证项目使用的各类机械安全运行；</w:t>
            </w:r>
          </w:p>
          <w:p>
            <w:pPr>
              <w:pStyle w:val="TableParagraph"/>
              <w:spacing w:before="51"/>
              <w:ind w:left="107"/>
              <w:rPr>
                <w:sz w:val="24"/>
              </w:rPr>
            </w:pPr>
            <w:r>
              <w:rPr>
                <w:rFonts w:ascii="Times New Roman" w:eastAsia="Times New Roman"/>
                <w:sz w:val="24"/>
              </w:rPr>
              <w:t>2</w:t>
            </w:r>
            <w:r>
              <w:rPr>
                <w:spacing w:val="-1"/>
                <w:sz w:val="24"/>
              </w:rPr>
              <w:t>、监督机械操作持证作业</w:t>
            </w:r>
          </w:p>
        </w:tc>
      </w:tr>
      <w:tr>
        <w:tblPrEx>
          <w:tblW w:w="0" w:type="auto"/>
          <w:jc w:val="left"/>
          <w:tblInd w:w="295" w:type="dxa"/>
          <w:tblLayout w:type="fixed"/>
          <w:tblCellMar>
            <w:top w:w="0" w:type="dxa"/>
            <w:left w:w="0" w:type="dxa"/>
            <w:bottom w:w="0" w:type="dxa"/>
            <w:right w:w="0" w:type="dxa"/>
          </w:tblCellMar>
          <w:tblLook w:val="01E0"/>
        </w:tblPrEx>
        <w:trPr>
          <w:trHeight w:val="1125"/>
          <w:jc w:val="left"/>
        </w:trPr>
        <w:tc>
          <w:tcPr>
            <w:tcW w:w="1106" w:type="dxa"/>
          </w:tcPr>
          <w:p>
            <w:pPr>
              <w:pStyle w:val="TableParagraph"/>
              <w:rPr>
                <w:rFonts w:ascii="Times New Roman"/>
                <w:sz w:val="24"/>
              </w:rPr>
            </w:pPr>
          </w:p>
        </w:tc>
        <w:tc>
          <w:tcPr>
            <w:tcW w:w="1708" w:type="dxa"/>
          </w:tcPr>
          <w:p>
            <w:pPr>
              <w:pStyle w:val="TableParagraph"/>
              <w:spacing w:before="1"/>
              <w:rPr>
                <w:sz w:val="32"/>
              </w:rPr>
            </w:pPr>
          </w:p>
          <w:p>
            <w:pPr>
              <w:pStyle w:val="TableParagraph"/>
              <w:ind w:left="253"/>
              <w:rPr>
                <w:sz w:val="24"/>
              </w:rPr>
            </w:pPr>
            <w:r>
              <w:rPr>
                <w:spacing w:val="-2"/>
                <w:sz w:val="24"/>
              </w:rPr>
              <w:t>资料负责人</w:t>
            </w:r>
          </w:p>
        </w:tc>
        <w:tc>
          <w:tcPr>
            <w:tcW w:w="6799" w:type="dxa"/>
          </w:tcPr>
          <w:p>
            <w:pPr>
              <w:pStyle w:val="TableParagraph"/>
              <w:spacing w:before="52"/>
              <w:ind w:left="107"/>
              <w:rPr>
                <w:sz w:val="24"/>
              </w:rPr>
            </w:pPr>
            <w:r>
              <w:rPr>
                <w:rFonts w:ascii="Times New Roman" w:eastAsia="Times New Roman"/>
                <w:sz w:val="24"/>
              </w:rPr>
              <w:t>1</w:t>
            </w:r>
            <w:r>
              <w:rPr>
                <w:spacing w:val="-1"/>
                <w:sz w:val="24"/>
              </w:rPr>
              <w:t>、执行上级有关部门对文件、资料管理的规定；</w:t>
            </w:r>
          </w:p>
          <w:p>
            <w:pPr>
              <w:pStyle w:val="TableParagraph"/>
              <w:spacing w:before="51"/>
              <w:ind w:left="107"/>
              <w:rPr>
                <w:sz w:val="24"/>
              </w:rPr>
            </w:pPr>
            <w:r>
              <w:rPr>
                <w:rFonts w:ascii="Times New Roman" w:eastAsia="Times New Roman"/>
                <w:sz w:val="24"/>
              </w:rPr>
              <w:t>2</w:t>
            </w:r>
            <w:r>
              <w:rPr>
                <w:spacing w:val="-1"/>
                <w:sz w:val="24"/>
              </w:rPr>
              <w:t>、组织填写、收集、整理在施工过程中产生的资料文件；</w:t>
            </w:r>
          </w:p>
          <w:p>
            <w:pPr>
              <w:pStyle w:val="TableParagraph"/>
              <w:spacing w:before="52"/>
              <w:ind w:left="107"/>
              <w:rPr>
                <w:sz w:val="24"/>
              </w:rPr>
            </w:pPr>
            <w:r>
              <w:rPr>
                <w:rFonts w:ascii="Times New Roman" w:eastAsia="Times New Roman"/>
                <w:sz w:val="24"/>
              </w:rPr>
              <w:t>3</w:t>
            </w:r>
            <w:r>
              <w:rPr>
                <w:spacing w:val="-1"/>
                <w:sz w:val="24"/>
              </w:rPr>
              <w:t>、负责管理好有关工程技术资料的归档保存和借阅管理；</w:t>
            </w:r>
          </w:p>
        </w:tc>
      </w:tr>
      <w:tr>
        <w:tblPrEx>
          <w:tblW w:w="0" w:type="auto"/>
          <w:jc w:val="left"/>
          <w:tblInd w:w="295" w:type="dxa"/>
          <w:tblLayout w:type="fixed"/>
          <w:tblCellMar>
            <w:top w:w="0" w:type="dxa"/>
            <w:left w:w="0" w:type="dxa"/>
            <w:bottom w:w="0" w:type="dxa"/>
            <w:right w:w="0" w:type="dxa"/>
          </w:tblCellMar>
          <w:tblLook w:val="01E0"/>
        </w:tblPrEx>
        <w:trPr>
          <w:trHeight w:val="760"/>
          <w:jc w:val="left"/>
        </w:trPr>
        <w:tc>
          <w:tcPr>
            <w:tcW w:w="1106" w:type="dxa"/>
          </w:tcPr>
          <w:p>
            <w:pPr>
              <w:pStyle w:val="TableParagraph"/>
              <w:rPr>
                <w:rFonts w:ascii="Times New Roman"/>
                <w:sz w:val="24"/>
              </w:rPr>
            </w:pPr>
          </w:p>
        </w:tc>
        <w:tc>
          <w:tcPr>
            <w:tcW w:w="1708" w:type="dxa"/>
          </w:tcPr>
          <w:p>
            <w:pPr>
              <w:pStyle w:val="TableParagraph"/>
              <w:spacing w:before="3" w:line="358" w:lineRule="exact"/>
              <w:ind w:left="253" w:right="123" w:hanging="120"/>
              <w:rPr>
                <w:sz w:val="24"/>
              </w:rPr>
            </w:pPr>
            <w:r>
              <w:rPr>
                <w:spacing w:val="-2"/>
                <w:sz w:val="24"/>
              </w:rPr>
              <w:t>财务负责人、</w:t>
            </w:r>
            <w:r>
              <w:rPr>
                <w:spacing w:val="-2"/>
                <w:sz w:val="24"/>
              </w:rPr>
              <w:t>后勤负责人</w:t>
            </w:r>
          </w:p>
        </w:tc>
        <w:tc>
          <w:tcPr>
            <w:tcW w:w="6799" w:type="dxa"/>
          </w:tcPr>
          <w:p>
            <w:pPr>
              <w:pStyle w:val="TableParagraph"/>
              <w:spacing w:before="49"/>
              <w:ind w:left="107"/>
              <w:rPr>
                <w:sz w:val="24"/>
              </w:rPr>
            </w:pPr>
            <w:r>
              <w:rPr>
                <w:rFonts w:ascii="Times New Roman" w:eastAsia="Times New Roman"/>
                <w:sz w:val="24"/>
              </w:rPr>
              <w:t>1</w:t>
            </w:r>
            <w:r>
              <w:rPr>
                <w:spacing w:val="-1"/>
                <w:sz w:val="24"/>
              </w:rPr>
              <w:t>、财务部门保证安全措施项目的经费；</w:t>
            </w:r>
          </w:p>
          <w:p>
            <w:pPr>
              <w:pStyle w:val="TableParagraph"/>
              <w:spacing w:before="51"/>
              <w:ind w:left="107" w:right="-29"/>
              <w:rPr>
                <w:sz w:val="24"/>
              </w:rPr>
            </w:pPr>
            <w:r>
              <w:rPr>
                <w:rFonts w:ascii="Times New Roman" w:eastAsia="Times New Roman"/>
                <w:spacing w:val="-6"/>
                <w:sz w:val="24"/>
              </w:rPr>
              <w:t>2</w:t>
            </w:r>
            <w:r>
              <w:rPr>
                <w:spacing w:val="-7"/>
                <w:sz w:val="24"/>
              </w:rPr>
              <w:t>、卫生、行政部门保证工人生活基本条件，确保工人身心健康。</w:t>
            </w:r>
          </w:p>
        </w:tc>
      </w:tr>
    </w:tbl>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0"/>
        <w:rPr>
          <w:sz w:val="20"/>
        </w:rPr>
      </w:pPr>
    </w:p>
    <w:p>
      <w:pPr>
        <w:pStyle w:val="Heading1"/>
        <w:tabs>
          <w:tab w:val="left" w:pos="1582"/>
        </w:tabs>
        <w:spacing w:line="538" w:lineRule="exact"/>
        <w:ind w:firstLine="0"/>
      </w:pPr>
      <w:bookmarkStart w:id="12" w:name="_TOC_250006"/>
      <w:r>
        <w:t>第</w:t>
      </w:r>
      <w:r>
        <w:t>四</w:t>
      </w:r>
      <w:r>
        <w:rPr>
          <w:spacing w:val="-10"/>
        </w:rPr>
        <w:t>章</w:t>
      </w:r>
      <w:r>
        <w:tab/>
        <w:t>施</w:t>
      </w:r>
      <w:r>
        <w:t>工</w:t>
      </w:r>
      <w:r>
        <w:t>进</w:t>
      </w:r>
      <w:r>
        <w:t>度</w:t>
      </w:r>
      <w:r>
        <w:t>计</w:t>
      </w:r>
      <w:bookmarkEnd w:id="12"/>
      <w:r>
        <w:rPr>
          <w:spacing w:val="-10"/>
        </w:rPr>
        <w:t>划</w:t>
      </w:r>
    </w:p>
    <w:p>
      <w:pPr>
        <w:pStyle w:val="BodyText"/>
        <w:spacing w:before="226" w:line="417" w:lineRule="auto"/>
        <w:ind w:left="398" w:right="492" w:firstLine="560"/>
      </w:pPr>
      <w:r>
        <w:pict>
          <v:shapetype id="_x0000_t202" coordsize="21600,21600" o:spt="202" path="m,l,21600r21600,l21600,xe">
            <v:stroke joinstyle="miter"/>
            <v:path gradientshapeok="t" o:connecttype="rect"/>
          </v:shapetype>
          <v:shape id="_x0000_s1025" type="#_x0000_t202" style="width:481.75pt;height:184.65pt;margin-top:66.96pt;margin-left:65.25pt;mso-position-horizontal-relative:page;position:absolute;z-index:251658240" filled="f" stroked="f">
            <v:textbox inset="0,0,0,0">
              <w:txbxContent>
                <w:tbl>
                  <w:tblPr>
                    <w:tblStyle w:val="TableNormal2"/>
                    <w:tblW w:w="0" w:type="auto"/>
                    <w:jc w:val="left"/>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882"/>
                    <w:gridCol w:w="1883"/>
                    <w:gridCol w:w="1883"/>
                    <w:gridCol w:w="2682"/>
                    <w:gridCol w:w="1295"/>
                  </w:tblGrid>
                  <w:tr>
                    <w:tblPrEx>
                      <w:tblW w:w="0" w:type="auto"/>
                      <w:jc w:val="left"/>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895"/>
                      <w:jc w:val="left"/>
                    </w:trPr>
                    <w:tc>
                      <w:tcPr>
                        <w:tcW w:w="1882" w:type="dxa"/>
                      </w:tcPr>
                      <w:p>
                        <w:pPr>
                          <w:pStyle w:val="TableParagraph"/>
                          <w:spacing w:before="1"/>
                          <w:rPr>
                            <w:sz w:val="21"/>
                          </w:rPr>
                        </w:pPr>
                      </w:p>
                      <w:p>
                        <w:pPr>
                          <w:pStyle w:val="TableParagraph"/>
                          <w:ind w:left="380"/>
                          <w:rPr>
                            <w:sz w:val="28"/>
                          </w:rPr>
                        </w:pPr>
                        <w:r>
                          <w:rPr>
                            <w:spacing w:val="-3"/>
                            <w:sz w:val="28"/>
                          </w:rPr>
                          <w:t>施工区域</w:t>
                        </w:r>
                      </w:p>
                    </w:tc>
                    <w:tc>
                      <w:tcPr>
                        <w:tcW w:w="1883" w:type="dxa"/>
                      </w:tcPr>
                      <w:p>
                        <w:pPr>
                          <w:pStyle w:val="TableParagraph"/>
                          <w:spacing w:before="1"/>
                          <w:rPr>
                            <w:sz w:val="21"/>
                          </w:rPr>
                        </w:pPr>
                      </w:p>
                      <w:p>
                        <w:pPr>
                          <w:pStyle w:val="TableParagraph"/>
                          <w:ind w:left="366" w:right="357"/>
                          <w:jc w:val="center"/>
                          <w:rPr>
                            <w:sz w:val="28"/>
                          </w:rPr>
                        </w:pPr>
                        <w:r>
                          <w:rPr>
                            <w:spacing w:val="-5"/>
                            <w:sz w:val="28"/>
                          </w:rPr>
                          <w:t>工种</w:t>
                        </w:r>
                      </w:p>
                    </w:tc>
                    <w:tc>
                      <w:tcPr>
                        <w:tcW w:w="1883" w:type="dxa"/>
                      </w:tcPr>
                      <w:p>
                        <w:pPr>
                          <w:pStyle w:val="TableParagraph"/>
                          <w:spacing w:before="1"/>
                          <w:rPr>
                            <w:sz w:val="21"/>
                          </w:rPr>
                        </w:pPr>
                      </w:p>
                      <w:p>
                        <w:pPr>
                          <w:pStyle w:val="TableParagraph"/>
                          <w:ind w:left="367" w:right="357"/>
                          <w:jc w:val="center"/>
                          <w:rPr>
                            <w:sz w:val="28"/>
                          </w:rPr>
                        </w:pPr>
                        <w:r>
                          <w:rPr>
                            <w:spacing w:val="-3"/>
                            <w:sz w:val="28"/>
                          </w:rPr>
                          <w:t>投入人数</w:t>
                        </w:r>
                      </w:p>
                    </w:tc>
                    <w:tc>
                      <w:tcPr>
                        <w:tcW w:w="2682" w:type="dxa"/>
                      </w:tcPr>
                      <w:p>
                        <w:pPr>
                          <w:pStyle w:val="TableParagraph"/>
                          <w:spacing w:before="1"/>
                          <w:rPr>
                            <w:sz w:val="21"/>
                          </w:rPr>
                        </w:pPr>
                      </w:p>
                      <w:p>
                        <w:pPr>
                          <w:pStyle w:val="TableParagraph"/>
                          <w:ind w:left="780"/>
                          <w:rPr>
                            <w:sz w:val="28"/>
                          </w:rPr>
                        </w:pPr>
                        <w:r>
                          <w:rPr>
                            <w:spacing w:val="-3"/>
                            <w:sz w:val="28"/>
                          </w:rPr>
                          <w:t>持续时间</w:t>
                        </w:r>
                      </w:p>
                    </w:tc>
                    <w:tc>
                      <w:tcPr>
                        <w:tcW w:w="1295" w:type="dxa"/>
                      </w:tcPr>
                      <w:p>
                        <w:pPr>
                          <w:pStyle w:val="TableParagraph"/>
                          <w:spacing w:before="1"/>
                          <w:rPr>
                            <w:sz w:val="21"/>
                          </w:rPr>
                        </w:pPr>
                      </w:p>
                      <w:p>
                        <w:pPr>
                          <w:pStyle w:val="TableParagraph"/>
                          <w:ind w:left="367"/>
                          <w:rPr>
                            <w:sz w:val="28"/>
                          </w:rPr>
                        </w:pPr>
                        <w:r>
                          <w:rPr>
                            <w:spacing w:val="-5"/>
                            <w:sz w:val="28"/>
                          </w:rPr>
                          <w:t>备注</w:t>
                        </w:r>
                      </w:p>
                    </w:tc>
                  </w:tr>
                  <w:tr>
                    <w:tblPrEx>
                      <w:tblW w:w="0" w:type="auto"/>
                      <w:jc w:val="left"/>
                      <w:tblInd w:w="5" w:type="dxa"/>
                      <w:tblLayout w:type="fixed"/>
                      <w:tblCellMar>
                        <w:top w:w="0" w:type="dxa"/>
                        <w:left w:w="0" w:type="dxa"/>
                        <w:bottom w:w="0" w:type="dxa"/>
                        <w:right w:w="0" w:type="dxa"/>
                      </w:tblCellMar>
                      <w:tblLook w:val="01E0"/>
                    </w:tblPrEx>
                    <w:trPr>
                      <w:trHeight w:val="916"/>
                      <w:jc w:val="left"/>
                    </w:trPr>
                    <w:tc>
                      <w:tcPr>
                        <w:tcW w:w="1882" w:type="dxa"/>
                        <w:vMerge w:val="restart"/>
                      </w:tcPr>
                      <w:p>
                        <w:pPr>
                          <w:pStyle w:val="TableParagraph"/>
                          <w:rPr>
                            <w:sz w:val="28"/>
                          </w:rPr>
                        </w:pPr>
                      </w:p>
                      <w:p>
                        <w:pPr>
                          <w:pStyle w:val="TableParagraph"/>
                          <w:rPr>
                            <w:sz w:val="28"/>
                          </w:rPr>
                        </w:pPr>
                      </w:p>
                      <w:p>
                        <w:pPr>
                          <w:pStyle w:val="TableParagraph"/>
                          <w:spacing w:before="2"/>
                          <w:rPr>
                            <w:sz w:val="38"/>
                          </w:rPr>
                        </w:pPr>
                      </w:p>
                      <w:p>
                        <w:pPr>
                          <w:pStyle w:val="TableParagraph"/>
                          <w:ind w:left="646" w:right="636"/>
                          <w:jc w:val="center"/>
                          <w:rPr>
                            <w:sz w:val="28"/>
                          </w:rPr>
                        </w:pPr>
                        <w:r>
                          <w:rPr>
                            <w:spacing w:val="-5"/>
                            <w:sz w:val="28"/>
                          </w:rPr>
                          <w:t>九区</w:t>
                        </w:r>
                      </w:p>
                    </w:tc>
                    <w:tc>
                      <w:tcPr>
                        <w:tcW w:w="1883" w:type="dxa"/>
                      </w:tcPr>
                      <w:p>
                        <w:pPr>
                          <w:pStyle w:val="TableParagraph"/>
                          <w:spacing w:before="11"/>
                          <w:rPr>
                            <w:sz w:val="21"/>
                          </w:rPr>
                        </w:pPr>
                      </w:p>
                      <w:p>
                        <w:pPr>
                          <w:pStyle w:val="TableParagraph"/>
                          <w:ind w:left="366" w:right="357"/>
                          <w:jc w:val="center"/>
                          <w:rPr>
                            <w:sz w:val="28"/>
                          </w:rPr>
                        </w:pPr>
                        <w:r>
                          <w:rPr>
                            <w:spacing w:val="-4"/>
                            <w:sz w:val="28"/>
                          </w:rPr>
                          <w:t>泥工班</w:t>
                        </w:r>
                      </w:p>
                    </w:tc>
                    <w:tc>
                      <w:tcPr>
                        <w:tcW w:w="1883" w:type="dxa"/>
                      </w:tcPr>
                      <w:p>
                        <w:pPr>
                          <w:pStyle w:val="TableParagraph"/>
                          <w:spacing w:before="2"/>
                          <w:rPr>
                            <w:sz w:val="23"/>
                          </w:rPr>
                        </w:pPr>
                      </w:p>
                      <w:p>
                        <w:pPr>
                          <w:pStyle w:val="TableParagraph"/>
                          <w:ind w:left="366" w:right="357"/>
                          <w:jc w:val="center"/>
                          <w:rPr>
                            <w:rFonts w:ascii="Times New Roman"/>
                            <w:sz w:val="28"/>
                          </w:rPr>
                        </w:pPr>
                        <w:r>
                          <w:rPr>
                            <w:rFonts w:ascii="Times New Roman"/>
                            <w:spacing w:val="-5"/>
                            <w:sz w:val="28"/>
                          </w:rPr>
                          <w:t>20</w:t>
                        </w:r>
                      </w:p>
                    </w:tc>
                    <w:tc>
                      <w:tcPr>
                        <w:tcW w:w="2682" w:type="dxa"/>
                        <w:vMerge w:val="restart"/>
                      </w:tcPr>
                      <w:p>
                        <w:pPr>
                          <w:pStyle w:val="TableParagraph"/>
                          <w:rPr>
                            <w:sz w:val="30"/>
                          </w:rPr>
                        </w:pPr>
                      </w:p>
                      <w:p>
                        <w:pPr>
                          <w:pStyle w:val="TableParagraph"/>
                          <w:rPr>
                            <w:sz w:val="30"/>
                          </w:rPr>
                        </w:pPr>
                      </w:p>
                      <w:p>
                        <w:pPr>
                          <w:pStyle w:val="TableParagraph"/>
                          <w:spacing w:before="5"/>
                          <w:rPr>
                            <w:sz w:val="35"/>
                          </w:rPr>
                        </w:pPr>
                      </w:p>
                      <w:p>
                        <w:pPr>
                          <w:pStyle w:val="TableParagraph"/>
                          <w:spacing w:before="1"/>
                          <w:ind w:left="168"/>
                          <w:rPr>
                            <w:rFonts w:ascii="Times New Roman"/>
                            <w:sz w:val="28"/>
                          </w:rPr>
                        </w:pPr>
                        <w:r>
                          <w:rPr>
                            <w:rFonts w:ascii="Times New Roman"/>
                            <w:sz w:val="28"/>
                          </w:rPr>
                          <w:t>2019-2-13~2019-6-</w:t>
                        </w:r>
                        <w:r>
                          <w:rPr>
                            <w:rFonts w:ascii="Times New Roman"/>
                            <w:spacing w:val="-10"/>
                            <w:sz w:val="28"/>
                          </w:rPr>
                          <w:t>1</w:t>
                        </w:r>
                      </w:p>
                    </w:tc>
                    <w:tc>
                      <w:tcPr>
                        <w:tcW w:w="1295" w:type="dxa"/>
                      </w:tcPr>
                      <w:p>
                        <w:pPr>
                          <w:pStyle w:val="TableParagraph"/>
                          <w:rPr>
                            <w:rFonts w:ascii="Times New Roman"/>
                            <w:sz w:val="24"/>
                          </w:rPr>
                        </w:pPr>
                      </w:p>
                    </w:tc>
                  </w:tr>
                  <w:tr>
                    <w:tblPrEx>
                      <w:tblW w:w="0" w:type="auto"/>
                      <w:jc w:val="left"/>
                      <w:tblInd w:w="5" w:type="dxa"/>
                      <w:tblLayout w:type="fixed"/>
                      <w:tblCellMar>
                        <w:top w:w="0" w:type="dxa"/>
                        <w:left w:w="0" w:type="dxa"/>
                        <w:bottom w:w="0" w:type="dxa"/>
                        <w:right w:w="0" w:type="dxa"/>
                      </w:tblCellMar>
                      <w:tblLook w:val="01E0"/>
                    </w:tblPrEx>
                    <w:trPr>
                      <w:trHeight w:val="916"/>
                      <w:jc w:val="left"/>
                    </w:trPr>
                    <w:tc>
                      <w:tcPr>
                        <w:tcW w:w="1882" w:type="dxa"/>
                        <w:vMerge/>
                        <w:tcBorders>
                          <w:top w:val="nil"/>
                        </w:tcBorders>
                      </w:tcPr>
                      <w:p>
                        <w:pPr>
                          <w:rPr>
                            <w:sz w:val="2"/>
                            <w:szCs w:val="2"/>
                          </w:rPr>
                        </w:pPr>
                      </w:p>
                    </w:tc>
                    <w:tc>
                      <w:tcPr>
                        <w:tcW w:w="1883" w:type="dxa"/>
                      </w:tcPr>
                      <w:p>
                        <w:pPr>
                          <w:pStyle w:val="TableParagraph"/>
                          <w:spacing w:before="11"/>
                          <w:rPr>
                            <w:sz w:val="21"/>
                          </w:rPr>
                        </w:pPr>
                      </w:p>
                      <w:p>
                        <w:pPr>
                          <w:pStyle w:val="TableParagraph"/>
                          <w:ind w:left="366" w:right="357"/>
                          <w:jc w:val="center"/>
                          <w:rPr>
                            <w:sz w:val="28"/>
                          </w:rPr>
                        </w:pPr>
                        <w:r>
                          <w:rPr>
                            <w:spacing w:val="-4"/>
                            <w:sz w:val="28"/>
                          </w:rPr>
                          <w:t>油漆班</w:t>
                        </w:r>
                      </w:p>
                    </w:tc>
                    <w:tc>
                      <w:tcPr>
                        <w:tcW w:w="1883" w:type="dxa"/>
                      </w:tcPr>
                      <w:p>
                        <w:pPr>
                          <w:pStyle w:val="TableParagraph"/>
                          <w:spacing w:before="2"/>
                          <w:rPr>
                            <w:sz w:val="23"/>
                          </w:rPr>
                        </w:pPr>
                      </w:p>
                      <w:p>
                        <w:pPr>
                          <w:pStyle w:val="TableParagraph"/>
                          <w:ind w:left="366" w:right="357"/>
                          <w:jc w:val="center"/>
                          <w:rPr>
                            <w:rFonts w:ascii="Times New Roman"/>
                            <w:sz w:val="28"/>
                          </w:rPr>
                        </w:pPr>
                        <w:r>
                          <w:rPr>
                            <w:rFonts w:ascii="Times New Roman"/>
                            <w:spacing w:val="-5"/>
                            <w:sz w:val="28"/>
                          </w:rPr>
                          <w:t>30</w:t>
                        </w:r>
                      </w:p>
                    </w:tc>
                    <w:tc>
                      <w:tcPr>
                        <w:tcW w:w="2682" w:type="dxa"/>
                        <w:vMerge/>
                        <w:tcBorders>
                          <w:top w:val="nil"/>
                        </w:tcBorders>
                      </w:tcPr>
                      <w:p>
                        <w:pPr>
                          <w:rPr>
                            <w:sz w:val="2"/>
                            <w:szCs w:val="2"/>
                          </w:rPr>
                        </w:pPr>
                      </w:p>
                    </w:tc>
                    <w:tc>
                      <w:tcPr>
                        <w:tcW w:w="1295" w:type="dxa"/>
                      </w:tcPr>
                      <w:p>
                        <w:pPr>
                          <w:pStyle w:val="TableParagraph"/>
                          <w:rPr>
                            <w:rFonts w:ascii="Times New Roman"/>
                            <w:sz w:val="24"/>
                          </w:rPr>
                        </w:pPr>
                      </w:p>
                    </w:tc>
                  </w:tr>
                  <w:tr>
                    <w:tblPrEx>
                      <w:tblW w:w="0" w:type="auto"/>
                      <w:jc w:val="left"/>
                      <w:tblInd w:w="5" w:type="dxa"/>
                      <w:tblLayout w:type="fixed"/>
                      <w:tblCellMar>
                        <w:top w:w="0" w:type="dxa"/>
                        <w:left w:w="0" w:type="dxa"/>
                        <w:bottom w:w="0" w:type="dxa"/>
                        <w:right w:w="0" w:type="dxa"/>
                      </w:tblCellMar>
                      <w:tblLook w:val="01E0"/>
                    </w:tblPrEx>
                    <w:trPr>
                      <w:trHeight w:val="916"/>
                      <w:jc w:val="left"/>
                    </w:trPr>
                    <w:tc>
                      <w:tcPr>
                        <w:tcW w:w="1882" w:type="dxa"/>
                        <w:vMerge/>
                        <w:tcBorders>
                          <w:top w:val="nil"/>
                        </w:tcBorders>
                      </w:tcPr>
                      <w:p>
                        <w:pPr>
                          <w:rPr>
                            <w:sz w:val="2"/>
                            <w:szCs w:val="2"/>
                          </w:rPr>
                        </w:pPr>
                      </w:p>
                    </w:tc>
                    <w:tc>
                      <w:tcPr>
                        <w:tcW w:w="1883" w:type="dxa"/>
                      </w:tcPr>
                      <w:p>
                        <w:pPr>
                          <w:pStyle w:val="TableParagraph"/>
                          <w:spacing w:before="11"/>
                          <w:rPr>
                            <w:sz w:val="21"/>
                          </w:rPr>
                        </w:pPr>
                      </w:p>
                      <w:p>
                        <w:pPr>
                          <w:pStyle w:val="TableParagraph"/>
                          <w:ind w:left="366" w:right="357"/>
                          <w:jc w:val="center"/>
                          <w:rPr>
                            <w:sz w:val="28"/>
                          </w:rPr>
                        </w:pPr>
                        <w:r>
                          <w:rPr>
                            <w:spacing w:val="-4"/>
                            <w:sz w:val="28"/>
                          </w:rPr>
                          <w:t>幕墙班</w:t>
                        </w:r>
                      </w:p>
                    </w:tc>
                    <w:tc>
                      <w:tcPr>
                        <w:tcW w:w="1883" w:type="dxa"/>
                      </w:tcPr>
                      <w:p>
                        <w:pPr>
                          <w:pStyle w:val="TableParagraph"/>
                          <w:spacing w:before="2"/>
                          <w:rPr>
                            <w:sz w:val="23"/>
                          </w:rPr>
                        </w:pPr>
                      </w:p>
                      <w:p>
                        <w:pPr>
                          <w:pStyle w:val="TableParagraph"/>
                          <w:ind w:left="366" w:right="357"/>
                          <w:jc w:val="center"/>
                          <w:rPr>
                            <w:rFonts w:ascii="Times New Roman"/>
                            <w:sz w:val="28"/>
                          </w:rPr>
                        </w:pPr>
                        <w:r>
                          <w:rPr>
                            <w:rFonts w:ascii="Times New Roman"/>
                            <w:spacing w:val="-5"/>
                            <w:sz w:val="28"/>
                          </w:rPr>
                          <w:t>30</w:t>
                        </w:r>
                      </w:p>
                    </w:tc>
                    <w:tc>
                      <w:tcPr>
                        <w:tcW w:w="2682" w:type="dxa"/>
                        <w:vMerge/>
                        <w:tcBorders>
                          <w:top w:val="nil"/>
                        </w:tcBorders>
                      </w:tcPr>
                      <w:p>
                        <w:pPr>
                          <w:rPr>
                            <w:sz w:val="2"/>
                            <w:szCs w:val="2"/>
                          </w:rPr>
                        </w:pPr>
                      </w:p>
                    </w:tc>
                    <w:tc>
                      <w:tcPr>
                        <w:tcW w:w="1295" w:type="dxa"/>
                      </w:tcPr>
                      <w:p>
                        <w:pPr>
                          <w:pStyle w:val="TableParagraph"/>
                          <w:rPr>
                            <w:rFonts w:ascii="Times New Roman"/>
                            <w:sz w:val="24"/>
                          </w:rPr>
                        </w:pPr>
                      </w:p>
                    </w:tc>
                  </w:tr>
                </w:tbl>
                <w:p>
                  <w:pPr>
                    <w:pStyle w:val="BodyText"/>
                  </w:pPr>
                </w:p>
              </w:txbxContent>
            </v:textbox>
          </v:shape>
        </w:pict>
      </w:r>
      <w:r>
        <w:rPr>
          <w:spacing w:val="-2"/>
        </w:rPr>
        <w:t>由于相关外立面改造图纸没提供，我司目前只能根据以往经验对其进度</w:t>
      </w:r>
      <w:r>
        <w:rPr>
          <w:spacing w:val="-4"/>
        </w:rPr>
        <w:t xml:space="preserve">安排为暂定 </w:t>
      </w:r>
      <w:r>
        <w:rPr>
          <w:rFonts w:ascii="Times New Roman" w:eastAsia="Times New Roman"/>
        </w:rPr>
        <w:t xml:space="preserve">2019 </w:t>
      </w:r>
      <w:r>
        <w:t>年春节后开始施工：</w:t>
      </w:r>
    </w:p>
    <w:p>
      <w:pPr>
        <w:spacing w:after="0" w:line="417" w:lineRule="auto"/>
        <w:sectPr>
          <w:headerReference w:type="default" r:id="rId18"/>
          <w:footerReference w:type="default" r:id="rId19"/>
          <w:pgSz w:w="11910" w:h="16840"/>
          <w:pgMar w:top="1180" w:right="640" w:bottom="1600" w:left="1020" w:header="996" w:footer="1381"/>
          <w:pgNumType w:start="8"/>
          <w:cols w:space="708"/>
        </w:sectPr>
      </w:pPr>
    </w:p>
    <w:p>
      <w:pPr>
        <w:pStyle w:val="BodyText"/>
        <w:spacing w:before="12"/>
        <w:rPr>
          <w:sz w:val="3"/>
        </w:rPr>
      </w:pPr>
    </w:p>
    <w:tbl>
      <w:tblPr>
        <w:tblStyle w:val="TableNormal3"/>
        <w:tblW w:w="0" w:type="auto"/>
        <w:jc w:val="left"/>
        <w:tblInd w:w="2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882"/>
        <w:gridCol w:w="1883"/>
        <w:gridCol w:w="1883"/>
        <w:gridCol w:w="2682"/>
        <w:gridCol w:w="1295"/>
      </w:tblGrid>
      <w:tr>
        <w:tblPrEx>
          <w:tblW w:w="0" w:type="auto"/>
          <w:jc w:val="left"/>
          <w:tblInd w:w="2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915"/>
          <w:jc w:val="left"/>
        </w:trPr>
        <w:tc>
          <w:tcPr>
            <w:tcW w:w="1882" w:type="dxa"/>
            <w:vMerge w:val="restart"/>
          </w:tcPr>
          <w:p>
            <w:pPr>
              <w:pStyle w:val="TableParagraph"/>
              <w:rPr>
                <w:sz w:val="28"/>
              </w:rPr>
            </w:pPr>
          </w:p>
          <w:p>
            <w:pPr>
              <w:pStyle w:val="TableParagraph"/>
              <w:rPr>
                <w:sz w:val="28"/>
              </w:rPr>
            </w:pPr>
          </w:p>
          <w:p>
            <w:pPr>
              <w:pStyle w:val="TableParagraph"/>
              <w:spacing w:before="2"/>
              <w:rPr>
                <w:sz w:val="38"/>
              </w:rPr>
            </w:pPr>
          </w:p>
          <w:p>
            <w:pPr>
              <w:pStyle w:val="TableParagraph"/>
              <w:ind w:left="646" w:right="636"/>
              <w:jc w:val="center"/>
              <w:rPr>
                <w:sz w:val="28"/>
              </w:rPr>
            </w:pPr>
            <w:r>
              <w:rPr>
                <w:spacing w:val="-5"/>
                <w:sz w:val="28"/>
              </w:rPr>
              <w:t>十区</w:t>
            </w:r>
          </w:p>
        </w:tc>
        <w:tc>
          <w:tcPr>
            <w:tcW w:w="1883" w:type="dxa"/>
          </w:tcPr>
          <w:p>
            <w:pPr>
              <w:pStyle w:val="TableParagraph"/>
              <w:spacing w:before="11"/>
              <w:rPr>
                <w:sz w:val="21"/>
              </w:rPr>
            </w:pPr>
          </w:p>
          <w:p>
            <w:pPr>
              <w:pStyle w:val="TableParagraph"/>
              <w:ind w:left="366" w:right="357"/>
              <w:jc w:val="center"/>
              <w:rPr>
                <w:sz w:val="28"/>
              </w:rPr>
            </w:pPr>
            <w:r>
              <w:rPr>
                <w:spacing w:val="-4"/>
                <w:sz w:val="28"/>
              </w:rPr>
              <w:t>泥工班</w:t>
            </w:r>
          </w:p>
        </w:tc>
        <w:tc>
          <w:tcPr>
            <w:tcW w:w="1883" w:type="dxa"/>
          </w:tcPr>
          <w:p>
            <w:pPr>
              <w:pStyle w:val="TableParagraph"/>
              <w:spacing w:before="2"/>
              <w:rPr>
                <w:sz w:val="23"/>
              </w:rPr>
            </w:pPr>
          </w:p>
          <w:p>
            <w:pPr>
              <w:pStyle w:val="TableParagraph"/>
              <w:ind w:left="366" w:right="357"/>
              <w:jc w:val="center"/>
              <w:rPr>
                <w:rFonts w:ascii="Times New Roman"/>
                <w:sz w:val="28"/>
              </w:rPr>
            </w:pPr>
            <w:r>
              <w:rPr>
                <w:rFonts w:ascii="Times New Roman"/>
                <w:spacing w:val="-5"/>
                <w:sz w:val="28"/>
              </w:rPr>
              <w:t>20</w:t>
            </w:r>
          </w:p>
        </w:tc>
        <w:tc>
          <w:tcPr>
            <w:tcW w:w="2682" w:type="dxa"/>
            <w:vMerge w:val="restart"/>
          </w:tcPr>
          <w:p>
            <w:pPr>
              <w:pStyle w:val="TableParagraph"/>
              <w:rPr>
                <w:sz w:val="30"/>
              </w:rPr>
            </w:pPr>
          </w:p>
          <w:p>
            <w:pPr>
              <w:pStyle w:val="TableParagraph"/>
              <w:rPr>
                <w:sz w:val="30"/>
              </w:rPr>
            </w:pPr>
          </w:p>
          <w:p>
            <w:pPr>
              <w:pStyle w:val="TableParagraph"/>
              <w:spacing w:before="5"/>
              <w:rPr>
                <w:sz w:val="35"/>
              </w:rPr>
            </w:pPr>
          </w:p>
          <w:p>
            <w:pPr>
              <w:pStyle w:val="TableParagraph"/>
              <w:spacing w:before="1"/>
              <w:ind w:left="168"/>
              <w:rPr>
                <w:rFonts w:ascii="Times New Roman"/>
                <w:sz w:val="28"/>
              </w:rPr>
            </w:pPr>
            <w:r>
              <w:rPr>
                <w:rFonts w:ascii="Times New Roman"/>
                <w:sz w:val="28"/>
              </w:rPr>
              <w:t>2019-2-13~2019-6-</w:t>
            </w:r>
            <w:r>
              <w:rPr>
                <w:rFonts w:ascii="Times New Roman"/>
                <w:spacing w:val="-10"/>
                <w:sz w:val="28"/>
              </w:rPr>
              <w:t>1</w:t>
            </w:r>
          </w:p>
        </w:tc>
        <w:tc>
          <w:tcPr>
            <w:tcW w:w="1295" w:type="dxa"/>
          </w:tcPr>
          <w:p>
            <w:pPr>
              <w:pStyle w:val="TableParagraph"/>
              <w:rPr>
                <w:rFonts w:ascii="Times New Roman"/>
                <w:sz w:val="28"/>
              </w:rPr>
            </w:pPr>
          </w:p>
        </w:tc>
      </w:tr>
      <w:tr>
        <w:tblPrEx>
          <w:tblW w:w="0" w:type="auto"/>
          <w:jc w:val="left"/>
          <w:tblInd w:w="295" w:type="dxa"/>
          <w:tblLayout w:type="fixed"/>
          <w:tblCellMar>
            <w:top w:w="0" w:type="dxa"/>
            <w:left w:w="0" w:type="dxa"/>
            <w:bottom w:w="0" w:type="dxa"/>
            <w:right w:w="0" w:type="dxa"/>
          </w:tblCellMar>
          <w:tblLook w:val="01E0"/>
        </w:tblPrEx>
        <w:trPr>
          <w:trHeight w:val="915"/>
          <w:jc w:val="left"/>
        </w:trPr>
        <w:tc>
          <w:tcPr>
            <w:tcW w:w="1882" w:type="dxa"/>
            <w:vMerge/>
            <w:tcBorders>
              <w:top w:val="nil"/>
            </w:tcBorders>
          </w:tcPr>
          <w:p>
            <w:pPr>
              <w:rPr>
                <w:sz w:val="2"/>
                <w:szCs w:val="2"/>
              </w:rPr>
            </w:pPr>
          </w:p>
        </w:tc>
        <w:tc>
          <w:tcPr>
            <w:tcW w:w="1883" w:type="dxa"/>
          </w:tcPr>
          <w:p>
            <w:pPr>
              <w:pStyle w:val="TableParagraph"/>
              <w:spacing w:before="11"/>
              <w:rPr>
                <w:sz w:val="21"/>
              </w:rPr>
            </w:pPr>
          </w:p>
          <w:p>
            <w:pPr>
              <w:pStyle w:val="TableParagraph"/>
              <w:ind w:left="366" w:right="357"/>
              <w:jc w:val="center"/>
              <w:rPr>
                <w:sz w:val="28"/>
              </w:rPr>
            </w:pPr>
            <w:r>
              <w:rPr>
                <w:spacing w:val="-4"/>
                <w:sz w:val="28"/>
              </w:rPr>
              <w:t>油漆班</w:t>
            </w:r>
          </w:p>
        </w:tc>
        <w:tc>
          <w:tcPr>
            <w:tcW w:w="1883" w:type="dxa"/>
          </w:tcPr>
          <w:p>
            <w:pPr>
              <w:pStyle w:val="TableParagraph"/>
              <w:spacing w:before="2"/>
              <w:rPr>
                <w:sz w:val="23"/>
              </w:rPr>
            </w:pPr>
          </w:p>
          <w:p>
            <w:pPr>
              <w:pStyle w:val="TableParagraph"/>
              <w:ind w:left="366" w:right="357"/>
              <w:jc w:val="center"/>
              <w:rPr>
                <w:rFonts w:ascii="Times New Roman"/>
                <w:sz w:val="28"/>
              </w:rPr>
            </w:pPr>
            <w:r>
              <w:rPr>
                <w:rFonts w:ascii="Times New Roman"/>
                <w:spacing w:val="-5"/>
                <w:sz w:val="28"/>
              </w:rPr>
              <w:t>30</w:t>
            </w:r>
          </w:p>
        </w:tc>
        <w:tc>
          <w:tcPr>
            <w:tcW w:w="2682" w:type="dxa"/>
            <w:vMerge/>
            <w:tcBorders>
              <w:top w:val="nil"/>
            </w:tcBorders>
          </w:tcPr>
          <w:p>
            <w:pPr>
              <w:rPr>
                <w:sz w:val="2"/>
                <w:szCs w:val="2"/>
              </w:rPr>
            </w:pPr>
          </w:p>
        </w:tc>
        <w:tc>
          <w:tcPr>
            <w:tcW w:w="1295" w:type="dxa"/>
          </w:tcPr>
          <w:p>
            <w:pPr>
              <w:pStyle w:val="TableParagraph"/>
              <w:rPr>
                <w:rFonts w:ascii="Times New Roman"/>
                <w:sz w:val="28"/>
              </w:rPr>
            </w:pPr>
          </w:p>
        </w:tc>
      </w:tr>
      <w:tr>
        <w:tblPrEx>
          <w:tblW w:w="0" w:type="auto"/>
          <w:jc w:val="left"/>
          <w:tblInd w:w="295" w:type="dxa"/>
          <w:tblLayout w:type="fixed"/>
          <w:tblCellMar>
            <w:top w:w="0" w:type="dxa"/>
            <w:left w:w="0" w:type="dxa"/>
            <w:bottom w:w="0" w:type="dxa"/>
            <w:right w:w="0" w:type="dxa"/>
          </w:tblCellMar>
          <w:tblLook w:val="01E0"/>
        </w:tblPrEx>
        <w:trPr>
          <w:trHeight w:val="915"/>
          <w:jc w:val="left"/>
        </w:trPr>
        <w:tc>
          <w:tcPr>
            <w:tcW w:w="1882" w:type="dxa"/>
            <w:vMerge/>
            <w:tcBorders>
              <w:top w:val="nil"/>
            </w:tcBorders>
          </w:tcPr>
          <w:p>
            <w:pPr>
              <w:rPr>
                <w:sz w:val="2"/>
                <w:szCs w:val="2"/>
              </w:rPr>
            </w:pPr>
          </w:p>
        </w:tc>
        <w:tc>
          <w:tcPr>
            <w:tcW w:w="1883" w:type="dxa"/>
          </w:tcPr>
          <w:p>
            <w:pPr>
              <w:pStyle w:val="TableParagraph"/>
              <w:spacing w:before="11"/>
              <w:rPr>
                <w:sz w:val="21"/>
              </w:rPr>
            </w:pPr>
          </w:p>
          <w:p>
            <w:pPr>
              <w:pStyle w:val="TableParagraph"/>
              <w:ind w:left="366" w:right="357"/>
              <w:jc w:val="center"/>
              <w:rPr>
                <w:sz w:val="28"/>
              </w:rPr>
            </w:pPr>
            <w:r>
              <w:rPr>
                <w:spacing w:val="-4"/>
                <w:sz w:val="28"/>
              </w:rPr>
              <w:t>幕墙班</w:t>
            </w:r>
          </w:p>
        </w:tc>
        <w:tc>
          <w:tcPr>
            <w:tcW w:w="1883" w:type="dxa"/>
          </w:tcPr>
          <w:p>
            <w:pPr>
              <w:pStyle w:val="TableParagraph"/>
              <w:spacing w:before="2"/>
              <w:rPr>
                <w:sz w:val="23"/>
              </w:rPr>
            </w:pPr>
          </w:p>
          <w:p>
            <w:pPr>
              <w:pStyle w:val="TableParagraph"/>
              <w:ind w:left="366" w:right="357"/>
              <w:jc w:val="center"/>
              <w:rPr>
                <w:rFonts w:ascii="Times New Roman"/>
                <w:sz w:val="28"/>
              </w:rPr>
            </w:pPr>
            <w:r>
              <w:rPr>
                <w:rFonts w:ascii="Times New Roman"/>
                <w:spacing w:val="-5"/>
                <w:sz w:val="28"/>
              </w:rPr>
              <w:t>30</w:t>
            </w:r>
          </w:p>
        </w:tc>
        <w:tc>
          <w:tcPr>
            <w:tcW w:w="2682" w:type="dxa"/>
            <w:vMerge/>
            <w:tcBorders>
              <w:top w:val="nil"/>
            </w:tcBorders>
          </w:tcPr>
          <w:p>
            <w:pPr>
              <w:rPr>
                <w:sz w:val="2"/>
                <w:szCs w:val="2"/>
              </w:rPr>
            </w:pPr>
          </w:p>
        </w:tc>
        <w:tc>
          <w:tcPr>
            <w:tcW w:w="1295" w:type="dxa"/>
          </w:tcPr>
          <w:p>
            <w:pPr>
              <w:pStyle w:val="TableParagraph"/>
              <w:rPr>
                <w:rFonts w:ascii="Times New Roman"/>
                <w:sz w:val="28"/>
              </w:rPr>
            </w:pPr>
          </w:p>
        </w:tc>
      </w:tr>
      <w:tr>
        <w:tblPrEx>
          <w:tblW w:w="0" w:type="auto"/>
          <w:jc w:val="left"/>
          <w:tblInd w:w="295" w:type="dxa"/>
          <w:tblLayout w:type="fixed"/>
          <w:tblCellMar>
            <w:top w:w="0" w:type="dxa"/>
            <w:left w:w="0" w:type="dxa"/>
            <w:bottom w:w="0" w:type="dxa"/>
            <w:right w:w="0" w:type="dxa"/>
          </w:tblCellMar>
          <w:tblLook w:val="01E0"/>
        </w:tblPrEx>
        <w:trPr>
          <w:trHeight w:val="895"/>
          <w:jc w:val="left"/>
        </w:trPr>
        <w:tc>
          <w:tcPr>
            <w:tcW w:w="1882" w:type="dxa"/>
            <w:vMerge w:val="restart"/>
          </w:tcPr>
          <w:p>
            <w:pPr>
              <w:pStyle w:val="TableParagraph"/>
              <w:rPr>
                <w:sz w:val="28"/>
              </w:rPr>
            </w:pPr>
          </w:p>
          <w:p>
            <w:pPr>
              <w:pStyle w:val="TableParagraph"/>
              <w:rPr>
                <w:sz w:val="28"/>
              </w:rPr>
            </w:pPr>
          </w:p>
          <w:p>
            <w:pPr>
              <w:pStyle w:val="TableParagraph"/>
              <w:spacing w:before="9"/>
              <w:rPr>
                <w:sz w:val="35"/>
              </w:rPr>
            </w:pPr>
          </w:p>
          <w:p>
            <w:pPr>
              <w:pStyle w:val="TableParagraph"/>
              <w:ind w:left="801"/>
              <w:rPr>
                <w:sz w:val="28"/>
              </w:rPr>
            </w:pPr>
            <w:r>
              <w:rPr>
                <w:spacing w:val="-4"/>
                <w:sz w:val="28"/>
              </w:rPr>
              <w:t>十一区</w:t>
            </w:r>
          </w:p>
        </w:tc>
        <w:tc>
          <w:tcPr>
            <w:tcW w:w="1883" w:type="dxa"/>
          </w:tcPr>
          <w:p>
            <w:pPr>
              <w:pStyle w:val="TableParagraph"/>
              <w:spacing w:before="1"/>
              <w:rPr>
                <w:sz w:val="21"/>
              </w:rPr>
            </w:pPr>
          </w:p>
          <w:p>
            <w:pPr>
              <w:pStyle w:val="TableParagraph"/>
              <w:ind w:left="366" w:right="357"/>
              <w:jc w:val="center"/>
              <w:rPr>
                <w:sz w:val="28"/>
              </w:rPr>
            </w:pPr>
            <w:r>
              <w:rPr>
                <w:spacing w:val="-4"/>
                <w:sz w:val="28"/>
              </w:rPr>
              <w:t>泥工班</w:t>
            </w:r>
          </w:p>
        </w:tc>
        <w:tc>
          <w:tcPr>
            <w:tcW w:w="1883" w:type="dxa"/>
          </w:tcPr>
          <w:p>
            <w:pPr>
              <w:pStyle w:val="TableParagraph"/>
              <w:spacing w:before="4"/>
              <w:rPr>
                <w:sz w:val="22"/>
              </w:rPr>
            </w:pPr>
          </w:p>
          <w:p>
            <w:pPr>
              <w:pStyle w:val="TableParagraph"/>
              <w:ind w:left="366" w:right="357"/>
              <w:jc w:val="center"/>
              <w:rPr>
                <w:rFonts w:ascii="Times New Roman"/>
                <w:sz w:val="28"/>
              </w:rPr>
            </w:pPr>
            <w:r>
              <w:rPr>
                <w:rFonts w:ascii="Times New Roman"/>
                <w:spacing w:val="-5"/>
                <w:sz w:val="28"/>
              </w:rPr>
              <w:t>20</w:t>
            </w:r>
          </w:p>
        </w:tc>
        <w:tc>
          <w:tcPr>
            <w:tcW w:w="2682" w:type="dxa"/>
            <w:vMerge w:val="restart"/>
          </w:tcPr>
          <w:p>
            <w:pPr>
              <w:pStyle w:val="TableParagraph"/>
              <w:rPr>
                <w:sz w:val="30"/>
              </w:rPr>
            </w:pPr>
          </w:p>
          <w:p>
            <w:pPr>
              <w:pStyle w:val="TableParagraph"/>
              <w:spacing w:before="8"/>
              <w:rPr>
                <w:sz w:val="38"/>
              </w:rPr>
            </w:pPr>
          </w:p>
          <w:p>
            <w:pPr>
              <w:pStyle w:val="TableParagraph"/>
              <w:ind w:left="682"/>
              <w:rPr>
                <w:rFonts w:ascii="Times New Roman"/>
                <w:sz w:val="28"/>
              </w:rPr>
            </w:pPr>
            <w:r>
              <w:rPr>
                <w:rFonts w:ascii="Times New Roman"/>
                <w:sz w:val="28"/>
              </w:rPr>
              <w:t>2019-2-</w:t>
            </w:r>
            <w:r>
              <w:rPr>
                <w:rFonts w:ascii="Times New Roman"/>
                <w:spacing w:val="-2"/>
                <w:sz w:val="28"/>
              </w:rPr>
              <w:t>13~2019</w:t>
            </w:r>
          </w:p>
          <w:p>
            <w:pPr>
              <w:pStyle w:val="TableParagraph"/>
              <w:spacing w:before="7"/>
              <w:rPr>
                <w:sz w:val="23"/>
              </w:rPr>
            </w:pPr>
          </w:p>
          <w:p>
            <w:pPr>
              <w:pStyle w:val="TableParagraph"/>
              <w:ind w:left="1092" w:right="1083"/>
              <w:jc w:val="center"/>
              <w:rPr>
                <w:rFonts w:ascii="Times New Roman"/>
                <w:sz w:val="28"/>
              </w:rPr>
            </w:pPr>
            <w:r>
              <w:rPr>
                <w:rFonts w:ascii="Times New Roman"/>
                <w:sz w:val="28"/>
              </w:rPr>
              <w:t>-6-</w:t>
            </w:r>
            <w:r>
              <w:rPr>
                <w:rFonts w:ascii="Times New Roman"/>
                <w:spacing w:val="-10"/>
                <w:sz w:val="28"/>
              </w:rPr>
              <w:t>1</w:t>
            </w:r>
          </w:p>
        </w:tc>
        <w:tc>
          <w:tcPr>
            <w:tcW w:w="1295" w:type="dxa"/>
          </w:tcPr>
          <w:p>
            <w:pPr>
              <w:pStyle w:val="TableParagraph"/>
              <w:rPr>
                <w:rFonts w:ascii="Times New Roman"/>
                <w:sz w:val="28"/>
              </w:rPr>
            </w:pPr>
          </w:p>
        </w:tc>
      </w:tr>
      <w:tr>
        <w:tblPrEx>
          <w:tblW w:w="0" w:type="auto"/>
          <w:jc w:val="left"/>
          <w:tblInd w:w="295" w:type="dxa"/>
          <w:tblLayout w:type="fixed"/>
          <w:tblCellMar>
            <w:top w:w="0" w:type="dxa"/>
            <w:left w:w="0" w:type="dxa"/>
            <w:bottom w:w="0" w:type="dxa"/>
            <w:right w:w="0" w:type="dxa"/>
          </w:tblCellMar>
          <w:tblLook w:val="01E0"/>
        </w:tblPrEx>
        <w:trPr>
          <w:trHeight w:val="895"/>
          <w:jc w:val="left"/>
        </w:trPr>
        <w:tc>
          <w:tcPr>
            <w:tcW w:w="1882" w:type="dxa"/>
            <w:vMerge/>
            <w:tcBorders>
              <w:top w:val="nil"/>
            </w:tcBorders>
          </w:tcPr>
          <w:p>
            <w:pPr>
              <w:rPr>
                <w:sz w:val="2"/>
                <w:szCs w:val="2"/>
              </w:rPr>
            </w:pPr>
          </w:p>
        </w:tc>
        <w:tc>
          <w:tcPr>
            <w:tcW w:w="1883" w:type="dxa"/>
          </w:tcPr>
          <w:p>
            <w:pPr>
              <w:pStyle w:val="TableParagraph"/>
              <w:spacing w:before="1"/>
              <w:rPr>
                <w:sz w:val="21"/>
              </w:rPr>
            </w:pPr>
          </w:p>
          <w:p>
            <w:pPr>
              <w:pStyle w:val="TableParagraph"/>
              <w:ind w:left="366" w:right="357"/>
              <w:jc w:val="center"/>
              <w:rPr>
                <w:sz w:val="28"/>
              </w:rPr>
            </w:pPr>
            <w:r>
              <w:rPr>
                <w:spacing w:val="-4"/>
                <w:sz w:val="28"/>
              </w:rPr>
              <w:t>油漆班</w:t>
            </w:r>
          </w:p>
        </w:tc>
        <w:tc>
          <w:tcPr>
            <w:tcW w:w="1883" w:type="dxa"/>
          </w:tcPr>
          <w:p>
            <w:pPr>
              <w:pStyle w:val="TableParagraph"/>
              <w:spacing w:before="4"/>
              <w:rPr>
                <w:sz w:val="22"/>
              </w:rPr>
            </w:pPr>
          </w:p>
          <w:p>
            <w:pPr>
              <w:pStyle w:val="TableParagraph"/>
              <w:ind w:left="366" w:right="357"/>
              <w:jc w:val="center"/>
              <w:rPr>
                <w:rFonts w:ascii="Times New Roman"/>
                <w:sz w:val="28"/>
              </w:rPr>
            </w:pPr>
            <w:r>
              <w:rPr>
                <w:rFonts w:ascii="Times New Roman"/>
                <w:spacing w:val="-5"/>
                <w:sz w:val="28"/>
              </w:rPr>
              <w:t>30</w:t>
            </w:r>
          </w:p>
        </w:tc>
        <w:tc>
          <w:tcPr>
            <w:tcW w:w="2682" w:type="dxa"/>
            <w:vMerge/>
            <w:tcBorders>
              <w:top w:val="nil"/>
            </w:tcBorders>
          </w:tcPr>
          <w:p>
            <w:pPr>
              <w:rPr>
                <w:sz w:val="2"/>
                <w:szCs w:val="2"/>
              </w:rPr>
            </w:pPr>
          </w:p>
        </w:tc>
        <w:tc>
          <w:tcPr>
            <w:tcW w:w="1295" w:type="dxa"/>
          </w:tcPr>
          <w:p>
            <w:pPr>
              <w:pStyle w:val="TableParagraph"/>
              <w:rPr>
                <w:rFonts w:ascii="Times New Roman"/>
                <w:sz w:val="28"/>
              </w:rPr>
            </w:pPr>
          </w:p>
        </w:tc>
      </w:tr>
      <w:tr>
        <w:tblPrEx>
          <w:tblW w:w="0" w:type="auto"/>
          <w:jc w:val="left"/>
          <w:tblInd w:w="295" w:type="dxa"/>
          <w:tblLayout w:type="fixed"/>
          <w:tblCellMar>
            <w:top w:w="0" w:type="dxa"/>
            <w:left w:w="0" w:type="dxa"/>
            <w:bottom w:w="0" w:type="dxa"/>
            <w:right w:w="0" w:type="dxa"/>
          </w:tblCellMar>
          <w:tblLook w:val="01E0"/>
        </w:tblPrEx>
        <w:trPr>
          <w:trHeight w:val="895"/>
          <w:jc w:val="left"/>
        </w:trPr>
        <w:tc>
          <w:tcPr>
            <w:tcW w:w="1882" w:type="dxa"/>
            <w:vMerge/>
            <w:tcBorders>
              <w:top w:val="nil"/>
            </w:tcBorders>
          </w:tcPr>
          <w:p>
            <w:pPr>
              <w:rPr>
                <w:sz w:val="2"/>
                <w:szCs w:val="2"/>
              </w:rPr>
            </w:pPr>
          </w:p>
        </w:tc>
        <w:tc>
          <w:tcPr>
            <w:tcW w:w="1883" w:type="dxa"/>
          </w:tcPr>
          <w:p>
            <w:pPr>
              <w:pStyle w:val="TableParagraph"/>
              <w:spacing w:before="1"/>
              <w:rPr>
                <w:sz w:val="21"/>
              </w:rPr>
            </w:pPr>
          </w:p>
          <w:p>
            <w:pPr>
              <w:pStyle w:val="TableParagraph"/>
              <w:ind w:left="366" w:right="357"/>
              <w:jc w:val="center"/>
              <w:rPr>
                <w:sz w:val="28"/>
              </w:rPr>
            </w:pPr>
            <w:r>
              <w:rPr>
                <w:spacing w:val="-4"/>
                <w:sz w:val="28"/>
              </w:rPr>
              <w:t>幕墙班</w:t>
            </w:r>
          </w:p>
        </w:tc>
        <w:tc>
          <w:tcPr>
            <w:tcW w:w="1883" w:type="dxa"/>
          </w:tcPr>
          <w:p>
            <w:pPr>
              <w:pStyle w:val="TableParagraph"/>
              <w:spacing w:before="4"/>
              <w:rPr>
                <w:sz w:val="22"/>
              </w:rPr>
            </w:pPr>
          </w:p>
          <w:p>
            <w:pPr>
              <w:pStyle w:val="TableParagraph"/>
              <w:ind w:left="366" w:right="357"/>
              <w:jc w:val="center"/>
              <w:rPr>
                <w:rFonts w:ascii="Times New Roman"/>
                <w:sz w:val="28"/>
              </w:rPr>
            </w:pPr>
            <w:r>
              <w:rPr>
                <w:rFonts w:ascii="Times New Roman"/>
                <w:spacing w:val="-5"/>
                <w:sz w:val="28"/>
              </w:rPr>
              <w:t>30</w:t>
            </w:r>
          </w:p>
        </w:tc>
        <w:tc>
          <w:tcPr>
            <w:tcW w:w="2682" w:type="dxa"/>
            <w:vMerge/>
            <w:tcBorders>
              <w:top w:val="nil"/>
            </w:tcBorders>
          </w:tcPr>
          <w:p>
            <w:pPr>
              <w:rPr>
                <w:sz w:val="2"/>
                <w:szCs w:val="2"/>
              </w:rPr>
            </w:pPr>
          </w:p>
        </w:tc>
        <w:tc>
          <w:tcPr>
            <w:tcW w:w="1295" w:type="dxa"/>
          </w:tcPr>
          <w:p>
            <w:pPr>
              <w:pStyle w:val="TableParagraph"/>
              <w:rPr>
                <w:rFonts w:ascii="Times New Roman"/>
                <w:sz w:val="28"/>
              </w:rPr>
            </w:pPr>
          </w:p>
        </w:tc>
      </w:tr>
    </w:tbl>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18"/>
        </w:rPr>
      </w:pPr>
    </w:p>
    <w:p>
      <w:pPr>
        <w:pStyle w:val="Heading1"/>
        <w:tabs>
          <w:tab w:val="left" w:pos="4469"/>
        </w:tabs>
        <w:spacing w:line="538" w:lineRule="exact"/>
        <w:ind w:left="3269" w:firstLine="0"/>
        <w:jc w:val="left"/>
      </w:pPr>
      <w:bookmarkStart w:id="13" w:name="_TOC_250005"/>
      <w:r>
        <w:t>第</w:t>
      </w:r>
      <w:r>
        <w:t>五</w:t>
      </w:r>
      <w:r>
        <w:rPr>
          <w:spacing w:val="-10"/>
        </w:rPr>
        <w:t>章</w:t>
      </w:r>
      <w:r>
        <w:tab/>
        <w:t>施</w:t>
      </w:r>
      <w:r>
        <w:t>工</w:t>
      </w:r>
      <w:r>
        <w:t>方</w:t>
      </w:r>
      <w:r>
        <w:t>法</w:t>
      </w:r>
      <w:r>
        <w:t>及</w:t>
      </w:r>
      <w:r>
        <w:t>工</w:t>
      </w:r>
      <w:r>
        <w:t>艺</w:t>
      </w:r>
      <w:r>
        <w:t>技</w:t>
      </w:r>
      <w:bookmarkEnd w:id="13"/>
      <w:r>
        <w:rPr>
          <w:spacing w:val="-10"/>
        </w:rPr>
        <w:t>术</w:t>
      </w:r>
    </w:p>
    <w:p>
      <w:pPr>
        <w:pStyle w:val="Heading2"/>
        <w:tabs>
          <w:tab w:val="left" w:pos="4229"/>
        </w:tabs>
        <w:spacing w:before="134" w:line="290" w:lineRule="auto"/>
        <w:ind w:left="958" w:right="3485" w:firstLine="2150"/>
      </w:pPr>
      <w:r>
        <w:rPr>
          <w:spacing w:val="-4"/>
        </w:rPr>
        <w:t>第</w:t>
      </w:r>
      <w:r>
        <w:rPr>
          <w:spacing w:val="-4"/>
        </w:rPr>
        <w:t>一</w:t>
      </w:r>
      <w:r>
        <w:rPr>
          <w:spacing w:val="-4"/>
        </w:rPr>
        <w:t>节</w:t>
      </w:r>
      <w:r>
        <w:tab/>
      </w:r>
      <w:r>
        <w:rPr>
          <w:spacing w:val="-2"/>
        </w:rPr>
        <w:t>外</w:t>
      </w:r>
      <w:r>
        <w:rPr>
          <w:spacing w:val="-2"/>
        </w:rPr>
        <w:t>墙</w:t>
      </w:r>
      <w:r>
        <w:rPr>
          <w:spacing w:val="-2"/>
        </w:rPr>
        <w:t>翻</w:t>
      </w:r>
      <w:r>
        <w:rPr>
          <w:spacing w:val="-2"/>
        </w:rPr>
        <w:t>新</w:t>
      </w:r>
      <w:r>
        <w:rPr>
          <w:spacing w:val="-2"/>
        </w:rPr>
        <w:t>的</w:t>
      </w:r>
      <w:r>
        <w:rPr>
          <w:spacing w:val="-2"/>
        </w:rPr>
        <w:t>操</w:t>
      </w:r>
      <w:r>
        <w:rPr>
          <w:spacing w:val="-2"/>
        </w:rPr>
        <w:t>作</w:t>
      </w:r>
      <w:r>
        <w:rPr>
          <w:spacing w:val="-2"/>
        </w:rPr>
        <w:t>工</w:t>
      </w:r>
      <w:r>
        <w:rPr>
          <w:spacing w:val="-2"/>
        </w:rPr>
        <w:t>艺</w:t>
      </w:r>
      <w:r>
        <w:rPr>
          <w:spacing w:val="-2"/>
        </w:rPr>
        <w:t>一</w:t>
      </w:r>
      <w:r>
        <w:rPr>
          <w:spacing w:val="-2"/>
        </w:rPr>
        <w:t>、</w:t>
      </w:r>
      <w:r>
        <w:rPr>
          <w:spacing w:val="-2"/>
        </w:rPr>
        <w:t>外</w:t>
      </w:r>
      <w:r>
        <w:rPr>
          <w:spacing w:val="-2"/>
        </w:rPr>
        <w:t>墙</w:t>
      </w:r>
      <w:r>
        <w:rPr>
          <w:spacing w:val="-2"/>
        </w:rPr>
        <w:t>涂</w:t>
      </w:r>
      <w:r>
        <w:rPr>
          <w:spacing w:val="-2"/>
        </w:rPr>
        <w:t>料</w:t>
      </w:r>
      <w:r>
        <w:rPr>
          <w:spacing w:val="-2"/>
        </w:rPr>
        <w:t>翻</w:t>
      </w:r>
      <w:r>
        <w:rPr>
          <w:spacing w:val="-2"/>
        </w:rPr>
        <w:t>新</w:t>
      </w:r>
      <w:r>
        <w:rPr>
          <w:spacing w:val="-2"/>
        </w:rPr>
        <w:t>的</w:t>
      </w:r>
      <w:r>
        <w:rPr>
          <w:spacing w:val="-2"/>
        </w:rPr>
        <w:t>工</w:t>
      </w:r>
      <w:r>
        <w:rPr>
          <w:spacing w:val="-2"/>
        </w:rPr>
        <w:t>艺</w:t>
      </w:r>
      <w:r>
        <w:rPr>
          <w:spacing w:val="-2"/>
        </w:rPr>
        <w:t>流</w:t>
      </w:r>
      <w:r>
        <w:rPr>
          <w:spacing w:val="-2"/>
        </w:rPr>
        <w:t>程</w:t>
      </w:r>
    </w:p>
    <w:p>
      <w:pPr>
        <w:pStyle w:val="BodyText"/>
        <w:spacing w:before="94"/>
        <w:ind w:left="958"/>
      </w:pPr>
      <w:r>
        <w:rPr>
          <w:rFonts w:ascii="Times New Roman" w:eastAsia="Times New Roman"/>
        </w:rPr>
        <w:t>1</w:t>
      </w:r>
      <w:r>
        <w:rPr>
          <w:spacing w:val="-1"/>
        </w:rPr>
        <w:t>、原马赛克、面砖墙面霉变空鼓严重部位工艺流程</w:t>
      </w:r>
    </w:p>
    <w:p>
      <w:pPr>
        <w:pStyle w:val="BodyText"/>
        <w:spacing w:before="4" w:line="620" w:lineRule="atLeast"/>
        <w:ind w:left="398" w:right="352" w:firstLine="560"/>
      </w:pPr>
      <w:r>
        <w:rPr>
          <w:spacing w:val="2"/>
        </w:rPr>
        <w:t>铲除面层至外墙墙基→清扫处理→刷专用界面剂一遍→局部采用膨胀螺</w:t>
      </w:r>
      <w:r>
        <w:rPr>
          <w:spacing w:val="-3"/>
        </w:rPr>
        <w:t>栓固定钢板网→局部用</w:t>
      </w:r>
      <w:r>
        <w:rPr>
          <w:rFonts w:ascii="Times New Roman" w:eastAsia="Times New Roman" w:hAnsi="Times New Roman"/>
        </w:rPr>
        <w:t>1:2.5</w:t>
      </w:r>
      <w:r>
        <w:rPr>
          <w:rFonts w:ascii="Times New Roman" w:eastAsia="Times New Roman" w:hAnsi="Times New Roman"/>
          <w:spacing w:val="-30"/>
        </w:rPr>
        <w:t xml:space="preserve"> </w:t>
      </w:r>
      <w:r>
        <w:rPr>
          <w:spacing w:val="-7"/>
        </w:rPr>
        <w:t>水泥纤维砂浆填补找平→满挂热镀锌电焊钢丝网，</w:t>
      </w:r>
      <w:r>
        <w:rPr>
          <w:spacing w:val="-10"/>
        </w:rPr>
        <w:t xml:space="preserve">钢钉间距小于 </w:t>
      </w:r>
      <w:r>
        <w:rPr>
          <w:rFonts w:ascii="Times New Roman" w:eastAsia="Times New Roman" w:hAnsi="Times New Roman"/>
        </w:rPr>
        <w:t>400mm</w:t>
      </w:r>
      <w:r>
        <w:t>→</w:t>
      </w:r>
      <w:r>
        <w:rPr>
          <w:rFonts w:ascii="Times New Roman" w:eastAsia="Times New Roman" w:hAnsi="Times New Roman"/>
        </w:rPr>
        <w:t xml:space="preserve">12 </w:t>
      </w:r>
      <w:r>
        <w:rPr>
          <w:spacing w:val="-35"/>
        </w:rPr>
        <w:t xml:space="preserve">厚 </w:t>
      </w:r>
      <w:r>
        <w:rPr>
          <w:rFonts w:ascii="Times New Roman" w:eastAsia="Times New Roman" w:hAnsi="Times New Roman"/>
        </w:rPr>
        <w:t xml:space="preserve">1:2.5 </w:t>
      </w:r>
      <w:r>
        <w:t>水泥砂浆打底扫毛→</w:t>
      </w:r>
      <w:r>
        <w:rPr>
          <w:rFonts w:ascii="Times New Roman" w:eastAsia="Times New Roman" w:hAnsi="Times New Roman"/>
        </w:rPr>
        <w:t xml:space="preserve">8 </w:t>
      </w:r>
      <w:r>
        <w:rPr>
          <w:spacing w:val="-35"/>
        </w:rPr>
        <w:t xml:space="preserve">厚 </w:t>
      </w:r>
      <w:r>
        <w:rPr>
          <w:rFonts w:ascii="Times New Roman" w:eastAsia="Times New Roman" w:hAnsi="Times New Roman"/>
        </w:rPr>
        <w:t xml:space="preserve">1:2.5 </w:t>
      </w:r>
      <w:r>
        <w:t>水泥砂浆找</w:t>
      </w:r>
      <w:r>
        <w:rPr>
          <w:spacing w:val="-2"/>
        </w:rPr>
        <w:t>平抹光→</w:t>
      </w:r>
      <w:r>
        <w:rPr>
          <w:rFonts w:ascii="Times New Roman" w:eastAsia="Times New Roman" w:hAnsi="Times New Roman"/>
        </w:rPr>
        <w:t>2.0</w:t>
      </w:r>
      <w:r>
        <w:rPr>
          <w:rFonts w:ascii="Times New Roman" w:eastAsia="Times New Roman" w:hAnsi="Times New Roman"/>
          <w:spacing w:val="-5"/>
        </w:rPr>
        <w:t xml:space="preserve"> </w:t>
      </w:r>
      <w:r>
        <w:rPr>
          <w:spacing w:val="-4"/>
        </w:rPr>
        <w:t>厚聚合物水泥基防水涂膜→刷一道外墙封闭底漆→满刮与外墙涂</w:t>
      </w:r>
      <w:r>
        <w:rPr>
          <w:spacing w:val="-9"/>
        </w:rPr>
        <w:t>料配套的弹性防水腻子粉四遍</w:t>
      </w:r>
      <w:r>
        <w:t>（以刮平为准</w:t>
      </w:r>
      <w:r>
        <w:rPr>
          <w:spacing w:val="-61"/>
        </w:rPr>
        <w:t>）</w:t>
      </w:r>
      <w:r>
        <w:rPr>
          <w:spacing w:val="-14"/>
        </w:rPr>
        <w:t xml:space="preserve">磨平，最薄处大于等于 </w:t>
      </w:r>
      <w:r>
        <w:rPr>
          <w:rFonts w:ascii="Times New Roman" w:eastAsia="Times New Roman" w:hAnsi="Times New Roman"/>
        </w:rPr>
        <w:t>1.5</w:t>
      </w:r>
      <w:r>
        <w:rPr>
          <w:rFonts w:ascii="Times New Roman" w:eastAsia="Times New Roman" w:hAnsi="Times New Roman"/>
          <w:spacing w:val="-1"/>
        </w:rPr>
        <w:t>m</w:t>
      </w:r>
      <w:r>
        <w:rPr>
          <w:rFonts w:ascii="Times New Roman" w:eastAsia="Times New Roman" w:hAnsi="Times New Roman"/>
        </w:rPr>
        <w:t>m</w:t>
      </w:r>
      <w:r>
        <w:t>→</w:t>
      </w:r>
    </w:p>
    <w:p>
      <w:pPr>
        <w:spacing w:after="0" w:line="620" w:lineRule="atLeast"/>
        <w:sectPr>
          <w:headerReference w:type="default" r:id="rId20"/>
          <w:footerReference w:type="default" r:id="rId21"/>
          <w:pgSz w:w="11910" w:h="16840"/>
          <w:pgMar w:top="1180" w:right="640" w:bottom="1600" w:left="1020" w:header="996" w:footer="1381"/>
          <w:pgNumType w:start="9"/>
          <w:cols w:space="708"/>
        </w:sectPr>
      </w:pPr>
    </w:p>
    <w:p>
      <w:pPr>
        <w:pStyle w:val="BodyText"/>
        <w:spacing w:before="9"/>
        <w:rPr>
          <w:sz w:val="9"/>
        </w:rPr>
      </w:pPr>
    </w:p>
    <w:p>
      <w:pPr>
        <w:pStyle w:val="BodyText"/>
        <w:spacing w:before="61"/>
        <w:ind w:left="398"/>
      </w:pPr>
      <w:r>
        <w:rPr>
          <w:spacing w:val="-1"/>
        </w:rPr>
        <w:t>涂刷一道外墙封闭底漆→刷水性氟碳漆→检查验收→涂料清理</w:t>
      </w:r>
    </w:p>
    <w:p>
      <w:pPr>
        <w:pStyle w:val="BodyText"/>
      </w:pPr>
    </w:p>
    <w:p>
      <w:pPr>
        <w:pStyle w:val="BodyText"/>
        <w:spacing w:before="5"/>
        <w:rPr>
          <w:sz w:val="41"/>
        </w:rPr>
      </w:pPr>
    </w:p>
    <w:p>
      <w:pPr>
        <w:pStyle w:val="BodyText"/>
        <w:ind w:left="958"/>
      </w:pPr>
      <w:r>
        <w:rPr>
          <w:rFonts w:ascii="Times New Roman" w:eastAsia="Times New Roman"/>
        </w:rPr>
        <w:t>2</w:t>
      </w:r>
      <w:r>
        <w:rPr>
          <w:spacing w:val="-1"/>
        </w:rPr>
        <w:t>、原马赛克、面砖墙面</w:t>
      </w:r>
    </w:p>
    <w:p>
      <w:pPr>
        <w:pStyle w:val="BodyText"/>
        <w:spacing w:before="265" w:line="417" w:lineRule="auto"/>
        <w:ind w:left="398" w:right="492" w:firstLine="560"/>
        <w:jc w:val="both"/>
        <w:rPr>
          <w:rFonts w:ascii="Times New Roman" w:eastAsia="Times New Roman" w:hAnsi="Times New Roman"/>
        </w:rPr>
      </w:pPr>
      <w:r>
        <w:rPr>
          <w:spacing w:val="-2"/>
        </w:rPr>
        <w:t>凿除清理空鼓，渗水裂缝，脱落马赛克或面砖面层至外墙墙基→清扫处</w:t>
      </w:r>
      <w:r>
        <w:rPr>
          <w:spacing w:val="-3"/>
        </w:rPr>
        <w:t xml:space="preserve">理→刷专用界面剂一遍→局部挂热镀锌电焊钢丝网，钢钉间距小于 </w:t>
      </w:r>
      <w:r>
        <w:rPr>
          <w:rFonts w:ascii="Times New Roman" w:eastAsia="Times New Roman" w:hAnsi="Times New Roman"/>
          <w:spacing w:val="-2"/>
        </w:rPr>
        <w:t>400mm</w:t>
      </w:r>
      <w:r>
        <w:rPr>
          <w:spacing w:val="-2"/>
        </w:rPr>
        <w:t>，</w:t>
      </w:r>
      <w:r>
        <w:rPr>
          <w:spacing w:val="-18"/>
        </w:rPr>
        <w:t xml:space="preserve">用 </w:t>
      </w:r>
      <w:r>
        <w:rPr>
          <w:rFonts w:ascii="Times New Roman" w:eastAsia="Times New Roman" w:hAnsi="Times New Roman"/>
          <w:spacing w:val="-2"/>
        </w:rPr>
        <w:t>1:2.5</w:t>
      </w:r>
      <w:r>
        <w:rPr>
          <w:rFonts w:ascii="Times New Roman" w:eastAsia="Times New Roman" w:hAnsi="Times New Roman"/>
          <w:spacing w:val="-16"/>
        </w:rPr>
        <w:t xml:space="preserve"> </w:t>
      </w:r>
      <w:r>
        <w:rPr>
          <w:spacing w:val="-2"/>
        </w:rPr>
        <w:t>水泥纤维砂浆填补找平，涂布底胶，表面涂刮聚合物防水涂膜，厚度</w:t>
      </w:r>
      <w:r>
        <w:rPr>
          <w:spacing w:val="-13"/>
        </w:rPr>
        <w:t xml:space="preserve">大于等于 </w:t>
      </w:r>
      <w:r>
        <w:rPr>
          <w:rFonts w:ascii="Times New Roman" w:eastAsia="Times New Roman" w:hAnsi="Times New Roman"/>
          <w:spacing w:val="-10"/>
        </w:rPr>
        <w:t>2.0mm</w:t>
      </w:r>
      <w:r>
        <w:rPr>
          <w:spacing w:val="-10"/>
        </w:rPr>
        <w:t>（</w:t>
      </w:r>
      <w:r>
        <w:rPr>
          <w:spacing w:val="-12"/>
        </w:rPr>
        <w:t xml:space="preserve">四周超出填补找平层大于等于 </w:t>
      </w:r>
      <w:r>
        <w:rPr>
          <w:rFonts w:ascii="Times New Roman" w:eastAsia="Times New Roman" w:hAnsi="Times New Roman"/>
          <w:spacing w:val="28"/>
        </w:rPr>
        <w:t>150</w:t>
      </w:r>
      <w:r>
        <w:rPr>
          <w:rFonts w:ascii="Times New Roman" w:eastAsia="Times New Roman" w:hAnsi="Times New Roman"/>
          <w:spacing w:val="27"/>
        </w:rPr>
        <w:t>m</w:t>
      </w:r>
      <w:r>
        <w:rPr>
          <w:rFonts w:ascii="Times New Roman" w:eastAsia="Times New Roman" w:hAnsi="Times New Roman"/>
          <w:spacing w:val="28"/>
        </w:rPr>
        <w:t>m</w:t>
      </w:r>
      <w:r>
        <w:rPr>
          <w:spacing w:val="-112"/>
        </w:rPr>
        <w:t>）</w:t>
      </w:r>
      <w:r>
        <w:rPr>
          <w:spacing w:val="-22"/>
        </w:rPr>
        <w:t>，涂刷一道外墙封闭</w:t>
      </w:r>
      <w:r>
        <w:rPr>
          <w:spacing w:val="-6"/>
        </w:rPr>
        <w:t>底漆→外墙用草酸洗刷、除去泛碱、白化层、油污等，紧跟用清水冲洗干净→</w:t>
      </w:r>
      <w:r>
        <w:rPr>
          <w:spacing w:val="-2"/>
        </w:rPr>
        <w:t xml:space="preserve">全部墙面刷专用界面剂一遍→满挂热镀锌电焊钢丝网，钢钉间距小于 </w:t>
      </w:r>
      <w:r>
        <w:rPr>
          <w:rFonts w:ascii="Times New Roman" w:eastAsia="Times New Roman" w:hAnsi="Times New Roman"/>
          <w:spacing w:val="-2"/>
        </w:rPr>
        <w:t>400mm</w:t>
      </w:r>
    </w:p>
    <w:p>
      <w:pPr>
        <w:pStyle w:val="BodyText"/>
        <w:spacing w:line="417" w:lineRule="auto"/>
        <w:ind w:left="398" w:right="492"/>
        <w:jc w:val="both"/>
      </w:pPr>
      <w:r>
        <w:rPr>
          <w:spacing w:val="-1"/>
        </w:rPr>
        <w:t xml:space="preserve">→满刮外墙瓷砖专用防水腻子粉四遍磨平，最薄处大于等于 </w:t>
      </w:r>
      <w:r>
        <w:rPr>
          <w:rFonts w:ascii="Times New Roman" w:eastAsia="Times New Roman" w:hAnsi="Times New Roman"/>
        </w:rPr>
        <w:t>2.5mm</w:t>
      </w:r>
      <w:r>
        <w:t>→涂刷一</w:t>
      </w:r>
      <w:r>
        <w:rPr>
          <w:spacing w:val="-2"/>
        </w:rPr>
        <w:t>道外墙封闭底漆→刷水性氟碳漆→检查验收→涂料清理</w:t>
      </w:r>
    </w:p>
    <w:p>
      <w:pPr>
        <w:pStyle w:val="BodyText"/>
        <w:spacing w:line="358" w:lineRule="exact"/>
        <w:ind w:left="958"/>
      </w:pPr>
      <w:r>
        <w:rPr>
          <w:rFonts w:ascii="Times New Roman" w:eastAsia="Times New Roman"/>
        </w:rPr>
        <w:t>3</w:t>
      </w:r>
      <w:r>
        <w:rPr>
          <w:spacing w:val="-2"/>
        </w:rPr>
        <w:t>、原粉刷墙面</w:t>
      </w:r>
    </w:p>
    <w:p>
      <w:pPr>
        <w:pStyle w:val="BodyText"/>
        <w:spacing w:before="264" w:line="417" w:lineRule="auto"/>
        <w:ind w:left="398" w:right="492" w:firstLine="560"/>
        <w:jc w:val="both"/>
      </w:pPr>
      <w:r>
        <w:rPr>
          <w:spacing w:val="-2"/>
        </w:rPr>
        <w:t>凿除清理空鼓、渗水裂缝、脱落粉刷层至外墙墙基→清扫处理→刷专用</w:t>
      </w:r>
      <w:r>
        <w:rPr>
          <w:spacing w:val="-9"/>
        </w:rPr>
        <w:t xml:space="preserve">界面剂一遍→局部挂热镀锌电焊钢丝网，钢钉间距小于 </w:t>
      </w:r>
      <w:r>
        <w:rPr>
          <w:rFonts w:ascii="Times New Roman" w:eastAsia="Times New Roman" w:hAnsi="Times New Roman"/>
          <w:spacing w:val="-4"/>
        </w:rPr>
        <w:t>400mm</w:t>
      </w:r>
      <w:r>
        <w:rPr>
          <w:spacing w:val="-13"/>
        </w:rPr>
        <w:t xml:space="preserve">，用 </w:t>
      </w:r>
      <w:r>
        <w:rPr>
          <w:rFonts w:ascii="Times New Roman" w:eastAsia="Times New Roman" w:hAnsi="Times New Roman"/>
          <w:spacing w:val="-4"/>
        </w:rPr>
        <w:t>1:2.5</w:t>
      </w:r>
      <w:r>
        <w:rPr>
          <w:rFonts w:ascii="Times New Roman" w:eastAsia="Times New Roman" w:hAnsi="Times New Roman"/>
          <w:spacing w:val="-14"/>
        </w:rPr>
        <w:t xml:space="preserve"> </w:t>
      </w:r>
      <w:r>
        <w:rPr>
          <w:spacing w:val="-4"/>
        </w:rPr>
        <w:t>水泥</w:t>
      </w:r>
      <w:r>
        <w:rPr>
          <w:spacing w:val="-5"/>
        </w:rPr>
        <w:t xml:space="preserve">纤维砂浆填补找平→全部墙面刷专用界面剂一遍→全部墙面刷 </w:t>
      </w:r>
      <w:r>
        <w:rPr>
          <w:rFonts w:ascii="Times New Roman" w:eastAsia="Times New Roman" w:hAnsi="Times New Roman"/>
          <w:spacing w:val="-4"/>
        </w:rPr>
        <w:t>2.0</w:t>
      </w:r>
      <w:r>
        <w:rPr>
          <w:rFonts w:ascii="Times New Roman" w:eastAsia="Times New Roman" w:hAnsi="Times New Roman"/>
          <w:spacing w:val="-14"/>
        </w:rPr>
        <w:t xml:space="preserve"> </w:t>
      </w:r>
      <w:r>
        <w:rPr>
          <w:spacing w:val="-4"/>
        </w:rPr>
        <w:t>厚聚合物水</w:t>
      </w:r>
      <w:r>
        <w:rPr>
          <w:spacing w:val="-2"/>
        </w:rPr>
        <w:t>泥基防水涂膜→涂刷一道外墙封闭底漆→满刮与外墙涂料配套的弹性防水腻</w:t>
      </w:r>
      <w:r>
        <w:t>子粉四遍（以刮平为准）</w:t>
      </w:r>
      <w:r>
        <w:rPr>
          <w:spacing w:val="-1"/>
        </w:rPr>
        <w:t xml:space="preserve">磨平，最薄处大于等于 </w:t>
      </w:r>
      <w:r>
        <w:rPr>
          <w:rFonts w:ascii="Times New Roman" w:eastAsia="Times New Roman" w:hAnsi="Times New Roman"/>
        </w:rPr>
        <w:t>1.5mm</w:t>
      </w:r>
      <w:r>
        <w:t>→涂刷一道外墙封闭</w:t>
      </w:r>
      <w:r>
        <w:rPr>
          <w:spacing w:val="-2"/>
        </w:rPr>
        <w:t>底漆→刷水性氟碳漆→检查验收→涂料清理</w:t>
      </w:r>
    </w:p>
    <w:p>
      <w:pPr>
        <w:pStyle w:val="BodyText"/>
        <w:spacing w:before="5"/>
        <w:rPr>
          <w:sz w:val="41"/>
        </w:rPr>
      </w:pPr>
    </w:p>
    <w:p>
      <w:pPr>
        <w:pStyle w:val="Heading2"/>
        <w:ind w:left="958"/>
      </w:pPr>
      <w:r>
        <w:rPr>
          <w:spacing w:val="-1"/>
        </w:rPr>
        <w:t>二、外墙涂料翻新施工操作</w:t>
      </w:r>
    </w:p>
    <w:p>
      <w:pPr>
        <w:pStyle w:val="BodyText"/>
        <w:spacing w:before="205"/>
        <w:ind w:left="958"/>
      </w:pPr>
      <w:r>
        <w:rPr>
          <w:rFonts w:ascii="Times New Roman" w:eastAsia="Times New Roman"/>
        </w:rPr>
        <w:t>1</w:t>
      </w:r>
      <w:r>
        <w:rPr>
          <w:spacing w:val="-2"/>
        </w:rPr>
        <w:t>、铲除面层</w:t>
      </w:r>
    </w:p>
    <w:p>
      <w:pPr>
        <w:pStyle w:val="BodyText"/>
        <w:spacing w:before="146" w:line="307" w:lineRule="auto"/>
        <w:ind w:left="398" w:right="492" w:firstLine="1260"/>
        <w:sectPr>
          <w:headerReference w:type="default" r:id="rId22"/>
          <w:footerReference w:type="default" r:id="rId23"/>
          <w:pgSz w:w="11910" w:h="16840"/>
          <w:pgMar w:top="1180" w:right="640" w:bottom="1600" w:left="1020" w:header="996" w:footer="1381"/>
          <w:pgNumType w:start="10"/>
          <w:cols w:space="708"/>
        </w:sectPr>
      </w:pPr>
      <w:r>
        <w:rPr>
          <w:spacing w:val="-2"/>
        </w:rPr>
        <w:t>自上而下铲除墙面至外墙墙基，拆除过程中需于外架操作平台上满</w:t>
      </w:r>
    </w:p>
    <w:p>
      <w:pPr>
        <w:pStyle w:val="BodyText"/>
        <w:spacing w:before="146" w:line="307" w:lineRule="auto"/>
        <w:ind w:left="398" w:right="492" w:firstLine="1260"/>
      </w:pPr>
      <w:r>
        <w:rPr>
          <w:spacing w:val="-2"/>
        </w:rPr>
        <w:t>铺稳固模板接承外墙废料并及时清除，严禁大量堆积于外架上。</w:t>
      </w:r>
    </w:p>
    <w:p>
      <w:pPr>
        <w:spacing w:after="0" w:line="307" w:lineRule="auto"/>
        <w:sectPr>
          <w:headerReference w:type="default" r:id="rId24"/>
          <w:footerReference w:type="default" r:id="rId25"/>
          <w:type w:val="nextPage"/>
          <w:pgSz w:w="11910" w:h="16840"/>
          <w:pgMar w:top="1180" w:right="640" w:bottom="1600" w:left="1020" w:header="996" w:footer="1381"/>
          <w:pgNumType w:start="11"/>
          <w:cols w:space="708"/>
          <w:titlePg w:val="0"/>
        </w:sectPr>
      </w:pPr>
    </w:p>
    <w:p>
      <w:pPr>
        <w:pStyle w:val="BodyText"/>
        <w:spacing w:before="138"/>
        <w:ind w:left="958"/>
      </w:pPr>
      <w:r>
        <w:rPr>
          <w:rFonts w:ascii="Times New Roman" w:eastAsia="Times New Roman"/>
        </w:rPr>
        <w:t>2</w:t>
      </w:r>
      <w:r>
        <w:rPr>
          <w:spacing w:val="-1"/>
        </w:rPr>
        <w:t>、局部凿除清理空鼓、渗水裂缝、脱落面层至外墙墙基</w:t>
      </w:r>
    </w:p>
    <w:p>
      <w:pPr>
        <w:pStyle w:val="BodyText"/>
        <w:spacing w:before="151" w:line="307" w:lineRule="auto"/>
        <w:ind w:left="398" w:right="492" w:firstLine="1260"/>
      </w:pPr>
      <w:r>
        <w:rPr>
          <w:spacing w:val="-3"/>
        </w:rPr>
        <w:t xml:space="preserve">自上而下排查标记完成后，对缺陷部位扩大 </w:t>
      </w:r>
      <w:r>
        <w:rPr>
          <w:rFonts w:ascii="Times New Roman" w:eastAsia="Times New Roman"/>
        </w:rPr>
        <w:t xml:space="preserve">15cm </w:t>
      </w:r>
      <w:r>
        <w:t>左右进行切割，</w:t>
      </w:r>
      <w:r>
        <w:rPr>
          <w:spacing w:val="-2"/>
        </w:rPr>
        <w:t>切割完成后方可开始剔凿工作，严禁上下层同时施工。</w:t>
      </w:r>
    </w:p>
    <w:p>
      <w:pPr>
        <w:pStyle w:val="BodyText"/>
        <w:spacing w:before="52"/>
        <w:ind w:left="958"/>
      </w:pPr>
      <w:r>
        <w:rPr>
          <w:rFonts w:ascii="Times New Roman" w:eastAsia="Times New Roman"/>
        </w:rPr>
        <w:t>3</w:t>
      </w:r>
      <w:r>
        <w:rPr>
          <w:spacing w:val="-4"/>
        </w:rPr>
        <w:t>、清扫</w:t>
      </w:r>
    </w:p>
    <w:p>
      <w:pPr>
        <w:pStyle w:val="BodyText"/>
        <w:spacing w:before="151" w:line="307" w:lineRule="auto"/>
        <w:ind w:left="398" w:right="492" w:firstLine="560"/>
      </w:pPr>
      <w:r>
        <w:rPr>
          <w:spacing w:val="-2"/>
        </w:rPr>
        <w:t>尘土、粉末→可使用扫帚、毛刷、高压水冲洗，油脂→使用中性洗涤剂</w:t>
      </w:r>
      <w:r>
        <w:rPr>
          <w:spacing w:val="-2"/>
        </w:rPr>
        <w:t>清洗；灰浆→用铲、刮刀等除去面层→室外高压水冲洗，用清水漂洗晾干。</w:t>
      </w:r>
    </w:p>
    <w:p>
      <w:pPr>
        <w:pStyle w:val="BodyText"/>
        <w:spacing w:before="52"/>
        <w:ind w:left="958"/>
      </w:pPr>
      <w:r>
        <w:rPr>
          <w:rFonts w:ascii="Times New Roman" w:eastAsia="Times New Roman"/>
        </w:rPr>
        <w:t>4</w:t>
      </w:r>
      <w:r>
        <w:rPr>
          <w:spacing w:val="-2"/>
        </w:rPr>
        <w:t>、抹灰挂网</w:t>
      </w:r>
    </w:p>
    <w:p>
      <w:pPr>
        <w:pStyle w:val="BodyText"/>
        <w:spacing w:before="151" w:line="307" w:lineRule="auto"/>
        <w:ind w:left="398" w:right="467" w:firstLine="620"/>
        <w:jc w:val="both"/>
      </w:pPr>
      <w:r>
        <w:rPr>
          <w:spacing w:val="5"/>
        </w:rPr>
        <w:t xml:space="preserve">墙面抹灰面厚度小于 </w:t>
      </w:r>
      <w:r>
        <w:rPr>
          <w:rFonts w:ascii="Times New Roman" w:eastAsia="Times New Roman"/>
        </w:rPr>
        <w:t>3.5cm</w:t>
      </w:r>
      <w:r>
        <w:rPr>
          <w:rFonts w:ascii="Times New Roman" w:eastAsia="Times New Roman"/>
          <w:spacing w:val="33"/>
        </w:rPr>
        <w:t xml:space="preserve"> </w:t>
      </w:r>
      <w:r>
        <w:rPr>
          <w:spacing w:val="9"/>
        </w:rPr>
        <w:t>部位挂热镀锌电焊钢丝网，钢钉间距小于</w:t>
      </w:r>
      <w:r>
        <w:t xml:space="preserve"> </w:t>
      </w:r>
      <w:r>
        <w:rPr>
          <w:rFonts w:ascii="Times New Roman" w:eastAsia="Times New Roman"/>
        </w:rPr>
        <w:t>400mm</w:t>
      </w:r>
      <w:r>
        <w:rPr>
          <w:spacing w:val="-2"/>
        </w:rPr>
        <w:t xml:space="preserve">，局部墙面抹灰面厚度大于 </w:t>
      </w:r>
      <w:r>
        <w:rPr>
          <w:rFonts w:ascii="Times New Roman" w:eastAsia="Times New Roman"/>
        </w:rPr>
        <w:t>3.5cm</w:t>
      </w:r>
      <w:r>
        <w:rPr>
          <w:rFonts w:ascii="Times New Roman" w:eastAsia="Times New Roman"/>
          <w:spacing w:val="40"/>
        </w:rPr>
        <w:t xml:space="preserve"> </w:t>
      </w:r>
      <w:r>
        <w:t>部位需双层挂网，底层打膨胀螺丝</w:t>
      </w:r>
      <w:r>
        <w:rPr>
          <w:spacing w:val="-4"/>
        </w:rPr>
        <w:t xml:space="preserve">固定底层钢丝网先抹灰一层，底层灰完成 </w:t>
      </w:r>
      <w:r>
        <w:rPr>
          <w:rFonts w:ascii="Times New Roman" w:eastAsia="Times New Roman"/>
        </w:rPr>
        <w:t xml:space="preserve">24 </w:t>
      </w:r>
      <w:r>
        <w:rPr>
          <w:spacing w:val="-1"/>
        </w:rPr>
        <w:t>小时后方可挂面层钢丝网批荡。</w:t>
      </w:r>
    </w:p>
    <w:p>
      <w:pPr>
        <w:pStyle w:val="BodyText"/>
        <w:spacing w:before="53"/>
        <w:ind w:left="876"/>
      </w:pPr>
      <w:r>
        <w:rPr>
          <w:rFonts w:ascii="Times New Roman" w:eastAsia="Times New Roman"/>
        </w:rPr>
        <w:t>5</w:t>
      </w:r>
      <w:r>
        <w:rPr>
          <w:spacing w:val="-2"/>
        </w:rPr>
        <w:t>、防水腻子粉涂刮</w:t>
      </w:r>
    </w:p>
    <w:p>
      <w:pPr>
        <w:pStyle w:val="BodyText"/>
        <w:spacing w:before="151" w:line="307" w:lineRule="auto"/>
        <w:ind w:left="398" w:right="492" w:firstLine="560"/>
        <w:jc w:val="both"/>
      </w:pPr>
      <w:r>
        <w:rPr>
          <w:spacing w:val="-2"/>
        </w:rPr>
        <w:t>主要目的是为了修补不平整的现象，防止表面的毛细孔及裂缝。腻子的</w:t>
      </w:r>
      <w:r>
        <w:rPr>
          <w:spacing w:val="-2"/>
        </w:rPr>
        <w:t>要求除了易批易打磨外，还应具备较好的强度和持久性，在进行填补、局部</w:t>
      </w:r>
      <w:r>
        <w:rPr>
          <w:spacing w:val="-2"/>
        </w:rPr>
        <w:t>刮腻子施工时要求，宜薄批而不宜厚刷。刮腻子时的施工技术如下：</w:t>
      </w:r>
    </w:p>
    <w:p>
      <w:pPr>
        <w:pStyle w:val="BodyText"/>
        <w:spacing w:before="52"/>
        <w:ind w:left="958"/>
      </w:pPr>
      <w:r>
        <w:rPr>
          <w:spacing w:val="-1"/>
        </w:rPr>
        <w:t>①掌握好刮涂时工具的倾斜度，用力均匀，以保证腻子饱满。</w:t>
      </w:r>
    </w:p>
    <w:p>
      <w:pPr>
        <w:pStyle w:val="BodyText"/>
        <w:spacing w:before="151" w:line="307" w:lineRule="auto"/>
        <w:ind w:left="398" w:right="492" w:firstLine="560"/>
        <w:jc w:val="both"/>
      </w:pPr>
      <w:r>
        <w:rPr>
          <w:spacing w:val="-2"/>
        </w:rPr>
        <w:t>②为避免腻子收缩过大，出现开裂和脱落，一次刮涂不要过厚，根据不</w:t>
      </w:r>
      <w:r>
        <w:rPr>
          <w:spacing w:val="-5"/>
        </w:rPr>
        <w:t xml:space="preserve">同腻子的特点，厚度以 </w:t>
      </w:r>
      <w:r>
        <w:rPr>
          <w:rFonts w:ascii="Times New Roman" w:eastAsia="Times New Roman" w:hAnsi="Times New Roman"/>
          <w:spacing w:val="-2"/>
        </w:rPr>
        <w:t>1mm</w:t>
      </w:r>
      <w:r>
        <w:rPr>
          <w:rFonts w:ascii="Times New Roman" w:eastAsia="Times New Roman" w:hAnsi="Times New Roman"/>
          <w:spacing w:val="-16"/>
        </w:rPr>
        <w:t xml:space="preserve"> </w:t>
      </w:r>
      <w:r>
        <w:rPr>
          <w:spacing w:val="-2"/>
        </w:rPr>
        <w:t>为宜。不要过多地往返刮涂，以免出现卷皮脱落</w:t>
      </w:r>
      <w:r>
        <w:rPr>
          <w:spacing w:val="-2"/>
        </w:rPr>
        <w:t>或将腻子中的胶料挤出封住表面不易干燥。</w:t>
      </w:r>
    </w:p>
    <w:p>
      <w:pPr>
        <w:pStyle w:val="BodyText"/>
        <w:spacing w:before="53" w:line="307" w:lineRule="auto"/>
        <w:ind w:left="398" w:right="492" w:firstLine="560"/>
      </w:pPr>
      <w:r>
        <w:rPr>
          <w:spacing w:val="-2"/>
        </w:rPr>
        <w:t>③用油灰刀要填满、填实，基层有洞和裂缝时，食指压紧刀片，用力将</w:t>
      </w:r>
      <w:r>
        <w:rPr>
          <w:spacing w:val="-2"/>
        </w:rPr>
        <w:t>腻子压进缺陷内，将四周的腻子收刮干净，使腻子的痕迹尽量减少。</w:t>
      </w:r>
    </w:p>
    <w:p>
      <w:pPr>
        <w:pStyle w:val="BodyText"/>
        <w:spacing w:before="51"/>
        <w:ind w:left="958"/>
      </w:pPr>
      <w:r>
        <w:rPr>
          <w:rFonts w:ascii="Times New Roman" w:eastAsia="Times New Roman"/>
        </w:rPr>
        <w:t>6</w:t>
      </w:r>
      <w:r>
        <w:rPr>
          <w:spacing w:val="-2"/>
        </w:rPr>
        <w:t>、防水腻子粉打磨</w:t>
      </w:r>
    </w:p>
    <w:p>
      <w:pPr>
        <w:pStyle w:val="BodyText"/>
        <w:spacing w:before="152" w:line="307" w:lineRule="auto"/>
        <w:ind w:left="398" w:right="492" w:firstLine="560"/>
      </w:pPr>
      <w:r>
        <w:rPr>
          <w:spacing w:val="-2"/>
        </w:rPr>
        <w:t>用砂布磨平做到表面平整、粗糙程度一致，纹理质感均匀。此工序要求</w:t>
      </w:r>
      <w:r>
        <w:rPr>
          <w:spacing w:val="-2"/>
        </w:rPr>
        <w:t>重复检查、打磨直到表面观感一致时为止。</w:t>
      </w:r>
    </w:p>
    <w:p>
      <w:pPr>
        <w:pStyle w:val="BodyText"/>
        <w:spacing w:before="51" w:line="307" w:lineRule="auto"/>
        <w:ind w:left="398" w:right="492" w:firstLine="560"/>
      </w:pPr>
      <w:r>
        <w:rPr>
          <w:spacing w:val="-2"/>
        </w:rPr>
        <w:t>①不能湿磨，打磨必须在基层或腻子干燥后进行，以免粘附砂纸影响操</w:t>
      </w:r>
      <w:r>
        <w:rPr>
          <w:spacing w:val="-6"/>
        </w:rPr>
        <w:t>作。</w:t>
      </w:r>
    </w:p>
    <w:p>
      <w:pPr>
        <w:pStyle w:val="BodyText"/>
        <w:spacing w:before="52" w:line="307" w:lineRule="auto"/>
        <w:ind w:left="398" w:right="492" w:firstLine="560"/>
      </w:pPr>
      <w:r>
        <w:rPr>
          <w:spacing w:val="-2"/>
        </w:rPr>
        <w:t>②砂纸的粗细要根据被磨表面的硬度来定，砂纸粗了会产生砂痕，影响</w:t>
      </w:r>
      <w:r>
        <w:rPr>
          <w:spacing w:val="-2"/>
        </w:rPr>
        <w:t>涂层的最终装饰效果。</w:t>
      </w:r>
    </w:p>
    <w:p>
      <w:pPr>
        <w:pStyle w:val="BodyText"/>
        <w:spacing w:before="52"/>
        <w:ind w:left="958"/>
      </w:pPr>
      <w:r>
        <w:rPr>
          <w:spacing w:val="-4"/>
        </w:rPr>
        <w:t>③手工打磨应将砂纸</w:t>
      </w:r>
      <w:r>
        <w:rPr>
          <w:rFonts w:ascii="Times New Roman" w:eastAsia="Times New Roman" w:hAnsi="Times New Roman"/>
          <w:spacing w:val="-4"/>
        </w:rPr>
        <w:t>(</w:t>
      </w:r>
      <w:r>
        <w:rPr>
          <w:spacing w:val="-4"/>
        </w:rPr>
        <w:t>布</w:t>
      </w:r>
      <w:r>
        <w:rPr>
          <w:rFonts w:ascii="Times New Roman" w:eastAsia="Times New Roman" w:hAnsi="Times New Roman"/>
          <w:spacing w:val="-4"/>
        </w:rPr>
        <w:t>)</w:t>
      </w:r>
      <w:r>
        <w:rPr>
          <w:spacing w:val="-5"/>
        </w:rPr>
        <w:t>包在打磨垫块上，往复用力推动，不能只用一两</w:t>
      </w:r>
    </w:p>
    <w:p>
      <w:pPr>
        <w:spacing w:after="0"/>
        <w:sectPr>
          <w:headerReference w:type="default" r:id="rId26"/>
          <w:footerReference w:type="default" r:id="rId27"/>
          <w:pgSz w:w="11910" w:h="16840"/>
          <w:pgMar w:top="1180" w:right="640" w:bottom="1600" w:left="1020" w:header="996" w:footer="1381"/>
          <w:pgNumType w:start="12"/>
          <w:cols w:space="708"/>
        </w:sectPr>
      </w:pPr>
    </w:p>
    <w:p>
      <w:pPr>
        <w:pStyle w:val="BodyText"/>
        <w:spacing w:before="138"/>
        <w:ind w:left="398"/>
      </w:pPr>
      <w:r>
        <w:rPr>
          <w:spacing w:val="-1"/>
        </w:rPr>
        <w:t>个手指压着砂纸打磨，以兔影响打磨的平整度。</w:t>
      </w:r>
    </w:p>
    <w:p>
      <w:pPr>
        <w:pStyle w:val="BodyText"/>
        <w:spacing w:before="151" w:line="307" w:lineRule="auto"/>
        <w:ind w:left="398" w:right="492" w:firstLine="560"/>
        <w:jc w:val="both"/>
      </w:pPr>
      <w:r>
        <w:rPr>
          <w:spacing w:val="-2"/>
        </w:rPr>
        <w:t>④打磨时先用粗砂布打磨，再用细砂布打磨；注意表面的平整性，即使</w:t>
      </w:r>
      <w:r>
        <w:rPr>
          <w:spacing w:val="-2"/>
        </w:rPr>
        <w:t>表面的平整性符合要求，还要注意基层表面粗糙度、打磨后的纹理质感，要</w:t>
      </w:r>
      <w:r>
        <w:rPr>
          <w:spacing w:val="-2"/>
        </w:rPr>
        <w:t>是出现这两种情况会因为光影作用而使面层颜色光泽造成深浅明暗不一的错</w:t>
      </w:r>
      <w:r>
        <w:rPr>
          <w:spacing w:val="-2"/>
        </w:rPr>
        <w:t>觉而影响效果，这就要求局部再磨平，必要时采用腻于进行再修平，从而达</w:t>
      </w:r>
      <w:r>
        <w:rPr>
          <w:spacing w:val="-2"/>
        </w:rPr>
        <w:t>到粗糙程度一致。</w:t>
      </w:r>
    </w:p>
    <w:p>
      <w:pPr>
        <w:pStyle w:val="BodyText"/>
        <w:spacing w:before="54" w:line="307" w:lineRule="auto"/>
        <w:ind w:left="398" w:right="492" w:firstLine="560"/>
        <w:jc w:val="both"/>
      </w:pPr>
      <w:r>
        <w:rPr>
          <w:spacing w:val="-2"/>
        </w:rPr>
        <w:t>⑤对于表面不平，可将凸出部分用铲平，再用腻子进行填补，等干燥后</w:t>
      </w:r>
      <w:r>
        <w:rPr>
          <w:spacing w:val="-2"/>
        </w:rPr>
        <w:t>再用砂纸进行打磨。要求打磨后基层的平整度达到在侧面光照下无明显批刮</w:t>
      </w:r>
      <w:r>
        <w:rPr>
          <w:spacing w:val="-2"/>
        </w:rPr>
        <w:t>痕迹、无粗糙感，表面光滑。</w:t>
      </w:r>
    </w:p>
    <w:p>
      <w:pPr>
        <w:pStyle w:val="BodyText"/>
        <w:spacing w:before="53"/>
        <w:ind w:left="958"/>
      </w:pPr>
      <w:r>
        <w:rPr>
          <w:spacing w:val="-1"/>
        </w:rPr>
        <w:t>⑥打磨后，立即清除表面灰尘，以利于下一道工序的施工。</w:t>
      </w:r>
    </w:p>
    <w:p>
      <w:pPr>
        <w:pStyle w:val="BodyText"/>
        <w:spacing w:before="151"/>
        <w:ind w:left="958"/>
      </w:pPr>
      <w:r>
        <w:rPr>
          <w:rFonts w:ascii="Times New Roman" w:eastAsia="Times New Roman"/>
        </w:rPr>
        <w:t>7</w:t>
      </w:r>
      <w:r>
        <w:rPr>
          <w:spacing w:val="-3"/>
        </w:rPr>
        <w:t>、封底漆</w:t>
      </w:r>
    </w:p>
    <w:p>
      <w:pPr>
        <w:pStyle w:val="BodyText"/>
        <w:spacing w:before="151"/>
        <w:ind w:left="958"/>
      </w:pPr>
      <w:r>
        <w:rPr>
          <w:spacing w:val="-3"/>
        </w:rPr>
        <w:t>在干净的基层上，先滚涂一遍封底漆，增加与基层的粘结力，防止浮碱。</w:t>
      </w:r>
    </w:p>
    <w:p>
      <w:pPr>
        <w:pStyle w:val="BodyText"/>
        <w:spacing w:before="152"/>
        <w:ind w:left="958"/>
      </w:pPr>
      <w:r>
        <w:rPr>
          <w:rFonts w:ascii="Times New Roman" w:eastAsia="Times New Roman"/>
        </w:rPr>
        <w:t>8</w:t>
      </w:r>
      <w:r>
        <w:rPr>
          <w:spacing w:val="-2"/>
        </w:rPr>
        <w:t>、第一遍涂料的涂刷</w:t>
      </w:r>
    </w:p>
    <w:p>
      <w:pPr>
        <w:pStyle w:val="BodyText"/>
        <w:spacing w:before="151" w:line="307" w:lineRule="auto"/>
        <w:ind w:left="398" w:right="492" w:firstLine="560"/>
        <w:jc w:val="both"/>
      </w:pPr>
      <w:r>
        <w:rPr>
          <w:spacing w:val="-2"/>
        </w:rPr>
        <w:t>大面积墙面一律采用长毛绒辊筒涂刷，突出墙面的线条则采用排笔和漆</w:t>
      </w:r>
      <w:r>
        <w:rPr>
          <w:spacing w:val="-5"/>
        </w:rPr>
        <w:t xml:space="preserve">刷涂刷，要求基层表面含水率不得大于 </w:t>
      </w:r>
      <w:r>
        <w:rPr>
          <w:rFonts w:ascii="Times New Roman" w:eastAsia="Times New Roman"/>
          <w:spacing w:val="-4"/>
        </w:rPr>
        <w:t>8%</w:t>
      </w:r>
      <w:r>
        <w:rPr>
          <w:spacing w:val="-4"/>
        </w:rPr>
        <w:t>，如遇有大风、雨、雾等到天气时</w:t>
      </w:r>
      <w:r>
        <w:rPr>
          <w:spacing w:val="-2"/>
        </w:rPr>
        <w:t>不得进行面层涂料的施涂。</w:t>
      </w:r>
    </w:p>
    <w:p>
      <w:pPr>
        <w:pStyle w:val="BodyText"/>
        <w:spacing w:before="52" w:line="340" w:lineRule="auto"/>
        <w:ind w:left="958" w:right="6067"/>
      </w:pPr>
      <w:r>
        <w:rPr>
          <w:rFonts w:ascii="Times New Roman" w:eastAsia="Times New Roman"/>
          <w:spacing w:val="-2"/>
        </w:rPr>
        <w:t>9</w:t>
      </w:r>
      <w:r>
        <w:rPr>
          <w:spacing w:val="-2"/>
        </w:rPr>
        <w:t>、修补第二遍涂料的涂刷</w:t>
      </w:r>
      <w:r>
        <w:rPr>
          <w:spacing w:val="-2"/>
        </w:rPr>
        <w:t>同第一遍。</w:t>
      </w:r>
    </w:p>
    <w:p>
      <w:pPr>
        <w:pStyle w:val="BodyText"/>
        <w:spacing w:before="1"/>
        <w:ind w:left="958"/>
      </w:pPr>
      <w:r>
        <w:rPr>
          <w:rFonts w:ascii="Times New Roman" w:eastAsia="Times New Roman"/>
        </w:rPr>
        <w:t>10</w:t>
      </w:r>
      <w:r>
        <w:rPr>
          <w:spacing w:val="-2"/>
        </w:rPr>
        <w:t>、第三遍涂料的涂刷</w:t>
      </w:r>
    </w:p>
    <w:p>
      <w:pPr>
        <w:pStyle w:val="BodyText"/>
        <w:spacing w:before="152" w:line="307" w:lineRule="auto"/>
        <w:ind w:left="398" w:right="492" w:firstLine="560"/>
        <w:jc w:val="both"/>
      </w:pPr>
      <w:r>
        <w:rPr>
          <w:spacing w:val="-2"/>
        </w:rPr>
        <w:t>第三遍涂料涂刷顺序与方法和第二遍相同，要求表面更美观细腻，必须</w:t>
      </w:r>
      <w:r>
        <w:rPr>
          <w:spacing w:val="-2"/>
        </w:rPr>
        <w:t>使用排笔涂刷，大面积涂刷时应多人配合流水作业，互相衔接。一般从不明</w:t>
      </w:r>
      <w:r>
        <w:rPr>
          <w:spacing w:val="-2"/>
        </w:rPr>
        <w:t>显的一头开始，逐渐向另一头循序涂刷，至不明显处收刷为止，不得出现接</w:t>
      </w:r>
      <w:r>
        <w:rPr>
          <w:spacing w:val="-2"/>
        </w:rPr>
        <w:t>搓及刷纹，排笔若粘附在墙上应及时剔掉。</w:t>
      </w:r>
    </w:p>
    <w:p>
      <w:pPr>
        <w:pStyle w:val="BodyText"/>
        <w:spacing w:before="53"/>
        <w:ind w:left="958"/>
      </w:pPr>
      <w:r>
        <w:rPr>
          <w:rFonts w:ascii="Times New Roman" w:eastAsia="Times New Roman"/>
        </w:rPr>
        <w:t>11</w:t>
      </w:r>
      <w:r>
        <w:rPr>
          <w:spacing w:val="-2"/>
        </w:rPr>
        <w:t>、检查验收</w:t>
      </w:r>
    </w:p>
    <w:p>
      <w:pPr>
        <w:pStyle w:val="BodyText"/>
        <w:spacing w:before="151" w:line="307" w:lineRule="auto"/>
        <w:ind w:left="398" w:right="492" w:firstLine="560"/>
      </w:pPr>
      <w:r>
        <w:rPr>
          <w:spacing w:val="-2"/>
        </w:rPr>
        <w:t>对完成后的墙面涂料进行彻底的检查，重点阴阳角及门窗洞口无误后报</w:t>
      </w:r>
      <w:r>
        <w:rPr>
          <w:spacing w:val="-4"/>
        </w:rPr>
        <w:t>验收。</w:t>
      </w:r>
    </w:p>
    <w:p>
      <w:pPr>
        <w:pStyle w:val="BodyText"/>
        <w:spacing w:before="52"/>
        <w:ind w:left="958"/>
      </w:pPr>
      <w:r>
        <w:rPr>
          <w:rFonts w:ascii="Times New Roman" w:eastAsia="Times New Roman"/>
        </w:rPr>
        <w:t>12</w:t>
      </w:r>
      <w:r>
        <w:rPr>
          <w:spacing w:val="-2"/>
        </w:rPr>
        <w:t>、涂料清理</w:t>
      </w:r>
    </w:p>
    <w:p>
      <w:pPr>
        <w:pStyle w:val="BodyText"/>
        <w:spacing w:before="151"/>
        <w:ind w:left="958"/>
      </w:pPr>
      <w:r>
        <w:rPr>
          <w:spacing w:val="-1"/>
        </w:rPr>
        <w:t>将楼层内所有的涂料及防护采用的材料及时清理出现场并将遗漏的涂料</w:t>
      </w:r>
    </w:p>
    <w:p>
      <w:pPr>
        <w:spacing w:after="0"/>
        <w:sectPr>
          <w:headerReference w:type="default" r:id="rId28"/>
          <w:footerReference w:type="default" r:id="rId29"/>
          <w:pgSz w:w="11910" w:h="16840"/>
          <w:pgMar w:top="1180" w:right="640" w:bottom="1600" w:left="1020" w:header="996" w:footer="1381"/>
          <w:pgNumType w:start="13"/>
          <w:cols w:space="708"/>
        </w:sectPr>
      </w:pPr>
    </w:p>
    <w:p>
      <w:pPr>
        <w:pStyle w:val="BodyText"/>
        <w:spacing w:before="138"/>
        <w:ind w:left="382" w:right="6191"/>
        <w:jc w:val="center"/>
      </w:pPr>
      <w:r>
        <w:rPr>
          <w:spacing w:val="-1"/>
        </w:rPr>
        <w:t>进行清理做好现场文明施工。</w:t>
      </w:r>
    </w:p>
    <w:p>
      <w:pPr>
        <w:pStyle w:val="BodyText"/>
      </w:pPr>
    </w:p>
    <w:p>
      <w:pPr>
        <w:pStyle w:val="BodyText"/>
        <w:spacing w:before="12"/>
      </w:pPr>
    </w:p>
    <w:p>
      <w:pPr>
        <w:pStyle w:val="Heading2"/>
        <w:ind w:left="958"/>
      </w:pPr>
      <w:r>
        <w:rPr>
          <w:spacing w:val="-1"/>
        </w:rPr>
        <w:t>三、穿孔铝板幕墙施工工艺</w:t>
      </w:r>
    </w:p>
    <w:p>
      <w:pPr>
        <w:pStyle w:val="BodyText"/>
        <w:spacing w:before="205" w:line="307" w:lineRule="auto"/>
        <w:ind w:left="398" w:right="492" w:firstLine="560"/>
        <w:jc w:val="both"/>
      </w:pPr>
      <w:r>
        <w:rPr>
          <w:spacing w:val="-2"/>
        </w:rPr>
        <w:t>测量放线→结构、埋件的安装及检查→支座的安装→竖龙骨的安装→横</w:t>
      </w:r>
      <w:r>
        <w:rPr>
          <w:spacing w:val="-2"/>
        </w:rPr>
        <w:t>龙骨的安装→避雷安装→隐蔽验收→面板安装→压条安装→装饰条安装→打</w:t>
      </w:r>
      <w:r>
        <w:rPr>
          <w:spacing w:val="-10"/>
        </w:rPr>
        <w:t>胶</w:t>
      </w:r>
    </w:p>
    <w:p>
      <w:pPr>
        <w:pStyle w:val="BodyText"/>
        <w:spacing w:before="4"/>
        <w:rPr>
          <w:sz w:val="40"/>
        </w:rPr>
      </w:pPr>
    </w:p>
    <w:p>
      <w:pPr>
        <w:pStyle w:val="Heading2"/>
        <w:ind w:left="1016"/>
      </w:pPr>
      <w:r>
        <w:rPr>
          <w:spacing w:val="-2"/>
        </w:rPr>
        <w:t>四、幕墙施工操作</w:t>
      </w:r>
    </w:p>
    <w:p>
      <w:pPr>
        <w:pStyle w:val="BodyText"/>
        <w:spacing w:before="202"/>
        <w:ind w:left="382" w:right="6093"/>
        <w:jc w:val="center"/>
      </w:pPr>
      <w:r>
        <w:rPr>
          <w:rFonts w:ascii="Times New Roman" w:eastAsia="Times New Roman"/>
        </w:rPr>
        <w:t>1</w:t>
      </w:r>
      <w:r>
        <w:rPr>
          <w:spacing w:val="-2"/>
        </w:rPr>
        <w:t>、放线操作方法：</w:t>
      </w:r>
    </w:p>
    <w:p>
      <w:pPr>
        <w:pStyle w:val="BodyText"/>
        <w:spacing w:before="268" w:line="307" w:lineRule="auto"/>
        <w:ind w:left="398" w:right="492" w:firstLine="560"/>
      </w:pPr>
      <w:r>
        <w:rPr>
          <w:spacing w:val="-2"/>
        </w:rPr>
        <w:t>①熟悉图纸的过程是对整个工程的了解，弄清整个位置的主导尺寸，收</w:t>
      </w:r>
      <w:r>
        <w:rPr>
          <w:spacing w:val="-2"/>
        </w:rPr>
        <w:t>口位置的尺寸、转角、收口的处理方式</w:t>
      </w:r>
    </w:p>
    <w:p>
      <w:pPr>
        <w:pStyle w:val="BodyText"/>
        <w:spacing w:before="52" w:line="307" w:lineRule="auto"/>
        <w:ind w:left="398" w:right="352" w:firstLine="560"/>
      </w:pPr>
      <w:r>
        <w:rPr>
          <w:spacing w:val="-2"/>
        </w:rPr>
        <w:t>②在现场找准开线的位置，并对周围环境进行了解，对照图纸将转角位、</w:t>
      </w:r>
      <w:r>
        <w:rPr>
          <w:spacing w:val="-2"/>
        </w:rPr>
        <w:t>轴线位、变高截面位的位置一一对照，以保证放线时准确无误。</w:t>
      </w:r>
    </w:p>
    <w:p>
      <w:pPr>
        <w:pStyle w:val="BodyText"/>
        <w:spacing w:before="52" w:line="372" w:lineRule="auto"/>
        <w:ind w:left="997" w:right="351" w:hanging="39"/>
      </w:pPr>
      <w:r>
        <w:t>③找出所有的定位点，对定位点调整固定，对定位点的调整固定要求：</w:t>
      </w:r>
      <w:r>
        <w:rPr>
          <w:spacing w:val="-6"/>
        </w:rPr>
        <w:t>定位点误差必须足够小。所用固定点材料应无显塑性小。固定必须牢固、</w:t>
      </w:r>
    </w:p>
    <w:p>
      <w:pPr>
        <w:pStyle w:val="BodyText"/>
        <w:spacing w:before="68"/>
        <w:ind w:left="717"/>
      </w:pPr>
      <w:r>
        <w:rPr>
          <w:spacing w:val="-4"/>
        </w:rPr>
        <w:t>稳定。</w:t>
      </w:r>
    </w:p>
    <w:p>
      <w:pPr>
        <w:pStyle w:val="BodyText"/>
        <w:spacing w:before="9"/>
        <w:rPr>
          <w:sz w:val="20"/>
        </w:rPr>
      </w:pPr>
    </w:p>
    <w:p>
      <w:pPr>
        <w:pStyle w:val="BodyText"/>
        <w:spacing w:line="417" w:lineRule="auto"/>
        <w:ind w:left="717" w:right="568" w:firstLine="280"/>
      </w:pPr>
      <w:r>
        <w:rPr>
          <w:spacing w:val="-2"/>
        </w:rPr>
        <w:t>④复核水平度：在拉水平线之前要求对水平度进行复核，误差一定要小</w:t>
      </w:r>
      <w:r>
        <w:rPr>
          <w:spacing w:val="-21"/>
        </w:rPr>
        <w:t xml:space="preserve">于 </w:t>
      </w:r>
      <w:r>
        <w:t>1mm。</w:t>
      </w:r>
    </w:p>
    <w:p>
      <w:pPr>
        <w:pStyle w:val="BodyText"/>
        <w:spacing w:before="1"/>
        <w:ind w:left="958"/>
      </w:pPr>
      <w:r>
        <w:rPr>
          <w:rFonts w:ascii="Times New Roman" w:eastAsia="Times New Roman"/>
        </w:rPr>
        <w:t>2</w:t>
      </w:r>
      <w:r>
        <w:rPr>
          <w:spacing w:val="-2"/>
        </w:rPr>
        <w:t>、幕墙钢立柱焊接</w:t>
      </w:r>
    </w:p>
    <w:p>
      <w:pPr>
        <w:pStyle w:val="BodyText"/>
        <w:spacing w:before="161" w:line="348" w:lineRule="auto"/>
        <w:ind w:left="398" w:right="467" w:firstLine="560"/>
        <w:jc w:val="both"/>
      </w:pPr>
      <w:r>
        <w:rPr>
          <w:spacing w:val="-2"/>
        </w:rPr>
        <w:t>立柱焊接在全部幕墙安装过程中由于其工程量大，施工不便，精度要求</w:t>
      </w:r>
      <w:r>
        <w:rPr>
          <w:spacing w:val="-2"/>
        </w:rPr>
        <w:t>高而占有极重要的地位。如果立柱安装完，则整个工程进度都较易控制了，</w:t>
      </w:r>
      <w:r>
        <w:rPr>
          <w:spacing w:val="-2"/>
        </w:rPr>
        <w:t>故此作业无论从技术上还是管理上都要分外重视。方管焊接时先点焊，待位</w:t>
      </w:r>
      <w:r>
        <w:rPr>
          <w:spacing w:val="-2"/>
        </w:rPr>
        <w:t>置调整准确后再三面施焊。选择恰当的焊接顺序，应该先从一个方向向另一</w:t>
      </w:r>
      <w:r>
        <w:rPr>
          <w:spacing w:val="-2"/>
        </w:rPr>
        <w:t>个方向施焊，主方管焊完，再焊次方管。注意材料安全（防损伤、防丢失</w:t>
      </w:r>
      <w:r>
        <w:rPr>
          <w:spacing w:val="-150"/>
        </w:rPr>
        <w:t>）</w:t>
      </w:r>
      <w:r>
        <w:rPr>
          <w:spacing w:val="-10"/>
        </w:rPr>
        <w:t>，</w:t>
      </w:r>
      <w:r>
        <w:rPr>
          <w:spacing w:val="-2"/>
        </w:rPr>
        <w:t>操作安全。注意焊缝的防腐处理。</w:t>
      </w:r>
    </w:p>
    <w:p>
      <w:pPr>
        <w:spacing w:after="0" w:line="348" w:lineRule="auto"/>
        <w:jc w:val="both"/>
        <w:sectPr>
          <w:headerReference w:type="default" r:id="rId30"/>
          <w:footerReference w:type="default" r:id="rId31"/>
          <w:pgSz w:w="11910" w:h="16840"/>
          <w:pgMar w:top="1180" w:right="640" w:bottom="1600" w:left="1020" w:header="996" w:footer="1381"/>
          <w:pgNumType w:start="14"/>
          <w:cols w:space="708"/>
        </w:sectPr>
      </w:pPr>
    </w:p>
    <w:p>
      <w:pPr>
        <w:pStyle w:val="BodyText"/>
        <w:rPr>
          <w:sz w:val="9"/>
        </w:rPr>
      </w:pPr>
    </w:p>
    <w:p>
      <w:pPr>
        <w:pStyle w:val="BodyText"/>
        <w:spacing w:before="70" w:line="417" w:lineRule="auto"/>
        <w:ind w:left="398" w:right="492" w:firstLine="560"/>
        <w:jc w:val="both"/>
      </w:pPr>
      <w:r>
        <w:rPr>
          <w:rFonts w:ascii="Times New Roman" w:eastAsia="Times New Roman"/>
          <w:spacing w:val="-2"/>
        </w:rPr>
        <w:t>3</w:t>
      </w:r>
      <w:r>
        <w:rPr>
          <w:spacing w:val="-2"/>
        </w:rPr>
        <w:t>、铝板安装：由于板块安装在整个幕墙安装中是最后的成品环节，在施</w:t>
      </w:r>
      <w:r>
        <w:rPr>
          <w:spacing w:val="-2"/>
        </w:rPr>
        <w:t>工前要做好充分的准备工作。准备工作包括人员准备、材料准备、施工现场</w:t>
      </w:r>
      <w:r>
        <w:rPr>
          <w:spacing w:val="-2"/>
        </w:rPr>
        <w:t>准备。在安排计划时首先根据实际情况及工程进度计划要求安排好人员，一</w:t>
      </w:r>
      <w:r>
        <w:rPr>
          <w:spacing w:val="-4"/>
        </w:rPr>
        <w:t xml:space="preserve">般情况下每组安排 </w:t>
      </w:r>
      <w:r>
        <w:rPr>
          <w:rFonts w:ascii="Times New Roman" w:eastAsia="Times New Roman"/>
        </w:rPr>
        <w:t>4~5</w:t>
      </w:r>
      <w:r>
        <w:rPr>
          <w:rFonts w:ascii="Times New Roman" w:eastAsia="Times New Roman"/>
          <w:spacing w:val="31"/>
        </w:rPr>
        <w:t xml:space="preserve"> </w:t>
      </w:r>
      <w:r>
        <w:t>人，安排时要注意新老搭配，保证正常施工及以老带</w:t>
      </w:r>
      <w:r>
        <w:rPr>
          <w:spacing w:val="-2"/>
        </w:rPr>
        <w:t>新的原则，材料工器具准备要检查放工工作面的铝板板块是否到场，是否有</w:t>
      </w:r>
      <w:r>
        <w:rPr>
          <w:spacing w:val="-2"/>
        </w:rPr>
        <w:t>没有到场或损坏的铝板，另检查螺栓压块、钻头等材料及易耗品是否满足使</w:t>
      </w:r>
      <w:r>
        <w:rPr>
          <w:spacing w:val="-6"/>
        </w:rPr>
        <w:t>用。 施工现场准备要在施工段留有足够的场所满足安装需要，同时要对排栅</w:t>
      </w:r>
      <w:r>
        <w:rPr>
          <w:spacing w:val="-2"/>
        </w:rPr>
        <w:t>进行清理并调整排栅以满足安装要求。</w:t>
      </w:r>
    </w:p>
    <w:p>
      <w:pPr>
        <w:pStyle w:val="BodyText"/>
        <w:spacing w:before="3"/>
        <w:rPr>
          <w:sz w:val="33"/>
        </w:rPr>
      </w:pPr>
    </w:p>
    <w:p>
      <w:pPr>
        <w:pStyle w:val="Heading2"/>
        <w:tabs>
          <w:tab w:val="left" w:pos="1121"/>
        </w:tabs>
        <w:ind w:left="0" w:right="376"/>
        <w:jc w:val="center"/>
      </w:pPr>
      <w:bookmarkStart w:id="14" w:name="_TOC_250004"/>
      <w:r>
        <w:t>第</w:t>
      </w:r>
      <w:r>
        <w:t>二</w:t>
      </w:r>
      <w:r>
        <w:rPr>
          <w:spacing w:val="-10"/>
        </w:rPr>
        <w:t>节</w:t>
      </w:r>
      <w:r>
        <w:tab/>
        <w:t>外</w:t>
      </w:r>
      <w:r>
        <w:t>墙</w:t>
      </w:r>
      <w:r>
        <w:t>翻</w:t>
      </w:r>
      <w:r>
        <w:t>新</w:t>
      </w:r>
      <w:r>
        <w:t>的</w:t>
      </w:r>
      <w:r>
        <w:t>施</w:t>
      </w:r>
      <w:r>
        <w:t>工</w:t>
      </w:r>
      <w:r>
        <w:t>质</w:t>
      </w:r>
      <w:r>
        <w:t>量</w:t>
      </w:r>
      <w:r>
        <w:t>标</w:t>
      </w:r>
      <w:r>
        <w:t>准</w:t>
      </w:r>
      <w:r>
        <w:t>及</w:t>
      </w:r>
      <w:r>
        <w:t>注</w:t>
      </w:r>
      <w:r>
        <w:t>意</w:t>
      </w:r>
      <w:r>
        <w:t>事</w:t>
      </w:r>
      <w:bookmarkEnd w:id="14"/>
      <w:r>
        <w:rPr>
          <w:spacing w:val="-10"/>
        </w:rPr>
        <w:t>项</w:t>
      </w:r>
    </w:p>
    <w:p>
      <w:pPr>
        <w:pStyle w:val="BodyText"/>
        <w:spacing w:before="201"/>
        <w:ind w:left="958"/>
      </w:pPr>
      <w:r>
        <w:rPr>
          <w:spacing w:val="-2"/>
        </w:rPr>
        <w:t>一、质量标准</w:t>
      </w:r>
    </w:p>
    <w:p>
      <w:pPr>
        <w:pStyle w:val="BodyText"/>
        <w:spacing w:before="9"/>
        <w:rPr>
          <w:sz w:val="20"/>
        </w:rPr>
      </w:pPr>
    </w:p>
    <w:p>
      <w:pPr>
        <w:pStyle w:val="BodyText"/>
        <w:ind w:left="958"/>
      </w:pPr>
      <w:r>
        <w:t>（一）</w:t>
      </w:r>
      <w:r>
        <w:rPr>
          <w:spacing w:val="-3"/>
        </w:rPr>
        <w:t>主控项目</w:t>
      </w:r>
    </w:p>
    <w:p>
      <w:pPr>
        <w:pStyle w:val="BodyText"/>
        <w:spacing w:before="9"/>
        <w:rPr>
          <w:sz w:val="20"/>
        </w:rPr>
      </w:pPr>
    </w:p>
    <w:p>
      <w:pPr>
        <w:pStyle w:val="BodyText"/>
        <w:ind w:left="958"/>
      </w:pPr>
      <w:r>
        <w:rPr>
          <w:rFonts w:ascii="Times New Roman" w:eastAsia="Times New Roman"/>
        </w:rPr>
        <w:t>1</w:t>
      </w:r>
      <w:r>
        <w:rPr>
          <w:spacing w:val="-1"/>
        </w:rPr>
        <w:t>、涂料工程所用涂料的品种、型号和性能应符合设计要求。</w:t>
      </w:r>
    </w:p>
    <w:p>
      <w:pPr>
        <w:pStyle w:val="BodyText"/>
        <w:spacing w:before="266"/>
        <w:ind w:left="958"/>
      </w:pPr>
      <w:r>
        <w:rPr>
          <w:spacing w:val="-1"/>
        </w:rPr>
        <w:t>检验方法：检查产品合格证书、性能检测报告和进场验收记录。</w:t>
      </w:r>
    </w:p>
    <w:p>
      <w:pPr>
        <w:pStyle w:val="BodyText"/>
        <w:spacing w:before="8"/>
        <w:rPr>
          <w:sz w:val="20"/>
        </w:rPr>
      </w:pPr>
    </w:p>
    <w:p>
      <w:pPr>
        <w:pStyle w:val="BodyText"/>
        <w:spacing w:before="1" w:line="417" w:lineRule="auto"/>
        <w:ind w:left="958" w:right="3827"/>
      </w:pPr>
      <w:r>
        <w:rPr>
          <w:rFonts w:ascii="Times New Roman" w:eastAsia="Times New Roman"/>
          <w:spacing w:val="-2"/>
        </w:rPr>
        <w:t>2</w:t>
      </w:r>
      <w:r>
        <w:rPr>
          <w:spacing w:val="-2"/>
        </w:rPr>
        <w:t>、涂料工程的颜色、图案应符合设计要求。</w:t>
      </w:r>
      <w:r>
        <w:rPr>
          <w:spacing w:val="-2"/>
        </w:rPr>
        <w:t>检验方法：观察。</w:t>
      </w:r>
    </w:p>
    <w:p>
      <w:pPr>
        <w:pStyle w:val="BodyText"/>
        <w:spacing w:line="417" w:lineRule="auto"/>
        <w:ind w:left="958" w:right="747"/>
      </w:pPr>
      <w:r>
        <w:rPr>
          <w:rFonts w:ascii="Times New Roman" w:eastAsia="Times New Roman"/>
          <w:spacing w:val="-2"/>
        </w:rPr>
        <w:t>3</w:t>
      </w:r>
      <w:r>
        <w:rPr>
          <w:spacing w:val="-2"/>
        </w:rPr>
        <w:t>、涂料工程应涂饰均匀、粘结牢固，不得漏涂、透底、起皮和掉粉。</w:t>
      </w:r>
      <w:r>
        <w:rPr>
          <w:spacing w:val="-2"/>
        </w:rPr>
        <w:t>检验方法：观察；手摸检查。</w:t>
      </w:r>
    </w:p>
    <w:p>
      <w:pPr>
        <w:pStyle w:val="BodyText"/>
        <w:spacing w:line="417" w:lineRule="auto"/>
        <w:ind w:left="398" w:right="492" w:firstLine="560"/>
      </w:pPr>
      <w:r>
        <w:rPr>
          <w:rFonts w:ascii="Times New Roman" w:eastAsia="Times New Roman"/>
          <w:spacing w:val="-2"/>
        </w:rPr>
        <w:t>4</w:t>
      </w:r>
      <w:r>
        <w:rPr>
          <w:spacing w:val="-2"/>
        </w:rPr>
        <w:t>、涂料工程的基层处理应基层腻子应平整、坚实、牢固，无粉化、起皮</w:t>
      </w:r>
      <w:r>
        <w:rPr>
          <w:spacing w:val="-4"/>
        </w:rPr>
        <w:t>和裂缝。</w:t>
      </w:r>
    </w:p>
    <w:p>
      <w:pPr>
        <w:pStyle w:val="BodyText"/>
        <w:spacing w:line="358" w:lineRule="exact"/>
        <w:ind w:left="958"/>
      </w:pPr>
      <w:r>
        <w:rPr>
          <w:spacing w:val="-1"/>
        </w:rPr>
        <w:t>检验方法：观察；手摸检查；检查施工记录。</w:t>
      </w:r>
    </w:p>
    <w:p>
      <w:pPr>
        <w:pStyle w:val="BodyText"/>
        <w:spacing w:before="7"/>
        <w:rPr>
          <w:sz w:val="20"/>
        </w:rPr>
      </w:pPr>
    </w:p>
    <w:p>
      <w:pPr>
        <w:pStyle w:val="BodyText"/>
        <w:spacing w:before="1"/>
        <w:ind w:left="958"/>
        <w:rPr>
          <w:rFonts w:ascii="Times New Roman" w:eastAsia="Times New Roman"/>
        </w:rPr>
      </w:pPr>
      <w:r>
        <w:rPr>
          <w:rFonts w:ascii="Times New Roman" w:eastAsia="Times New Roman"/>
        </w:rPr>
        <w:t>5</w:t>
      </w:r>
      <w:r>
        <w:rPr>
          <w:spacing w:val="-23"/>
        </w:rPr>
        <w:t xml:space="preserve">、钢材厚度的检验，应采用分辨率为 </w:t>
      </w:r>
      <w:r>
        <w:rPr>
          <w:rFonts w:ascii="Times New Roman" w:eastAsia="Times New Roman"/>
        </w:rPr>
        <w:t>0.5mm</w:t>
      </w:r>
      <w:r>
        <w:rPr>
          <w:rFonts w:ascii="Times New Roman" w:eastAsia="Times New Roman"/>
          <w:spacing w:val="69"/>
        </w:rPr>
        <w:t xml:space="preserve"> </w:t>
      </w:r>
      <w:r>
        <w:rPr>
          <w:spacing w:val="-7"/>
        </w:rPr>
        <w:t xml:space="preserve">的游标卡尺或分辨率为 </w:t>
      </w:r>
      <w:r>
        <w:rPr>
          <w:rFonts w:ascii="Times New Roman" w:eastAsia="Times New Roman"/>
          <w:spacing w:val="-4"/>
        </w:rPr>
        <w:t>0.1m</w:t>
      </w:r>
    </w:p>
    <w:p>
      <w:pPr>
        <w:spacing w:after="0"/>
        <w:rPr>
          <w:rFonts w:ascii="Times New Roman" w:eastAsia="Times New Roman"/>
        </w:rPr>
        <w:sectPr>
          <w:headerReference w:type="default" r:id="rId32"/>
          <w:footerReference w:type="default" r:id="rId33"/>
          <w:pgSz w:w="11910" w:h="16840"/>
          <w:pgMar w:top="1180" w:right="640" w:bottom="1600" w:left="1020" w:header="996" w:footer="1381"/>
          <w:pgNumType w:start="15"/>
          <w:cols w:space="708"/>
        </w:sectPr>
      </w:pPr>
    </w:p>
    <w:p>
      <w:pPr>
        <w:pStyle w:val="BodyText"/>
        <w:rPr>
          <w:rFonts w:ascii="Times New Roman"/>
          <w:sz w:val="10"/>
        </w:rPr>
      </w:pPr>
    </w:p>
    <w:p>
      <w:pPr>
        <w:pStyle w:val="BodyText"/>
        <w:spacing w:before="70" w:line="417" w:lineRule="auto"/>
        <w:ind w:left="398" w:right="492"/>
        <w:jc w:val="both"/>
      </w:pPr>
      <w:r>
        <w:rPr>
          <w:spacing w:val="-2"/>
        </w:rPr>
        <w:t xml:space="preserve">的金属测厚仪在杆件同一截面的不同部位测量，测点不应少于 </w:t>
      </w:r>
      <w:r>
        <w:rPr>
          <w:rFonts w:ascii="Times New Roman" w:eastAsia="Times New Roman"/>
        </w:rPr>
        <w:t>5</w:t>
      </w:r>
      <w:r>
        <w:rPr>
          <w:rFonts w:ascii="Times New Roman" w:eastAsia="Times New Roman"/>
          <w:spacing w:val="44"/>
        </w:rPr>
        <w:t xml:space="preserve"> </w:t>
      </w:r>
      <w:r>
        <w:t>个并取最小</w:t>
      </w:r>
      <w:r>
        <w:rPr>
          <w:spacing w:val="-6"/>
        </w:rPr>
        <w:t>值。</w:t>
      </w:r>
    </w:p>
    <w:p>
      <w:pPr>
        <w:pStyle w:val="BodyText"/>
        <w:spacing w:line="417" w:lineRule="auto"/>
        <w:ind w:left="398" w:right="492" w:firstLine="560"/>
        <w:jc w:val="both"/>
      </w:pPr>
      <w:r>
        <w:rPr>
          <w:rFonts w:ascii="Times New Roman" w:eastAsia="Times New Roman"/>
        </w:rPr>
        <w:t>6</w:t>
      </w:r>
      <w:r>
        <w:rPr>
          <w:spacing w:val="-3"/>
        </w:rPr>
        <w:t xml:space="preserve">、钢材长度检验，应采用分度值为 </w:t>
      </w:r>
      <w:r>
        <w:rPr>
          <w:rFonts w:ascii="Times New Roman" w:eastAsia="Times New Roman"/>
        </w:rPr>
        <w:t>1mm</w:t>
      </w:r>
      <w:r>
        <w:rPr>
          <w:rFonts w:ascii="Times New Roman" w:eastAsia="Times New Roman"/>
          <w:spacing w:val="29"/>
        </w:rPr>
        <w:t xml:space="preserve"> </w:t>
      </w:r>
      <w:r>
        <w:t>的钢卷尺两侧测量，结果应将</w:t>
      </w:r>
      <w:r>
        <w:rPr>
          <w:spacing w:val="-2"/>
        </w:rPr>
        <w:t>符合设计要求。</w:t>
      </w:r>
    </w:p>
    <w:p>
      <w:pPr>
        <w:pStyle w:val="BodyText"/>
        <w:spacing w:line="417" w:lineRule="auto"/>
        <w:ind w:left="398" w:right="492" w:firstLine="560"/>
        <w:jc w:val="both"/>
      </w:pPr>
      <w:r>
        <w:rPr>
          <w:rFonts w:ascii="Times New Roman" w:eastAsia="Times New Roman"/>
          <w:spacing w:val="-2"/>
        </w:rPr>
        <w:t>7</w:t>
      </w:r>
      <w:r>
        <w:rPr>
          <w:spacing w:val="-2"/>
        </w:rPr>
        <w:t>、钢材表面质量的检验，应在自然散射光条件下，目测检查，钢材的表</w:t>
      </w:r>
      <w:r>
        <w:rPr>
          <w:spacing w:val="-2"/>
        </w:rPr>
        <w:t>面不得有裂纹、气泡、结疤、泛锈、夹杂和折叠，截面不得有毛刺、卷边等</w:t>
      </w:r>
      <w:r>
        <w:rPr>
          <w:spacing w:val="-4"/>
        </w:rPr>
        <w:t>现象。</w:t>
      </w:r>
    </w:p>
    <w:p>
      <w:pPr>
        <w:pStyle w:val="BodyText"/>
      </w:pPr>
    </w:p>
    <w:p>
      <w:pPr>
        <w:pStyle w:val="BodyText"/>
        <w:spacing w:before="7"/>
        <w:rPr>
          <w:sz w:val="20"/>
        </w:rPr>
      </w:pPr>
    </w:p>
    <w:p>
      <w:pPr>
        <w:pStyle w:val="BodyText"/>
        <w:ind w:left="958"/>
      </w:pPr>
      <w:r>
        <w:t>（二）</w:t>
      </w:r>
      <w:r>
        <w:rPr>
          <w:spacing w:val="-3"/>
        </w:rPr>
        <w:t>一般项目</w:t>
      </w:r>
    </w:p>
    <w:p>
      <w:pPr>
        <w:pStyle w:val="BodyText"/>
        <w:spacing w:before="9"/>
        <w:rPr>
          <w:sz w:val="20"/>
        </w:rPr>
      </w:pPr>
    </w:p>
    <w:p>
      <w:pPr>
        <w:pStyle w:val="BodyText"/>
        <w:ind w:left="958"/>
      </w:pPr>
      <w:r>
        <w:rPr>
          <w:spacing w:val="-1"/>
        </w:rPr>
        <w:t>涂料的涂饰质量和检验方法</w:t>
      </w:r>
    </w:p>
    <w:p>
      <w:pPr>
        <w:pStyle w:val="BodyText"/>
        <w:spacing w:before="3"/>
        <w:rPr>
          <w:sz w:val="10"/>
        </w:rPr>
      </w:pPr>
    </w:p>
    <w:tbl>
      <w:tblPr>
        <w:tblStyle w:val="TableNormal4"/>
        <w:tblW w:w="0" w:type="auto"/>
        <w:jc w:val="left"/>
        <w:tblInd w:w="2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978"/>
        <w:gridCol w:w="1771"/>
        <w:gridCol w:w="2199"/>
        <w:gridCol w:w="1910"/>
        <w:gridCol w:w="2070"/>
      </w:tblGrid>
      <w:tr>
        <w:tblPrEx>
          <w:tblW w:w="0" w:type="auto"/>
          <w:jc w:val="left"/>
          <w:tblInd w:w="2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1248"/>
          <w:jc w:val="left"/>
        </w:trPr>
        <w:tc>
          <w:tcPr>
            <w:tcW w:w="978" w:type="dxa"/>
          </w:tcPr>
          <w:p>
            <w:pPr>
              <w:pStyle w:val="TableParagraph"/>
              <w:spacing w:before="135"/>
              <w:ind w:right="19"/>
              <w:jc w:val="right"/>
              <w:rPr>
                <w:sz w:val="28"/>
              </w:rPr>
            </w:pPr>
            <w:r>
              <w:rPr>
                <w:sz w:val="28"/>
              </w:rPr>
              <w:t>序</w:t>
            </w:r>
          </w:p>
          <w:p>
            <w:pPr>
              <w:pStyle w:val="TableParagraph"/>
              <w:spacing w:before="8"/>
              <w:rPr>
                <w:sz w:val="20"/>
              </w:rPr>
            </w:pPr>
          </w:p>
          <w:p>
            <w:pPr>
              <w:pStyle w:val="TableParagraph"/>
              <w:spacing w:before="1"/>
              <w:ind w:left="108"/>
              <w:rPr>
                <w:sz w:val="28"/>
              </w:rPr>
            </w:pPr>
            <w:r>
              <w:rPr>
                <w:sz w:val="28"/>
              </w:rPr>
              <w:t>号</w:t>
            </w:r>
          </w:p>
        </w:tc>
        <w:tc>
          <w:tcPr>
            <w:tcW w:w="1771" w:type="dxa"/>
          </w:tcPr>
          <w:p>
            <w:pPr>
              <w:pStyle w:val="TableParagraph"/>
              <w:spacing w:before="11"/>
              <w:rPr>
                <w:sz w:val="34"/>
              </w:rPr>
            </w:pPr>
          </w:p>
          <w:p>
            <w:pPr>
              <w:pStyle w:val="TableParagraph"/>
              <w:ind w:left="668"/>
              <w:rPr>
                <w:sz w:val="28"/>
              </w:rPr>
            </w:pPr>
            <w:r>
              <w:rPr>
                <w:spacing w:val="-5"/>
                <w:sz w:val="28"/>
              </w:rPr>
              <w:t>项目</w:t>
            </w:r>
          </w:p>
        </w:tc>
        <w:tc>
          <w:tcPr>
            <w:tcW w:w="2199" w:type="dxa"/>
          </w:tcPr>
          <w:p>
            <w:pPr>
              <w:pStyle w:val="TableParagraph"/>
              <w:spacing w:before="11"/>
              <w:rPr>
                <w:sz w:val="34"/>
              </w:rPr>
            </w:pPr>
          </w:p>
          <w:p>
            <w:pPr>
              <w:pStyle w:val="TableParagraph"/>
              <w:ind w:left="667"/>
              <w:rPr>
                <w:sz w:val="28"/>
              </w:rPr>
            </w:pPr>
            <w:r>
              <w:rPr>
                <w:spacing w:val="-3"/>
                <w:sz w:val="28"/>
              </w:rPr>
              <w:t>普通涂饰</w:t>
            </w:r>
          </w:p>
        </w:tc>
        <w:tc>
          <w:tcPr>
            <w:tcW w:w="1910" w:type="dxa"/>
          </w:tcPr>
          <w:p>
            <w:pPr>
              <w:pStyle w:val="TableParagraph"/>
              <w:spacing w:before="11"/>
              <w:rPr>
                <w:sz w:val="34"/>
              </w:rPr>
            </w:pPr>
          </w:p>
          <w:p>
            <w:pPr>
              <w:pStyle w:val="TableParagraph"/>
              <w:ind w:left="667"/>
              <w:rPr>
                <w:sz w:val="28"/>
              </w:rPr>
            </w:pPr>
            <w:r>
              <w:rPr>
                <w:spacing w:val="-3"/>
                <w:sz w:val="28"/>
              </w:rPr>
              <w:t>高级涂饰</w:t>
            </w:r>
          </w:p>
        </w:tc>
        <w:tc>
          <w:tcPr>
            <w:tcW w:w="2070" w:type="dxa"/>
          </w:tcPr>
          <w:p>
            <w:pPr>
              <w:pStyle w:val="TableParagraph"/>
              <w:spacing w:before="11"/>
              <w:rPr>
                <w:sz w:val="34"/>
              </w:rPr>
            </w:pPr>
          </w:p>
          <w:p>
            <w:pPr>
              <w:pStyle w:val="TableParagraph"/>
              <w:ind w:left="667"/>
              <w:rPr>
                <w:sz w:val="28"/>
              </w:rPr>
            </w:pPr>
            <w:r>
              <w:rPr>
                <w:spacing w:val="-3"/>
                <w:sz w:val="28"/>
              </w:rPr>
              <w:t>检验方法</w:t>
            </w:r>
          </w:p>
        </w:tc>
      </w:tr>
      <w:tr>
        <w:tblPrEx>
          <w:tblW w:w="0" w:type="auto"/>
          <w:jc w:val="left"/>
          <w:tblInd w:w="295" w:type="dxa"/>
          <w:tblLayout w:type="fixed"/>
          <w:tblCellMar>
            <w:top w:w="0" w:type="dxa"/>
            <w:left w:w="0" w:type="dxa"/>
            <w:bottom w:w="0" w:type="dxa"/>
            <w:right w:w="0" w:type="dxa"/>
          </w:tblCellMar>
          <w:tblLook w:val="01E0"/>
        </w:tblPrEx>
        <w:trPr>
          <w:trHeight w:val="624"/>
          <w:jc w:val="left"/>
        </w:trPr>
        <w:tc>
          <w:tcPr>
            <w:tcW w:w="978" w:type="dxa"/>
          </w:tcPr>
          <w:p>
            <w:pPr>
              <w:pStyle w:val="TableParagraph"/>
              <w:spacing w:before="135"/>
              <w:ind w:right="159"/>
              <w:jc w:val="right"/>
              <w:rPr>
                <w:sz w:val="28"/>
              </w:rPr>
            </w:pPr>
            <w:r>
              <w:rPr>
                <w:sz w:val="28"/>
              </w:rPr>
              <w:t>1</w:t>
            </w:r>
          </w:p>
        </w:tc>
        <w:tc>
          <w:tcPr>
            <w:tcW w:w="1771" w:type="dxa"/>
          </w:tcPr>
          <w:p>
            <w:pPr>
              <w:pStyle w:val="TableParagraph"/>
              <w:spacing w:before="135"/>
              <w:ind w:left="668"/>
              <w:rPr>
                <w:sz w:val="28"/>
              </w:rPr>
            </w:pPr>
            <w:r>
              <w:rPr>
                <w:spacing w:val="-5"/>
                <w:sz w:val="28"/>
              </w:rPr>
              <w:t>颜色</w:t>
            </w:r>
          </w:p>
        </w:tc>
        <w:tc>
          <w:tcPr>
            <w:tcW w:w="2199" w:type="dxa"/>
          </w:tcPr>
          <w:p>
            <w:pPr>
              <w:pStyle w:val="TableParagraph"/>
              <w:spacing w:before="135"/>
              <w:ind w:left="667"/>
              <w:rPr>
                <w:sz w:val="28"/>
              </w:rPr>
            </w:pPr>
            <w:r>
              <w:rPr>
                <w:spacing w:val="-3"/>
                <w:sz w:val="28"/>
              </w:rPr>
              <w:t>均匀一致</w:t>
            </w:r>
          </w:p>
        </w:tc>
        <w:tc>
          <w:tcPr>
            <w:tcW w:w="1910" w:type="dxa"/>
          </w:tcPr>
          <w:p>
            <w:pPr>
              <w:pStyle w:val="TableParagraph"/>
              <w:spacing w:before="135"/>
              <w:ind w:left="667"/>
              <w:rPr>
                <w:sz w:val="28"/>
              </w:rPr>
            </w:pPr>
            <w:r>
              <w:rPr>
                <w:spacing w:val="-3"/>
                <w:sz w:val="28"/>
              </w:rPr>
              <w:t>均匀一致</w:t>
            </w:r>
          </w:p>
        </w:tc>
        <w:tc>
          <w:tcPr>
            <w:tcW w:w="2070" w:type="dxa"/>
            <w:vMerge w:val="restart"/>
          </w:tcPr>
          <w:p>
            <w:pPr>
              <w:pStyle w:val="TableParagraph"/>
              <w:rPr>
                <w:sz w:val="28"/>
              </w:rPr>
            </w:pPr>
          </w:p>
          <w:p>
            <w:pPr>
              <w:pStyle w:val="TableParagraph"/>
              <w:rPr>
                <w:sz w:val="28"/>
              </w:rPr>
            </w:pPr>
          </w:p>
          <w:p>
            <w:pPr>
              <w:pStyle w:val="TableParagraph"/>
              <w:rPr>
                <w:sz w:val="28"/>
              </w:rPr>
            </w:pPr>
          </w:p>
          <w:p>
            <w:pPr>
              <w:pStyle w:val="TableParagraph"/>
              <w:rPr>
                <w:sz w:val="28"/>
              </w:rPr>
            </w:pPr>
          </w:p>
          <w:p>
            <w:pPr>
              <w:pStyle w:val="TableParagraph"/>
              <w:rPr>
                <w:sz w:val="28"/>
              </w:rPr>
            </w:pPr>
          </w:p>
          <w:p>
            <w:pPr>
              <w:pStyle w:val="TableParagraph"/>
              <w:rPr>
                <w:sz w:val="28"/>
              </w:rPr>
            </w:pPr>
          </w:p>
          <w:p>
            <w:pPr>
              <w:pStyle w:val="TableParagraph"/>
              <w:spacing w:before="6"/>
              <w:rPr>
                <w:sz w:val="38"/>
              </w:rPr>
            </w:pPr>
          </w:p>
          <w:p>
            <w:pPr>
              <w:pStyle w:val="TableParagraph"/>
              <w:ind w:left="667"/>
              <w:rPr>
                <w:sz w:val="28"/>
              </w:rPr>
            </w:pPr>
            <w:r>
              <w:rPr>
                <w:spacing w:val="-5"/>
                <w:sz w:val="28"/>
              </w:rPr>
              <w:t>观察</w:t>
            </w:r>
          </w:p>
        </w:tc>
      </w:tr>
      <w:tr>
        <w:tblPrEx>
          <w:tblW w:w="0" w:type="auto"/>
          <w:jc w:val="left"/>
          <w:tblInd w:w="295" w:type="dxa"/>
          <w:tblLayout w:type="fixed"/>
          <w:tblCellMar>
            <w:top w:w="0" w:type="dxa"/>
            <w:left w:w="0" w:type="dxa"/>
            <w:bottom w:w="0" w:type="dxa"/>
            <w:right w:w="0" w:type="dxa"/>
          </w:tblCellMar>
          <w:tblLook w:val="01E0"/>
        </w:tblPrEx>
        <w:trPr>
          <w:trHeight w:val="1247"/>
          <w:jc w:val="left"/>
        </w:trPr>
        <w:tc>
          <w:tcPr>
            <w:tcW w:w="978" w:type="dxa"/>
          </w:tcPr>
          <w:p>
            <w:pPr>
              <w:pStyle w:val="TableParagraph"/>
              <w:spacing w:before="11"/>
              <w:rPr>
                <w:sz w:val="34"/>
              </w:rPr>
            </w:pPr>
          </w:p>
          <w:p>
            <w:pPr>
              <w:pStyle w:val="TableParagraph"/>
              <w:ind w:right="159"/>
              <w:jc w:val="right"/>
              <w:rPr>
                <w:sz w:val="28"/>
              </w:rPr>
            </w:pPr>
            <w:r>
              <w:rPr>
                <w:sz w:val="28"/>
              </w:rPr>
              <w:t>2</w:t>
            </w:r>
          </w:p>
        </w:tc>
        <w:tc>
          <w:tcPr>
            <w:tcW w:w="1771" w:type="dxa"/>
          </w:tcPr>
          <w:p>
            <w:pPr>
              <w:pStyle w:val="TableParagraph"/>
              <w:spacing w:before="135"/>
              <w:ind w:left="668"/>
              <w:rPr>
                <w:sz w:val="28"/>
              </w:rPr>
            </w:pPr>
            <w:r>
              <w:rPr>
                <w:spacing w:val="-34"/>
                <w:sz w:val="28"/>
              </w:rPr>
              <w:t>泛碱、咬</w:t>
            </w:r>
          </w:p>
          <w:p>
            <w:pPr>
              <w:pStyle w:val="TableParagraph"/>
              <w:spacing w:before="8"/>
              <w:rPr>
                <w:sz w:val="20"/>
              </w:rPr>
            </w:pPr>
          </w:p>
          <w:p>
            <w:pPr>
              <w:pStyle w:val="TableParagraph"/>
              <w:spacing w:before="1"/>
              <w:ind w:left="108"/>
              <w:rPr>
                <w:sz w:val="28"/>
              </w:rPr>
            </w:pPr>
            <w:r>
              <w:rPr>
                <w:sz w:val="28"/>
              </w:rPr>
              <w:t>色</w:t>
            </w:r>
          </w:p>
        </w:tc>
        <w:tc>
          <w:tcPr>
            <w:tcW w:w="2199" w:type="dxa"/>
          </w:tcPr>
          <w:p>
            <w:pPr>
              <w:pStyle w:val="TableParagraph"/>
              <w:spacing w:before="135"/>
              <w:ind w:left="667"/>
              <w:rPr>
                <w:sz w:val="28"/>
              </w:rPr>
            </w:pPr>
            <w:r>
              <w:rPr>
                <w:spacing w:val="-2"/>
                <w:sz w:val="28"/>
              </w:rPr>
              <w:t>允许少量轻</w:t>
            </w:r>
          </w:p>
          <w:p>
            <w:pPr>
              <w:pStyle w:val="TableParagraph"/>
              <w:spacing w:before="8"/>
              <w:rPr>
                <w:sz w:val="20"/>
              </w:rPr>
            </w:pPr>
          </w:p>
          <w:p>
            <w:pPr>
              <w:pStyle w:val="TableParagraph"/>
              <w:spacing w:before="1"/>
              <w:ind w:left="107"/>
              <w:rPr>
                <w:sz w:val="28"/>
              </w:rPr>
            </w:pPr>
            <w:r>
              <w:rPr>
                <w:sz w:val="28"/>
              </w:rPr>
              <w:t>微</w:t>
            </w:r>
          </w:p>
        </w:tc>
        <w:tc>
          <w:tcPr>
            <w:tcW w:w="1910" w:type="dxa"/>
          </w:tcPr>
          <w:p>
            <w:pPr>
              <w:pStyle w:val="TableParagraph"/>
              <w:spacing w:before="11"/>
              <w:rPr>
                <w:sz w:val="34"/>
              </w:rPr>
            </w:pPr>
          </w:p>
          <w:p>
            <w:pPr>
              <w:pStyle w:val="TableParagraph"/>
              <w:ind w:left="667"/>
              <w:rPr>
                <w:sz w:val="28"/>
              </w:rPr>
            </w:pPr>
            <w:r>
              <w:rPr>
                <w:spacing w:val="-4"/>
                <w:sz w:val="28"/>
              </w:rPr>
              <w:t>不允许</w:t>
            </w:r>
          </w:p>
        </w:tc>
        <w:tc>
          <w:tcPr>
            <w:tcW w:w="2070" w:type="dxa"/>
            <w:vMerge/>
            <w:tcBorders>
              <w:top w:val="nil"/>
            </w:tcBorders>
          </w:tcPr>
          <w:p>
            <w:pPr>
              <w:rPr>
                <w:sz w:val="2"/>
                <w:szCs w:val="2"/>
              </w:rPr>
            </w:pPr>
          </w:p>
        </w:tc>
      </w:tr>
      <w:tr>
        <w:tblPrEx>
          <w:tblW w:w="0" w:type="auto"/>
          <w:jc w:val="left"/>
          <w:tblInd w:w="295" w:type="dxa"/>
          <w:tblLayout w:type="fixed"/>
          <w:tblCellMar>
            <w:top w:w="0" w:type="dxa"/>
            <w:left w:w="0" w:type="dxa"/>
            <w:bottom w:w="0" w:type="dxa"/>
            <w:right w:w="0" w:type="dxa"/>
          </w:tblCellMar>
          <w:tblLook w:val="01E0"/>
        </w:tblPrEx>
        <w:trPr>
          <w:trHeight w:val="1247"/>
          <w:jc w:val="left"/>
        </w:trPr>
        <w:tc>
          <w:tcPr>
            <w:tcW w:w="978" w:type="dxa"/>
          </w:tcPr>
          <w:p>
            <w:pPr>
              <w:pStyle w:val="TableParagraph"/>
              <w:spacing w:before="11"/>
              <w:rPr>
                <w:sz w:val="34"/>
              </w:rPr>
            </w:pPr>
          </w:p>
          <w:p>
            <w:pPr>
              <w:pStyle w:val="TableParagraph"/>
              <w:ind w:right="159"/>
              <w:jc w:val="right"/>
              <w:rPr>
                <w:sz w:val="28"/>
              </w:rPr>
            </w:pPr>
            <w:r>
              <w:rPr>
                <w:sz w:val="28"/>
              </w:rPr>
              <w:t>3</w:t>
            </w:r>
          </w:p>
        </w:tc>
        <w:tc>
          <w:tcPr>
            <w:tcW w:w="1771" w:type="dxa"/>
          </w:tcPr>
          <w:p>
            <w:pPr>
              <w:pStyle w:val="TableParagraph"/>
              <w:spacing w:before="135"/>
              <w:ind w:left="668"/>
              <w:rPr>
                <w:sz w:val="28"/>
              </w:rPr>
            </w:pPr>
            <w:r>
              <w:rPr>
                <w:spacing w:val="-34"/>
                <w:sz w:val="28"/>
              </w:rPr>
              <w:t>流坠、疙</w:t>
            </w:r>
          </w:p>
          <w:p>
            <w:pPr>
              <w:pStyle w:val="TableParagraph"/>
              <w:spacing w:before="8"/>
              <w:rPr>
                <w:sz w:val="20"/>
              </w:rPr>
            </w:pPr>
          </w:p>
          <w:p>
            <w:pPr>
              <w:pStyle w:val="TableParagraph"/>
              <w:spacing w:before="1"/>
              <w:ind w:left="108"/>
              <w:rPr>
                <w:sz w:val="28"/>
              </w:rPr>
            </w:pPr>
            <w:r>
              <w:rPr>
                <w:sz w:val="28"/>
              </w:rPr>
              <w:t>瘩</w:t>
            </w:r>
          </w:p>
        </w:tc>
        <w:tc>
          <w:tcPr>
            <w:tcW w:w="2199" w:type="dxa"/>
          </w:tcPr>
          <w:p>
            <w:pPr>
              <w:pStyle w:val="TableParagraph"/>
              <w:spacing w:before="135"/>
              <w:ind w:left="667"/>
              <w:rPr>
                <w:sz w:val="28"/>
              </w:rPr>
            </w:pPr>
            <w:r>
              <w:rPr>
                <w:spacing w:val="-2"/>
                <w:sz w:val="28"/>
              </w:rPr>
              <w:t>允许少量轻</w:t>
            </w:r>
          </w:p>
          <w:p>
            <w:pPr>
              <w:pStyle w:val="TableParagraph"/>
              <w:spacing w:before="8"/>
              <w:rPr>
                <w:sz w:val="20"/>
              </w:rPr>
            </w:pPr>
          </w:p>
          <w:p>
            <w:pPr>
              <w:pStyle w:val="TableParagraph"/>
              <w:spacing w:before="1"/>
              <w:ind w:left="107"/>
              <w:rPr>
                <w:sz w:val="28"/>
              </w:rPr>
            </w:pPr>
            <w:r>
              <w:rPr>
                <w:sz w:val="28"/>
              </w:rPr>
              <w:t>微</w:t>
            </w:r>
          </w:p>
        </w:tc>
        <w:tc>
          <w:tcPr>
            <w:tcW w:w="1910" w:type="dxa"/>
          </w:tcPr>
          <w:p>
            <w:pPr>
              <w:pStyle w:val="TableParagraph"/>
              <w:spacing w:before="11"/>
              <w:rPr>
                <w:sz w:val="34"/>
              </w:rPr>
            </w:pPr>
          </w:p>
          <w:p>
            <w:pPr>
              <w:pStyle w:val="TableParagraph"/>
              <w:ind w:left="667"/>
              <w:rPr>
                <w:sz w:val="28"/>
              </w:rPr>
            </w:pPr>
            <w:r>
              <w:rPr>
                <w:spacing w:val="-4"/>
                <w:sz w:val="28"/>
              </w:rPr>
              <w:t>不允许</w:t>
            </w:r>
          </w:p>
        </w:tc>
        <w:tc>
          <w:tcPr>
            <w:tcW w:w="2070" w:type="dxa"/>
            <w:vMerge/>
            <w:tcBorders>
              <w:top w:val="nil"/>
            </w:tcBorders>
          </w:tcPr>
          <w:p>
            <w:pPr>
              <w:rPr>
                <w:sz w:val="2"/>
                <w:szCs w:val="2"/>
              </w:rPr>
            </w:pPr>
          </w:p>
        </w:tc>
      </w:tr>
      <w:tr>
        <w:tblPrEx>
          <w:tblW w:w="0" w:type="auto"/>
          <w:jc w:val="left"/>
          <w:tblInd w:w="295" w:type="dxa"/>
          <w:tblLayout w:type="fixed"/>
          <w:tblCellMar>
            <w:top w:w="0" w:type="dxa"/>
            <w:left w:w="0" w:type="dxa"/>
            <w:bottom w:w="0" w:type="dxa"/>
            <w:right w:w="0" w:type="dxa"/>
          </w:tblCellMar>
          <w:tblLook w:val="01E0"/>
        </w:tblPrEx>
        <w:trPr>
          <w:trHeight w:val="2496"/>
          <w:jc w:val="left"/>
        </w:trPr>
        <w:tc>
          <w:tcPr>
            <w:tcW w:w="978" w:type="dxa"/>
          </w:tcPr>
          <w:p>
            <w:pPr>
              <w:pStyle w:val="TableParagraph"/>
              <w:rPr>
                <w:sz w:val="28"/>
              </w:rPr>
            </w:pPr>
          </w:p>
          <w:p>
            <w:pPr>
              <w:pStyle w:val="TableParagraph"/>
              <w:rPr>
                <w:sz w:val="28"/>
              </w:rPr>
            </w:pPr>
          </w:p>
          <w:p>
            <w:pPr>
              <w:pStyle w:val="TableParagraph"/>
              <w:spacing w:before="7"/>
              <w:rPr>
                <w:sz w:val="27"/>
              </w:rPr>
            </w:pPr>
          </w:p>
          <w:p>
            <w:pPr>
              <w:pStyle w:val="TableParagraph"/>
              <w:ind w:right="159"/>
              <w:jc w:val="right"/>
              <w:rPr>
                <w:sz w:val="28"/>
              </w:rPr>
            </w:pPr>
            <w:r>
              <w:rPr>
                <w:sz w:val="28"/>
              </w:rPr>
              <w:t>4</w:t>
            </w:r>
          </w:p>
        </w:tc>
        <w:tc>
          <w:tcPr>
            <w:tcW w:w="1771" w:type="dxa"/>
          </w:tcPr>
          <w:p>
            <w:pPr>
              <w:pStyle w:val="TableParagraph"/>
              <w:rPr>
                <w:sz w:val="28"/>
              </w:rPr>
            </w:pPr>
          </w:p>
          <w:p>
            <w:pPr>
              <w:pStyle w:val="TableParagraph"/>
              <w:spacing w:before="2"/>
              <w:rPr>
                <w:sz w:val="31"/>
              </w:rPr>
            </w:pPr>
          </w:p>
          <w:p>
            <w:pPr>
              <w:pStyle w:val="TableParagraph"/>
              <w:spacing w:before="1"/>
              <w:ind w:left="668"/>
              <w:rPr>
                <w:sz w:val="28"/>
              </w:rPr>
            </w:pPr>
            <w:r>
              <w:rPr>
                <w:spacing w:val="-34"/>
                <w:sz w:val="28"/>
              </w:rPr>
              <w:t>砂眼、刷</w:t>
            </w:r>
          </w:p>
          <w:p>
            <w:pPr>
              <w:pStyle w:val="TableParagraph"/>
              <w:spacing w:before="8"/>
              <w:rPr>
                <w:sz w:val="20"/>
              </w:rPr>
            </w:pPr>
          </w:p>
          <w:p>
            <w:pPr>
              <w:pStyle w:val="TableParagraph"/>
              <w:spacing w:before="1"/>
              <w:ind w:left="108"/>
              <w:rPr>
                <w:sz w:val="28"/>
              </w:rPr>
            </w:pPr>
            <w:r>
              <w:rPr>
                <w:sz w:val="28"/>
              </w:rPr>
              <w:t>纹</w:t>
            </w:r>
          </w:p>
        </w:tc>
        <w:tc>
          <w:tcPr>
            <w:tcW w:w="2199" w:type="dxa"/>
          </w:tcPr>
          <w:p>
            <w:pPr>
              <w:pStyle w:val="TableParagraph"/>
              <w:spacing w:before="135" w:line="417" w:lineRule="auto"/>
              <w:ind w:left="107" w:right="96" w:firstLine="560"/>
              <w:rPr>
                <w:sz w:val="28"/>
              </w:rPr>
            </w:pPr>
            <w:r>
              <w:rPr>
                <w:spacing w:val="-4"/>
                <w:sz w:val="28"/>
              </w:rPr>
              <w:t>允许少量轻</w:t>
            </w:r>
            <w:r>
              <w:rPr>
                <w:spacing w:val="-6"/>
                <w:sz w:val="28"/>
              </w:rPr>
              <w:t>微砂</w:t>
            </w:r>
          </w:p>
          <w:p>
            <w:pPr>
              <w:pStyle w:val="TableParagraph"/>
              <w:spacing w:line="358" w:lineRule="exact"/>
              <w:ind w:left="667"/>
              <w:rPr>
                <w:sz w:val="28"/>
              </w:rPr>
            </w:pPr>
            <w:r>
              <w:rPr>
                <w:spacing w:val="-2"/>
                <w:sz w:val="28"/>
              </w:rPr>
              <w:t>眼、刷纹通</w:t>
            </w:r>
          </w:p>
          <w:p>
            <w:pPr>
              <w:pStyle w:val="TableParagraph"/>
              <w:spacing w:before="8"/>
              <w:rPr>
                <w:sz w:val="20"/>
              </w:rPr>
            </w:pPr>
          </w:p>
          <w:p>
            <w:pPr>
              <w:pStyle w:val="TableParagraph"/>
              <w:spacing w:before="1"/>
              <w:ind w:left="107"/>
              <w:rPr>
                <w:sz w:val="28"/>
              </w:rPr>
            </w:pPr>
            <w:r>
              <w:rPr>
                <w:sz w:val="28"/>
              </w:rPr>
              <w:t>顺</w:t>
            </w:r>
          </w:p>
        </w:tc>
        <w:tc>
          <w:tcPr>
            <w:tcW w:w="1910" w:type="dxa"/>
          </w:tcPr>
          <w:p>
            <w:pPr>
              <w:pStyle w:val="TableParagraph"/>
              <w:rPr>
                <w:sz w:val="28"/>
              </w:rPr>
            </w:pPr>
          </w:p>
          <w:p>
            <w:pPr>
              <w:pStyle w:val="TableParagraph"/>
              <w:spacing w:before="2"/>
              <w:rPr>
                <w:sz w:val="31"/>
              </w:rPr>
            </w:pPr>
          </w:p>
          <w:p>
            <w:pPr>
              <w:pStyle w:val="TableParagraph"/>
              <w:spacing w:before="1" w:line="417" w:lineRule="auto"/>
              <w:ind w:left="107" w:right="96" w:firstLine="560"/>
              <w:rPr>
                <w:sz w:val="28"/>
              </w:rPr>
            </w:pPr>
            <w:r>
              <w:rPr>
                <w:spacing w:val="-4"/>
                <w:sz w:val="28"/>
              </w:rPr>
              <w:t>无砂眼，</w:t>
            </w:r>
            <w:r>
              <w:rPr>
                <w:spacing w:val="-4"/>
                <w:sz w:val="28"/>
              </w:rPr>
              <w:t>无刷纹</w:t>
            </w:r>
          </w:p>
        </w:tc>
        <w:tc>
          <w:tcPr>
            <w:tcW w:w="2070" w:type="dxa"/>
            <w:vMerge/>
            <w:tcBorders>
              <w:top w:val="nil"/>
            </w:tcBorders>
          </w:tcPr>
          <w:p>
            <w:pPr>
              <w:rPr>
                <w:sz w:val="2"/>
                <w:szCs w:val="2"/>
              </w:rPr>
            </w:pPr>
          </w:p>
        </w:tc>
      </w:tr>
      <w:tr>
        <w:tblPrEx>
          <w:tblW w:w="0" w:type="auto"/>
          <w:jc w:val="left"/>
          <w:tblInd w:w="295" w:type="dxa"/>
          <w:tblLayout w:type="fixed"/>
          <w:tblCellMar>
            <w:top w:w="0" w:type="dxa"/>
            <w:left w:w="0" w:type="dxa"/>
            <w:bottom w:w="0" w:type="dxa"/>
            <w:right w:w="0" w:type="dxa"/>
          </w:tblCellMar>
          <w:tblLook w:val="01E0"/>
        </w:tblPrEx>
        <w:trPr>
          <w:trHeight w:val="624"/>
          <w:jc w:val="left"/>
        </w:trPr>
        <w:tc>
          <w:tcPr>
            <w:tcW w:w="978" w:type="dxa"/>
          </w:tcPr>
          <w:p>
            <w:pPr>
              <w:pStyle w:val="TableParagraph"/>
              <w:spacing w:before="135"/>
              <w:ind w:right="159"/>
              <w:jc w:val="right"/>
              <w:rPr>
                <w:sz w:val="28"/>
              </w:rPr>
            </w:pPr>
            <w:r>
              <w:rPr>
                <w:sz w:val="28"/>
              </w:rPr>
              <w:t>5</w:t>
            </w:r>
          </w:p>
        </w:tc>
        <w:tc>
          <w:tcPr>
            <w:tcW w:w="1771" w:type="dxa"/>
          </w:tcPr>
          <w:p>
            <w:pPr>
              <w:pStyle w:val="TableParagraph"/>
              <w:spacing w:before="135"/>
              <w:ind w:left="668" w:right="-29"/>
              <w:rPr>
                <w:sz w:val="28"/>
              </w:rPr>
            </w:pPr>
            <w:r>
              <w:rPr>
                <w:spacing w:val="-3"/>
                <w:sz w:val="28"/>
              </w:rPr>
              <w:t>装饰线、</w:t>
            </w:r>
          </w:p>
        </w:tc>
        <w:tc>
          <w:tcPr>
            <w:tcW w:w="2199" w:type="dxa"/>
          </w:tcPr>
          <w:p>
            <w:pPr>
              <w:pStyle w:val="TableParagraph"/>
              <w:spacing w:before="135"/>
              <w:ind w:left="667"/>
              <w:rPr>
                <w:sz w:val="28"/>
              </w:rPr>
            </w:pPr>
            <w:r>
              <w:rPr>
                <w:spacing w:val="-5"/>
                <w:sz w:val="28"/>
              </w:rPr>
              <w:t>2mm</w:t>
            </w:r>
          </w:p>
        </w:tc>
        <w:tc>
          <w:tcPr>
            <w:tcW w:w="1910" w:type="dxa"/>
          </w:tcPr>
          <w:p>
            <w:pPr>
              <w:pStyle w:val="TableParagraph"/>
              <w:spacing w:before="135"/>
              <w:ind w:left="667"/>
              <w:rPr>
                <w:sz w:val="28"/>
              </w:rPr>
            </w:pPr>
            <w:r>
              <w:rPr>
                <w:spacing w:val="-5"/>
                <w:sz w:val="28"/>
              </w:rPr>
              <w:t>1mm</w:t>
            </w:r>
          </w:p>
        </w:tc>
        <w:tc>
          <w:tcPr>
            <w:tcW w:w="2070" w:type="dxa"/>
          </w:tcPr>
          <w:p>
            <w:pPr>
              <w:pStyle w:val="TableParagraph"/>
              <w:spacing w:before="135"/>
              <w:ind w:left="667"/>
              <w:rPr>
                <w:sz w:val="28"/>
              </w:rPr>
            </w:pPr>
            <w:r>
              <w:rPr>
                <w:spacing w:val="-27"/>
                <w:sz w:val="28"/>
              </w:rPr>
              <w:t xml:space="preserve">拉 </w:t>
            </w:r>
            <w:r>
              <w:rPr>
                <w:sz w:val="28"/>
              </w:rPr>
              <w:t>5m</w:t>
            </w:r>
            <w:r>
              <w:rPr>
                <w:spacing w:val="-22"/>
                <w:sz w:val="28"/>
              </w:rPr>
              <w:t xml:space="preserve"> 线，</w:t>
            </w:r>
          </w:p>
        </w:tc>
      </w:tr>
    </w:tbl>
    <w:p>
      <w:pPr>
        <w:spacing w:after="0"/>
        <w:rPr>
          <w:sz w:val="28"/>
        </w:rPr>
        <w:sectPr>
          <w:headerReference w:type="default" r:id="rId34"/>
          <w:footerReference w:type="default" r:id="rId35"/>
          <w:pgSz w:w="11910" w:h="16840"/>
          <w:pgMar w:top="1180" w:right="640" w:bottom="1600" w:left="1020" w:header="996" w:footer="1381"/>
          <w:pgNumType w:start="16"/>
          <w:cols w:space="708"/>
        </w:sectPr>
      </w:pPr>
    </w:p>
    <w:p>
      <w:pPr>
        <w:pStyle w:val="BodyText"/>
        <w:spacing w:before="12"/>
        <w:rPr>
          <w:sz w:val="3"/>
        </w:rPr>
      </w:pPr>
    </w:p>
    <w:tbl>
      <w:tblPr>
        <w:tblStyle w:val="TableNormal5"/>
        <w:tblW w:w="0" w:type="auto"/>
        <w:jc w:val="left"/>
        <w:tblInd w:w="2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978"/>
        <w:gridCol w:w="1771"/>
        <w:gridCol w:w="2199"/>
        <w:gridCol w:w="1910"/>
        <w:gridCol w:w="2070"/>
      </w:tblGrid>
      <w:tr>
        <w:tblPrEx>
          <w:tblW w:w="0" w:type="auto"/>
          <w:jc w:val="left"/>
          <w:tblInd w:w="2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1871"/>
          <w:jc w:val="left"/>
        </w:trPr>
        <w:tc>
          <w:tcPr>
            <w:tcW w:w="978" w:type="dxa"/>
          </w:tcPr>
          <w:p>
            <w:pPr>
              <w:pStyle w:val="TableParagraph"/>
              <w:rPr>
                <w:rFonts w:ascii="Times New Roman"/>
                <w:sz w:val="26"/>
              </w:rPr>
            </w:pPr>
          </w:p>
        </w:tc>
        <w:tc>
          <w:tcPr>
            <w:tcW w:w="1771" w:type="dxa"/>
          </w:tcPr>
          <w:p>
            <w:pPr>
              <w:pStyle w:val="TableParagraph"/>
              <w:spacing w:before="135"/>
              <w:ind w:left="108"/>
              <w:rPr>
                <w:sz w:val="28"/>
              </w:rPr>
            </w:pPr>
            <w:r>
              <w:rPr>
                <w:spacing w:val="-4"/>
                <w:sz w:val="28"/>
              </w:rPr>
              <w:t>分色线</w:t>
            </w:r>
          </w:p>
          <w:p>
            <w:pPr>
              <w:pStyle w:val="TableParagraph"/>
              <w:spacing w:before="4" w:line="620" w:lineRule="atLeast"/>
              <w:ind w:left="108" w:right="95" w:firstLine="560"/>
              <w:rPr>
                <w:sz w:val="28"/>
              </w:rPr>
            </w:pPr>
            <w:r>
              <w:rPr>
                <w:spacing w:val="-28"/>
                <w:sz w:val="28"/>
              </w:rPr>
              <w:t>直 线 度</w:t>
            </w:r>
            <w:r>
              <w:rPr>
                <w:spacing w:val="-4"/>
                <w:sz w:val="28"/>
              </w:rPr>
              <w:t>允许偏差</w:t>
            </w:r>
          </w:p>
        </w:tc>
        <w:tc>
          <w:tcPr>
            <w:tcW w:w="2199" w:type="dxa"/>
          </w:tcPr>
          <w:p>
            <w:pPr>
              <w:pStyle w:val="TableParagraph"/>
              <w:rPr>
                <w:rFonts w:ascii="Times New Roman"/>
                <w:sz w:val="26"/>
              </w:rPr>
            </w:pPr>
          </w:p>
        </w:tc>
        <w:tc>
          <w:tcPr>
            <w:tcW w:w="1910" w:type="dxa"/>
          </w:tcPr>
          <w:p>
            <w:pPr>
              <w:pStyle w:val="TableParagraph"/>
              <w:rPr>
                <w:rFonts w:ascii="Times New Roman"/>
                <w:sz w:val="26"/>
              </w:rPr>
            </w:pPr>
          </w:p>
        </w:tc>
        <w:tc>
          <w:tcPr>
            <w:tcW w:w="2070" w:type="dxa"/>
          </w:tcPr>
          <w:p>
            <w:pPr>
              <w:pStyle w:val="TableParagraph"/>
              <w:spacing w:before="135" w:line="417" w:lineRule="auto"/>
              <w:ind w:left="107" w:right="-87"/>
              <w:rPr>
                <w:sz w:val="28"/>
              </w:rPr>
            </w:pPr>
            <w:r>
              <w:rPr>
                <w:spacing w:val="17"/>
                <w:sz w:val="28"/>
              </w:rPr>
              <w:t>不足</w:t>
            </w:r>
            <w:r>
              <w:rPr>
                <w:sz w:val="28"/>
              </w:rPr>
              <w:t>5m</w:t>
            </w:r>
            <w:r>
              <w:rPr>
                <w:spacing w:val="-22"/>
                <w:sz w:val="28"/>
              </w:rPr>
              <w:t xml:space="preserve"> 拉通线，</w:t>
            </w:r>
            <w:r>
              <w:rPr>
                <w:spacing w:val="-2"/>
                <w:sz w:val="28"/>
              </w:rPr>
              <w:t>用钢直尺检查</w:t>
            </w:r>
          </w:p>
        </w:tc>
      </w:tr>
    </w:tbl>
    <w:p>
      <w:pPr>
        <w:pStyle w:val="BodyText"/>
        <w:spacing w:before="11"/>
        <w:rPr>
          <w:sz w:val="5"/>
        </w:rPr>
      </w:pPr>
    </w:p>
    <w:p>
      <w:pPr>
        <w:pStyle w:val="BodyText"/>
        <w:spacing w:before="61"/>
        <w:ind w:left="958"/>
      </w:pPr>
      <w:r>
        <w:rPr>
          <w:spacing w:val="-2"/>
        </w:rPr>
        <w:t>二、施工注意事项</w:t>
      </w:r>
    </w:p>
    <w:p>
      <w:pPr>
        <w:pStyle w:val="BodyText"/>
        <w:spacing w:before="8"/>
        <w:rPr>
          <w:sz w:val="20"/>
        </w:rPr>
      </w:pPr>
    </w:p>
    <w:p>
      <w:pPr>
        <w:pStyle w:val="BodyText"/>
        <w:spacing w:before="1" w:line="417" w:lineRule="auto"/>
        <w:ind w:left="398" w:right="352" w:firstLine="560"/>
      </w:pPr>
      <w:r>
        <w:rPr>
          <w:rFonts w:ascii="Times New Roman" w:eastAsia="Times New Roman"/>
          <w:spacing w:val="-6"/>
        </w:rPr>
        <w:t>1</w:t>
      </w:r>
      <w:r>
        <w:rPr>
          <w:spacing w:val="-6"/>
        </w:rPr>
        <w:t>、选用涂料的颜色应完全一致，发现颜色有深浅时，应分别堆放、贮存，</w:t>
      </w:r>
      <w:r>
        <w:rPr>
          <w:spacing w:val="-2"/>
        </w:rPr>
        <w:t>分别使用。</w:t>
      </w:r>
    </w:p>
    <w:p>
      <w:pPr>
        <w:pStyle w:val="BodyText"/>
        <w:spacing w:line="417" w:lineRule="auto"/>
        <w:ind w:left="398" w:right="492" w:firstLine="560"/>
        <w:jc w:val="both"/>
      </w:pPr>
      <w:r>
        <w:rPr>
          <w:rFonts w:ascii="Times New Roman" w:eastAsia="Times New Roman"/>
          <w:spacing w:val="-2"/>
        </w:rPr>
        <w:t>2</w:t>
      </w:r>
      <w:r>
        <w:rPr>
          <w:spacing w:val="-2"/>
        </w:rPr>
        <w:t>、配料时要合适、要配足，宜一次用完，确保颜色一致。涂料使用前必</w:t>
      </w:r>
      <w:r>
        <w:rPr>
          <w:spacing w:val="-2"/>
        </w:rPr>
        <w:t>须充分搅拌，其工作粘度或稠度，应保证施涂时不流坠、不显刷纹。使用过</w:t>
      </w:r>
      <w:r>
        <w:rPr>
          <w:spacing w:val="-2"/>
        </w:rPr>
        <w:t>程中亦需不断搅拌并不得任意加水或其它溶液稀释。</w:t>
      </w:r>
    </w:p>
    <w:p>
      <w:pPr>
        <w:pStyle w:val="BodyText"/>
        <w:spacing w:line="417" w:lineRule="auto"/>
        <w:ind w:left="398" w:right="492" w:firstLine="560"/>
      </w:pPr>
      <w:r>
        <w:rPr>
          <w:rFonts w:ascii="Times New Roman" w:eastAsia="Times New Roman"/>
          <w:spacing w:val="-2"/>
        </w:rPr>
        <w:t>3</w:t>
      </w:r>
      <w:r>
        <w:rPr>
          <w:spacing w:val="-2"/>
        </w:rPr>
        <w:t>、在施工过程中，都不能随意掺水或随意掺加颜料，也不宜在夜间灯光</w:t>
      </w:r>
      <w:r>
        <w:rPr>
          <w:spacing w:val="-4"/>
        </w:rPr>
        <w:t>下施工。</w:t>
      </w:r>
    </w:p>
    <w:p>
      <w:pPr>
        <w:pStyle w:val="BodyText"/>
        <w:spacing w:line="417" w:lineRule="auto"/>
        <w:ind w:left="398" w:right="492" w:firstLine="560"/>
      </w:pPr>
      <w:r>
        <w:rPr>
          <w:rFonts w:ascii="Times New Roman" w:eastAsia="Times New Roman"/>
          <w:spacing w:val="-2"/>
        </w:rPr>
        <w:t>4</w:t>
      </w:r>
      <w:r>
        <w:rPr>
          <w:spacing w:val="-2"/>
        </w:rPr>
        <w:t>、施工时，严禁将支杆压靠在墙体上，以免造成二次修补，影响涂层饰</w:t>
      </w:r>
      <w:r>
        <w:rPr>
          <w:spacing w:val="-4"/>
        </w:rPr>
        <w:t>面美观。</w:t>
      </w:r>
    </w:p>
    <w:p>
      <w:pPr>
        <w:pStyle w:val="BodyText"/>
        <w:spacing w:line="417" w:lineRule="auto"/>
        <w:ind w:left="398" w:right="492" w:firstLine="560"/>
      </w:pPr>
      <w:r>
        <w:rPr>
          <w:rFonts w:ascii="Times New Roman" w:eastAsia="Times New Roman"/>
          <w:spacing w:val="-2"/>
        </w:rPr>
        <w:t>5</w:t>
      </w:r>
      <w:r>
        <w:rPr>
          <w:spacing w:val="-2"/>
        </w:rPr>
        <w:t>、在施工过程中，要尽量避免涂料污染门窗等不需涂装的部位。万一污</w:t>
      </w:r>
      <w:r>
        <w:rPr>
          <w:spacing w:val="-2"/>
        </w:rPr>
        <w:t>染了，务必在涂料未干时就擦去。</w:t>
      </w:r>
    </w:p>
    <w:p>
      <w:pPr>
        <w:pStyle w:val="BodyText"/>
        <w:spacing w:line="417" w:lineRule="auto"/>
        <w:ind w:left="398" w:right="492" w:firstLine="560"/>
        <w:jc w:val="both"/>
      </w:pPr>
      <w:r>
        <w:rPr>
          <w:rFonts w:ascii="Times New Roman" w:eastAsia="Times New Roman"/>
          <w:spacing w:val="-2"/>
        </w:rPr>
        <w:t>6</w:t>
      </w:r>
      <w:r>
        <w:rPr>
          <w:spacing w:val="-2"/>
        </w:rPr>
        <w:t>、要防止水分从涂层的背面渗透过来。如遇有女儿墙、卫生间等，应在</w:t>
      </w:r>
      <w:r>
        <w:rPr>
          <w:spacing w:val="-2"/>
        </w:rPr>
        <w:t>室内墙根处做防水封闭层。否则，外墙正面的涂层容易起粉、发花、鼓泡或</w:t>
      </w:r>
      <w:r>
        <w:rPr>
          <w:spacing w:val="-2"/>
        </w:rPr>
        <w:t>被污染，严重影响装饰效果。</w:t>
      </w:r>
    </w:p>
    <w:p>
      <w:pPr>
        <w:pStyle w:val="BodyText"/>
        <w:spacing w:line="358" w:lineRule="exact"/>
        <w:ind w:left="958"/>
      </w:pPr>
      <w:r>
        <w:rPr>
          <w:rFonts w:ascii="Times New Roman" w:eastAsia="Times New Roman"/>
        </w:rPr>
        <w:t>7</w:t>
      </w:r>
      <w:r>
        <w:rPr>
          <w:spacing w:val="-1"/>
        </w:rPr>
        <w:t>、施工所有的机具、用具应及时洗净，以便后用。</w:t>
      </w:r>
    </w:p>
    <w:p>
      <w:pPr>
        <w:pStyle w:val="BodyText"/>
        <w:spacing w:before="262" w:line="417" w:lineRule="auto"/>
        <w:ind w:left="398" w:right="492" w:firstLine="560"/>
      </w:pPr>
      <w:r>
        <w:rPr>
          <w:rFonts w:ascii="Times New Roman" w:eastAsia="Times New Roman"/>
          <w:spacing w:val="-2"/>
        </w:rPr>
        <w:t>8</w:t>
      </w:r>
      <w:r>
        <w:rPr>
          <w:spacing w:val="-2"/>
        </w:rPr>
        <w:t>、涂料不能冒雨进行施工，注意每天收听天气预报，预计有雨时应该停</w:t>
      </w:r>
      <w:r>
        <w:rPr>
          <w:spacing w:val="-2"/>
        </w:rPr>
        <w:t>止施工。风力四级以上时不能进行喷涂施工。</w:t>
      </w:r>
    </w:p>
    <w:p>
      <w:pPr>
        <w:pStyle w:val="Heading2"/>
        <w:spacing w:line="422" w:lineRule="exact"/>
        <w:ind w:left="958"/>
      </w:pPr>
      <w:r>
        <w:rPr>
          <w:spacing w:val="-1"/>
        </w:rPr>
        <w:t>三、质量通病及处理办法</w:t>
      </w:r>
    </w:p>
    <w:p>
      <w:pPr>
        <w:spacing w:after="0" w:line="422" w:lineRule="exact"/>
        <w:sectPr>
          <w:headerReference w:type="default" r:id="rId36"/>
          <w:footerReference w:type="default" r:id="rId37"/>
          <w:pgSz w:w="11910" w:h="16840"/>
          <w:pgMar w:top="1180" w:right="640" w:bottom="1600" w:left="1020" w:header="996" w:footer="1381"/>
          <w:pgNumType w:start="17"/>
          <w:cols w:space="708"/>
        </w:sectPr>
      </w:pPr>
    </w:p>
    <w:p>
      <w:pPr>
        <w:pStyle w:val="BodyText"/>
        <w:spacing w:before="5"/>
        <w:rPr>
          <w:rFonts w:ascii="Microsoft JhengHei"/>
          <w:b/>
          <w:sz w:val="6"/>
        </w:rPr>
      </w:pPr>
    </w:p>
    <w:p>
      <w:pPr>
        <w:pStyle w:val="ListParagraph"/>
        <w:numPr>
          <w:ilvl w:val="0"/>
          <w:numId w:val="15"/>
        </w:numPr>
        <w:tabs>
          <w:tab w:val="left" w:pos="1659"/>
        </w:tabs>
        <w:spacing w:before="70" w:after="0" w:line="417" w:lineRule="auto"/>
        <w:ind w:left="398" w:right="467" w:firstLine="560"/>
        <w:jc w:val="left"/>
        <w:rPr>
          <w:sz w:val="28"/>
        </w:rPr>
      </w:pPr>
      <w:r>
        <w:rPr>
          <w:spacing w:val="-2"/>
          <w:sz w:val="28"/>
        </w:rPr>
        <w:t>慢干和回粘：涂料刷涂后，漆膜超过规定时间仍末干，称为慢干。</w:t>
      </w:r>
      <w:r>
        <w:rPr>
          <w:spacing w:val="-2"/>
          <w:sz w:val="28"/>
        </w:rPr>
        <w:t>若漆膜已形成，但仍有粘指现象，称为回粘。</w:t>
      </w:r>
    </w:p>
    <w:p>
      <w:pPr>
        <w:pStyle w:val="BodyText"/>
        <w:rPr>
          <w:sz w:val="20"/>
        </w:rPr>
      </w:pPr>
    </w:p>
    <w:p>
      <w:pPr>
        <w:pStyle w:val="BodyText"/>
        <w:rPr>
          <w:sz w:val="20"/>
        </w:rPr>
      </w:pPr>
    </w:p>
    <w:p>
      <w:pPr>
        <w:pStyle w:val="BodyText"/>
        <w:rPr>
          <w:sz w:val="20"/>
        </w:rPr>
      </w:pPr>
    </w:p>
    <w:p>
      <w:pPr>
        <w:pStyle w:val="BodyText"/>
        <w:spacing w:before="10" w:after="1"/>
        <w:rPr>
          <w:sz w:val="26"/>
        </w:rPr>
      </w:pPr>
    </w:p>
    <w:tbl>
      <w:tblPr>
        <w:tblStyle w:val="TableNormal6"/>
        <w:tblW w:w="0" w:type="auto"/>
        <w:jc w:val="left"/>
        <w:tblInd w:w="9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140"/>
        <w:gridCol w:w="4320"/>
      </w:tblGrid>
      <w:tr>
        <w:tblPrEx>
          <w:tblW w:w="0" w:type="auto"/>
          <w:jc w:val="left"/>
          <w:tblInd w:w="9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624"/>
          <w:jc w:val="left"/>
        </w:trPr>
        <w:tc>
          <w:tcPr>
            <w:tcW w:w="4140" w:type="dxa"/>
          </w:tcPr>
          <w:p>
            <w:pPr>
              <w:pStyle w:val="TableParagraph"/>
              <w:spacing w:before="135"/>
              <w:ind w:left="668"/>
              <w:rPr>
                <w:sz w:val="28"/>
              </w:rPr>
            </w:pPr>
            <w:r>
              <w:rPr>
                <w:spacing w:val="-3"/>
                <w:sz w:val="28"/>
              </w:rPr>
              <w:t>质量通病</w:t>
            </w:r>
          </w:p>
        </w:tc>
        <w:tc>
          <w:tcPr>
            <w:tcW w:w="4320" w:type="dxa"/>
          </w:tcPr>
          <w:p>
            <w:pPr>
              <w:pStyle w:val="TableParagraph"/>
              <w:spacing w:before="135"/>
              <w:ind w:left="668"/>
              <w:rPr>
                <w:sz w:val="28"/>
              </w:rPr>
            </w:pPr>
            <w:r>
              <w:rPr>
                <w:spacing w:val="-3"/>
                <w:sz w:val="28"/>
              </w:rPr>
              <w:t>处理办法</w:t>
            </w:r>
          </w:p>
        </w:tc>
      </w:tr>
      <w:tr>
        <w:tblPrEx>
          <w:tblW w:w="0" w:type="auto"/>
          <w:jc w:val="left"/>
          <w:tblInd w:w="943" w:type="dxa"/>
          <w:tblLayout w:type="fixed"/>
          <w:tblCellMar>
            <w:top w:w="0" w:type="dxa"/>
            <w:left w:w="0" w:type="dxa"/>
            <w:bottom w:w="0" w:type="dxa"/>
            <w:right w:w="0" w:type="dxa"/>
          </w:tblCellMar>
          <w:tblLook w:val="01E0"/>
        </w:tblPrEx>
        <w:trPr>
          <w:trHeight w:val="624"/>
          <w:jc w:val="left"/>
        </w:trPr>
        <w:tc>
          <w:tcPr>
            <w:tcW w:w="4140" w:type="dxa"/>
          </w:tcPr>
          <w:p>
            <w:pPr>
              <w:pStyle w:val="TableParagraph"/>
              <w:spacing w:before="135"/>
              <w:ind w:left="668"/>
              <w:rPr>
                <w:sz w:val="28"/>
              </w:rPr>
            </w:pPr>
            <w:r>
              <w:rPr>
                <w:spacing w:val="-2"/>
                <w:sz w:val="28"/>
              </w:rPr>
              <w:t>刷涂的漆膜太厚</w:t>
            </w:r>
          </w:p>
        </w:tc>
        <w:tc>
          <w:tcPr>
            <w:tcW w:w="4320" w:type="dxa"/>
            <w:vMerge w:val="restart"/>
          </w:tcPr>
          <w:p>
            <w:pPr>
              <w:pStyle w:val="TableParagraph"/>
              <w:numPr>
                <w:ilvl w:val="0"/>
                <w:numId w:val="14"/>
              </w:numPr>
              <w:tabs>
                <w:tab w:val="left" w:pos="1092"/>
              </w:tabs>
              <w:spacing w:before="135" w:after="0" w:line="417" w:lineRule="auto"/>
              <w:ind w:left="108" w:right="96" w:firstLine="560"/>
              <w:jc w:val="left"/>
              <w:rPr>
                <w:sz w:val="28"/>
              </w:rPr>
            </w:pPr>
            <w:r>
              <w:rPr>
                <w:spacing w:val="-2"/>
                <w:sz w:val="28"/>
              </w:rPr>
              <w:t>对轻微的慢干和回粘，可</w:t>
            </w:r>
            <w:r>
              <w:rPr>
                <w:spacing w:val="-2"/>
                <w:sz w:val="28"/>
              </w:rPr>
              <w:t>加强通风，适当提高温度；</w:t>
            </w:r>
          </w:p>
          <w:p>
            <w:pPr>
              <w:pStyle w:val="TableParagraph"/>
              <w:numPr>
                <w:ilvl w:val="0"/>
                <w:numId w:val="14"/>
              </w:numPr>
              <w:tabs>
                <w:tab w:val="left" w:pos="1089"/>
              </w:tabs>
              <w:spacing w:before="0" w:after="0" w:line="417" w:lineRule="auto"/>
              <w:ind w:left="108" w:right="-44" w:firstLine="560"/>
              <w:jc w:val="left"/>
              <w:rPr>
                <w:sz w:val="28"/>
              </w:rPr>
            </w:pPr>
            <w:r>
              <w:rPr>
                <w:spacing w:val="-2"/>
                <w:sz w:val="28"/>
              </w:rPr>
              <w:t>慢干或回粘较严重的漆膜</w:t>
            </w:r>
            <w:r>
              <w:rPr>
                <w:spacing w:val="-2"/>
                <w:sz w:val="28"/>
              </w:rPr>
              <w:t>，要用强溶剂洗净，重新刷涂。</w:t>
            </w:r>
          </w:p>
        </w:tc>
      </w:tr>
      <w:tr>
        <w:tblPrEx>
          <w:tblW w:w="0" w:type="auto"/>
          <w:jc w:val="left"/>
          <w:tblInd w:w="943" w:type="dxa"/>
          <w:tblLayout w:type="fixed"/>
          <w:tblCellMar>
            <w:top w:w="0" w:type="dxa"/>
            <w:left w:w="0" w:type="dxa"/>
            <w:bottom w:w="0" w:type="dxa"/>
            <w:right w:w="0" w:type="dxa"/>
          </w:tblCellMar>
          <w:tblLook w:val="01E0"/>
        </w:tblPrEx>
        <w:trPr>
          <w:trHeight w:val="1248"/>
          <w:jc w:val="left"/>
        </w:trPr>
        <w:tc>
          <w:tcPr>
            <w:tcW w:w="4140" w:type="dxa"/>
          </w:tcPr>
          <w:p>
            <w:pPr>
              <w:pStyle w:val="TableParagraph"/>
              <w:spacing w:before="135"/>
              <w:ind w:left="668"/>
              <w:rPr>
                <w:sz w:val="28"/>
              </w:rPr>
            </w:pPr>
            <w:r>
              <w:rPr>
                <w:spacing w:val="-1"/>
                <w:sz w:val="28"/>
              </w:rPr>
              <w:t>前遍漆尚未干透又刷涂第二</w:t>
            </w:r>
          </w:p>
          <w:p>
            <w:pPr>
              <w:pStyle w:val="TableParagraph"/>
              <w:spacing w:before="8"/>
              <w:rPr>
                <w:sz w:val="20"/>
              </w:rPr>
            </w:pPr>
          </w:p>
          <w:p>
            <w:pPr>
              <w:pStyle w:val="TableParagraph"/>
              <w:spacing w:before="1"/>
              <w:ind w:left="108"/>
              <w:rPr>
                <w:sz w:val="28"/>
              </w:rPr>
            </w:pPr>
            <w:r>
              <w:rPr>
                <w:spacing w:val="-5"/>
                <w:sz w:val="28"/>
              </w:rPr>
              <w:t>遍漆</w:t>
            </w:r>
          </w:p>
        </w:tc>
        <w:tc>
          <w:tcPr>
            <w:tcW w:w="4320" w:type="dxa"/>
            <w:vMerge/>
            <w:tcBorders>
              <w:top w:val="nil"/>
            </w:tcBorders>
          </w:tcPr>
          <w:p>
            <w:pPr>
              <w:rPr>
                <w:sz w:val="2"/>
                <w:szCs w:val="2"/>
              </w:rPr>
            </w:pPr>
          </w:p>
        </w:tc>
      </w:tr>
      <w:tr>
        <w:tblPrEx>
          <w:tblW w:w="0" w:type="auto"/>
          <w:jc w:val="left"/>
          <w:tblInd w:w="943" w:type="dxa"/>
          <w:tblLayout w:type="fixed"/>
          <w:tblCellMar>
            <w:top w:w="0" w:type="dxa"/>
            <w:left w:w="0" w:type="dxa"/>
            <w:bottom w:w="0" w:type="dxa"/>
            <w:right w:w="0" w:type="dxa"/>
          </w:tblCellMar>
          <w:tblLook w:val="01E0"/>
        </w:tblPrEx>
        <w:trPr>
          <w:trHeight w:val="623"/>
          <w:jc w:val="left"/>
        </w:trPr>
        <w:tc>
          <w:tcPr>
            <w:tcW w:w="4140" w:type="dxa"/>
          </w:tcPr>
          <w:p>
            <w:pPr>
              <w:pStyle w:val="TableParagraph"/>
              <w:spacing w:before="135"/>
              <w:ind w:left="668"/>
              <w:rPr>
                <w:sz w:val="28"/>
              </w:rPr>
            </w:pPr>
            <w:r>
              <w:rPr>
                <w:spacing w:val="-2"/>
                <w:sz w:val="28"/>
              </w:rPr>
              <w:t>催干剂使用不当</w:t>
            </w:r>
          </w:p>
        </w:tc>
        <w:tc>
          <w:tcPr>
            <w:tcW w:w="4320" w:type="dxa"/>
            <w:vMerge/>
            <w:tcBorders>
              <w:top w:val="nil"/>
            </w:tcBorders>
          </w:tcPr>
          <w:p>
            <w:pPr>
              <w:rPr>
                <w:sz w:val="2"/>
                <w:szCs w:val="2"/>
              </w:rPr>
            </w:pPr>
          </w:p>
        </w:tc>
      </w:tr>
      <w:tr>
        <w:tblPrEx>
          <w:tblW w:w="0" w:type="auto"/>
          <w:jc w:val="left"/>
          <w:tblInd w:w="943" w:type="dxa"/>
          <w:tblLayout w:type="fixed"/>
          <w:tblCellMar>
            <w:top w:w="0" w:type="dxa"/>
            <w:left w:w="0" w:type="dxa"/>
            <w:bottom w:w="0" w:type="dxa"/>
            <w:right w:w="0" w:type="dxa"/>
          </w:tblCellMar>
          <w:tblLook w:val="01E0"/>
        </w:tblPrEx>
        <w:trPr>
          <w:trHeight w:val="623"/>
          <w:jc w:val="left"/>
        </w:trPr>
        <w:tc>
          <w:tcPr>
            <w:tcW w:w="4140" w:type="dxa"/>
          </w:tcPr>
          <w:p>
            <w:pPr>
              <w:pStyle w:val="TableParagraph"/>
              <w:spacing w:before="135"/>
              <w:ind w:left="668"/>
              <w:rPr>
                <w:sz w:val="28"/>
              </w:rPr>
            </w:pPr>
            <w:r>
              <w:rPr>
                <w:spacing w:val="-2"/>
                <w:sz w:val="28"/>
              </w:rPr>
              <w:t>基层表面不洁净</w:t>
            </w:r>
          </w:p>
        </w:tc>
        <w:tc>
          <w:tcPr>
            <w:tcW w:w="4320" w:type="dxa"/>
            <w:vMerge/>
            <w:tcBorders>
              <w:top w:val="nil"/>
            </w:tcBorders>
          </w:tcPr>
          <w:p>
            <w:pPr>
              <w:rPr>
                <w:sz w:val="2"/>
                <w:szCs w:val="2"/>
              </w:rPr>
            </w:pPr>
          </w:p>
        </w:tc>
      </w:tr>
      <w:tr>
        <w:tblPrEx>
          <w:tblW w:w="0" w:type="auto"/>
          <w:jc w:val="left"/>
          <w:tblInd w:w="943" w:type="dxa"/>
          <w:tblLayout w:type="fixed"/>
          <w:tblCellMar>
            <w:top w:w="0" w:type="dxa"/>
            <w:left w:w="0" w:type="dxa"/>
            <w:bottom w:w="0" w:type="dxa"/>
            <w:right w:w="0" w:type="dxa"/>
          </w:tblCellMar>
          <w:tblLook w:val="01E0"/>
        </w:tblPrEx>
        <w:trPr>
          <w:trHeight w:val="623"/>
          <w:jc w:val="left"/>
        </w:trPr>
        <w:tc>
          <w:tcPr>
            <w:tcW w:w="4140" w:type="dxa"/>
          </w:tcPr>
          <w:p>
            <w:pPr>
              <w:pStyle w:val="TableParagraph"/>
              <w:spacing w:before="135"/>
              <w:ind w:left="668"/>
              <w:rPr>
                <w:sz w:val="28"/>
              </w:rPr>
            </w:pPr>
            <w:r>
              <w:rPr>
                <w:spacing w:val="-2"/>
                <w:sz w:val="28"/>
              </w:rPr>
              <w:t>基层表面末完全干燥</w:t>
            </w:r>
          </w:p>
        </w:tc>
        <w:tc>
          <w:tcPr>
            <w:tcW w:w="4320" w:type="dxa"/>
            <w:vMerge/>
            <w:tcBorders>
              <w:top w:val="nil"/>
            </w:tcBorders>
          </w:tcPr>
          <w:p>
            <w:pPr>
              <w:rPr>
                <w:sz w:val="2"/>
                <w:szCs w:val="2"/>
              </w:rPr>
            </w:pPr>
          </w:p>
        </w:tc>
      </w:tr>
    </w:tbl>
    <w:p>
      <w:pPr>
        <w:pStyle w:val="ListParagraph"/>
        <w:numPr>
          <w:ilvl w:val="0"/>
          <w:numId w:val="15"/>
        </w:numPr>
        <w:tabs>
          <w:tab w:val="left" w:pos="1659"/>
        </w:tabs>
        <w:spacing w:before="138" w:after="0" w:line="240" w:lineRule="auto"/>
        <w:ind w:left="1659" w:right="0" w:hanging="701"/>
        <w:jc w:val="left"/>
        <w:rPr>
          <w:sz w:val="28"/>
        </w:rPr>
      </w:pPr>
      <w:r>
        <w:rPr>
          <w:spacing w:val="-1"/>
          <w:sz w:val="28"/>
        </w:rPr>
        <w:t>、粉化：涂料涂刷后漆膜变成粉状。</w:t>
      </w:r>
    </w:p>
    <w:p>
      <w:pPr>
        <w:pStyle w:val="BodyText"/>
        <w:spacing w:before="2"/>
        <w:rPr>
          <w:sz w:val="10"/>
        </w:rPr>
      </w:pPr>
    </w:p>
    <w:tbl>
      <w:tblPr>
        <w:tblStyle w:val="TableNormal6"/>
        <w:tblW w:w="0" w:type="auto"/>
        <w:jc w:val="left"/>
        <w:tblInd w:w="9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140"/>
        <w:gridCol w:w="4320"/>
      </w:tblGrid>
      <w:tr>
        <w:tblPrEx>
          <w:tblW w:w="0" w:type="auto"/>
          <w:jc w:val="left"/>
          <w:tblInd w:w="9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624"/>
          <w:jc w:val="left"/>
        </w:trPr>
        <w:tc>
          <w:tcPr>
            <w:tcW w:w="4140" w:type="dxa"/>
          </w:tcPr>
          <w:p>
            <w:pPr>
              <w:pStyle w:val="TableParagraph"/>
              <w:spacing w:before="135"/>
              <w:ind w:left="668"/>
              <w:rPr>
                <w:sz w:val="28"/>
              </w:rPr>
            </w:pPr>
            <w:r>
              <w:rPr>
                <w:spacing w:val="-3"/>
                <w:sz w:val="28"/>
              </w:rPr>
              <w:t>质量通病</w:t>
            </w:r>
          </w:p>
        </w:tc>
        <w:tc>
          <w:tcPr>
            <w:tcW w:w="4320" w:type="dxa"/>
          </w:tcPr>
          <w:p>
            <w:pPr>
              <w:pStyle w:val="TableParagraph"/>
              <w:spacing w:before="135"/>
              <w:ind w:left="668"/>
              <w:rPr>
                <w:sz w:val="28"/>
              </w:rPr>
            </w:pPr>
            <w:r>
              <w:rPr>
                <w:spacing w:val="-3"/>
                <w:sz w:val="28"/>
              </w:rPr>
              <w:t>处理办法</w:t>
            </w:r>
          </w:p>
        </w:tc>
      </w:tr>
      <w:tr>
        <w:tblPrEx>
          <w:tblW w:w="0" w:type="auto"/>
          <w:jc w:val="left"/>
          <w:tblInd w:w="943" w:type="dxa"/>
          <w:tblLayout w:type="fixed"/>
          <w:tblCellMar>
            <w:top w:w="0" w:type="dxa"/>
            <w:left w:w="0" w:type="dxa"/>
            <w:bottom w:w="0" w:type="dxa"/>
            <w:right w:w="0" w:type="dxa"/>
          </w:tblCellMar>
          <w:tblLook w:val="01E0"/>
        </w:tblPrEx>
        <w:trPr>
          <w:trHeight w:val="624"/>
          <w:jc w:val="left"/>
        </w:trPr>
        <w:tc>
          <w:tcPr>
            <w:tcW w:w="4140" w:type="dxa"/>
          </w:tcPr>
          <w:p>
            <w:pPr>
              <w:pStyle w:val="TableParagraph"/>
              <w:spacing w:before="135"/>
              <w:ind w:left="668"/>
              <w:rPr>
                <w:sz w:val="28"/>
              </w:rPr>
            </w:pPr>
            <w:r>
              <w:rPr>
                <w:spacing w:val="-2"/>
                <w:sz w:val="28"/>
              </w:rPr>
              <w:t>涂料树脂的耐候性差</w:t>
            </w:r>
          </w:p>
        </w:tc>
        <w:tc>
          <w:tcPr>
            <w:tcW w:w="4320" w:type="dxa"/>
            <w:vMerge w:val="restart"/>
          </w:tcPr>
          <w:p>
            <w:pPr>
              <w:pStyle w:val="TableParagraph"/>
              <w:numPr>
                <w:ilvl w:val="0"/>
                <w:numId w:val="13"/>
              </w:numPr>
              <w:tabs>
                <w:tab w:val="left" w:pos="1092"/>
              </w:tabs>
              <w:spacing w:before="135" w:after="0" w:line="417" w:lineRule="auto"/>
              <w:ind w:left="108" w:right="96" w:firstLine="560"/>
              <w:jc w:val="left"/>
              <w:rPr>
                <w:sz w:val="28"/>
              </w:rPr>
            </w:pPr>
            <w:r>
              <w:rPr>
                <w:spacing w:val="-2"/>
                <w:sz w:val="28"/>
              </w:rPr>
              <w:t>将粉化物清理干净，然后</w:t>
            </w:r>
            <w:r>
              <w:rPr>
                <w:spacing w:val="-2"/>
                <w:sz w:val="28"/>
              </w:rPr>
              <w:t>用性能好的油性封墙底漆打底；</w:t>
            </w:r>
          </w:p>
          <w:p>
            <w:pPr>
              <w:pStyle w:val="TableParagraph"/>
              <w:numPr>
                <w:ilvl w:val="0"/>
                <w:numId w:val="13"/>
              </w:numPr>
              <w:tabs>
                <w:tab w:val="left" w:pos="1092"/>
              </w:tabs>
              <w:spacing w:before="0" w:after="0" w:line="417" w:lineRule="auto"/>
              <w:ind w:left="108" w:right="96" w:firstLine="560"/>
              <w:jc w:val="left"/>
              <w:rPr>
                <w:sz w:val="28"/>
              </w:rPr>
            </w:pPr>
            <w:r>
              <w:rPr>
                <w:spacing w:val="-2"/>
                <w:sz w:val="28"/>
              </w:rPr>
              <w:t>涂刷二道耐候性较好的内</w:t>
            </w:r>
            <w:r>
              <w:rPr>
                <w:spacing w:val="-2"/>
                <w:sz w:val="28"/>
              </w:rPr>
              <w:t>外墙涂料。</w:t>
            </w:r>
          </w:p>
        </w:tc>
      </w:tr>
      <w:tr>
        <w:tblPrEx>
          <w:tblW w:w="0" w:type="auto"/>
          <w:jc w:val="left"/>
          <w:tblInd w:w="943" w:type="dxa"/>
          <w:tblLayout w:type="fixed"/>
          <w:tblCellMar>
            <w:top w:w="0" w:type="dxa"/>
            <w:left w:w="0" w:type="dxa"/>
            <w:bottom w:w="0" w:type="dxa"/>
            <w:right w:w="0" w:type="dxa"/>
          </w:tblCellMar>
          <w:tblLook w:val="01E0"/>
        </w:tblPrEx>
        <w:trPr>
          <w:trHeight w:val="624"/>
          <w:jc w:val="left"/>
        </w:trPr>
        <w:tc>
          <w:tcPr>
            <w:tcW w:w="4140" w:type="dxa"/>
          </w:tcPr>
          <w:p>
            <w:pPr>
              <w:pStyle w:val="TableParagraph"/>
              <w:spacing w:before="135"/>
              <w:ind w:left="668"/>
              <w:rPr>
                <w:sz w:val="28"/>
              </w:rPr>
            </w:pPr>
            <w:r>
              <w:rPr>
                <w:spacing w:val="-2"/>
                <w:sz w:val="28"/>
              </w:rPr>
              <w:t>墙体表面处理不良</w:t>
            </w:r>
          </w:p>
        </w:tc>
        <w:tc>
          <w:tcPr>
            <w:tcW w:w="4320" w:type="dxa"/>
            <w:vMerge/>
            <w:tcBorders>
              <w:top w:val="nil"/>
            </w:tcBorders>
          </w:tcPr>
          <w:p>
            <w:pPr>
              <w:rPr>
                <w:sz w:val="2"/>
                <w:szCs w:val="2"/>
              </w:rPr>
            </w:pPr>
          </w:p>
        </w:tc>
      </w:tr>
      <w:tr>
        <w:tblPrEx>
          <w:tblW w:w="0" w:type="auto"/>
          <w:jc w:val="left"/>
          <w:tblInd w:w="943" w:type="dxa"/>
          <w:tblLayout w:type="fixed"/>
          <w:tblCellMar>
            <w:top w:w="0" w:type="dxa"/>
            <w:left w:w="0" w:type="dxa"/>
            <w:bottom w:w="0" w:type="dxa"/>
            <w:right w:w="0" w:type="dxa"/>
          </w:tblCellMar>
          <w:tblLook w:val="01E0"/>
        </w:tblPrEx>
        <w:trPr>
          <w:trHeight w:val="1247"/>
          <w:jc w:val="left"/>
        </w:trPr>
        <w:tc>
          <w:tcPr>
            <w:tcW w:w="4140" w:type="dxa"/>
          </w:tcPr>
          <w:p>
            <w:pPr>
              <w:pStyle w:val="TableParagraph"/>
              <w:spacing w:before="135"/>
              <w:ind w:left="668"/>
              <w:rPr>
                <w:sz w:val="28"/>
              </w:rPr>
            </w:pPr>
            <w:r>
              <w:rPr>
                <w:spacing w:val="-1"/>
                <w:sz w:val="28"/>
              </w:rPr>
              <w:t>涂刷时温度过低，导致成膜</w:t>
            </w:r>
          </w:p>
          <w:p>
            <w:pPr>
              <w:pStyle w:val="TableParagraph"/>
              <w:spacing w:before="8"/>
              <w:rPr>
                <w:sz w:val="20"/>
              </w:rPr>
            </w:pPr>
          </w:p>
          <w:p>
            <w:pPr>
              <w:pStyle w:val="TableParagraph"/>
              <w:spacing w:before="1"/>
              <w:ind w:left="108"/>
              <w:rPr>
                <w:sz w:val="28"/>
              </w:rPr>
            </w:pPr>
            <w:r>
              <w:rPr>
                <w:spacing w:val="-5"/>
                <w:sz w:val="28"/>
              </w:rPr>
              <w:t>不好</w:t>
            </w:r>
          </w:p>
        </w:tc>
        <w:tc>
          <w:tcPr>
            <w:tcW w:w="4320" w:type="dxa"/>
            <w:vMerge/>
            <w:tcBorders>
              <w:top w:val="nil"/>
            </w:tcBorders>
          </w:tcPr>
          <w:p>
            <w:pPr>
              <w:rPr>
                <w:sz w:val="2"/>
                <w:szCs w:val="2"/>
              </w:rPr>
            </w:pPr>
          </w:p>
        </w:tc>
      </w:tr>
      <w:tr>
        <w:tblPrEx>
          <w:tblW w:w="0" w:type="auto"/>
          <w:jc w:val="left"/>
          <w:tblInd w:w="943" w:type="dxa"/>
          <w:tblLayout w:type="fixed"/>
          <w:tblCellMar>
            <w:top w:w="0" w:type="dxa"/>
            <w:left w:w="0" w:type="dxa"/>
            <w:bottom w:w="0" w:type="dxa"/>
            <w:right w:w="0" w:type="dxa"/>
          </w:tblCellMar>
          <w:tblLook w:val="01E0"/>
        </w:tblPrEx>
        <w:trPr>
          <w:trHeight w:val="623"/>
          <w:jc w:val="left"/>
        </w:trPr>
        <w:tc>
          <w:tcPr>
            <w:tcW w:w="4140" w:type="dxa"/>
          </w:tcPr>
          <w:p>
            <w:pPr>
              <w:pStyle w:val="TableParagraph"/>
              <w:spacing w:before="135"/>
              <w:ind w:left="668"/>
              <w:rPr>
                <w:sz w:val="28"/>
              </w:rPr>
            </w:pPr>
            <w:r>
              <w:rPr>
                <w:spacing w:val="-2"/>
                <w:sz w:val="28"/>
              </w:rPr>
              <w:t>涂刷时涂料掺水太多</w:t>
            </w:r>
          </w:p>
        </w:tc>
        <w:tc>
          <w:tcPr>
            <w:tcW w:w="4320" w:type="dxa"/>
            <w:vMerge/>
            <w:tcBorders>
              <w:top w:val="nil"/>
            </w:tcBorders>
          </w:tcPr>
          <w:p>
            <w:pPr>
              <w:rPr>
                <w:sz w:val="2"/>
                <w:szCs w:val="2"/>
              </w:rPr>
            </w:pPr>
          </w:p>
        </w:tc>
      </w:tr>
    </w:tbl>
    <w:p>
      <w:pPr>
        <w:pStyle w:val="ListParagraph"/>
        <w:numPr>
          <w:ilvl w:val="0"/>
          <w:numId w:val="15"/>
        </w:numPr>
        <w:tabs>
          <w:tab w:val="left" w:pos="1659"/>
        </w:tabs>
        <w:spacing w:before="137" w:after="0" w:line="240" w:lineRule="auto"/>
        <w:ind w:left="1659" w:right="0" w:hanging="701"/>
        <w:jc w:val="left"/>
        <w:rPr>
          <w:sz w:val="28"/>
        </w:rPr>
      </w:pPr>
      <w:r>
        <w:rPr>
          <w:spacing w:val="-2"/>
          <w:sz w:val="28"/>
        </w:rPr>
        <w:t>、变色和褪色：</w:t>
      </w:r>
    </w:p>
    <w:p>
      <w:pPr>
        <w:pStyle w:val="BodyText"/>
        <w:spacing w:before="2"/>
        <w:rPr>
          <w:sz w:val="10"/>
        </w:rPr>
      </w:pPr>
    </w:p>
    <w:tbl>
      <w:tblPr>
        <w:tblStyle w:val="TableNormal6"/>
        <w:tblW w:w="0" w:type="auto"/>
        <w:jc w:val="left"/>
        <w:tblInd w:w="9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140"/>
        <w:gridCol w:w="4320"/>
      </w:tblGrid>
      <w:tr>
        <w:tblPrEx>
          <w:tblW w:w="0" w:type="auto"/>
          <w:jc w:val="left"/>
          <w:tblInd w:w="9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624"/>
          <w:jc w:val="left"/>
        </w:trPr>
        <w:tc>
          <w:tcPr>
            <w:tcW w:w="4140" w:type="dxa"/>
          </w:tcPr>
          <w:p>
            <w:pPr>
              <w:pStyle w:val="TableParagraph"/>
              <w:spacing w:before="135"/>
              <w:ind w:left="668"/>
              <w:rPr>
                <w:sz w:val="28"/>
              </w:rPr>
            </w:pPr>
            <w:r>
              <w:rPr>
                <w:spacing w:val="-3"/>
                <w:sz w:val="28"/>
              </w:rPr>
              <w:t>质量通病</w:t>
            </w:r>
          </w:p>
        </w:tc>
        <w:tc>
          <w:tcPr>
            <w:tcW w:w="4320" w:type="dxa"/>
          </w:tcPr>
          <w:p>
            <w:pPr>
              <w:pStyle w:val="TableParagraph"/>
              <w:spacing w:before="135"/>
              <w:ind w:left="668"/>
              <w:rPr>
                <w:sz w:val="28"/>
              </w:rPr>
            </w:pPr>
            <w:r>
              <w:rPr>
                <w:spacing w:val="-3"/>
                <w:sz w:val="28"/>
              </w:rPr>
              <w:t>处理办法</w:t>
            </w:r>
          </w:p>
        </w:tc>
      </w:tr>
      <w:tr>
        <w:tblPrEx>
          <w:tblW w:w="0" w:type="auto"/>
          <w:jc w:val="left"/>
          <w:tblInd w:w="943" w:type="dxa"/>
          <w:tblLayout w:type="fixed"/>
          <w:tblCellMar>
            <w:top w:w="0" w:type="dxa"/>
            <w:left w:w="0" w:type="dxa"/>
            <w:bottom w:w="0" w:type="dxa"/>
            <w:right w:w="0" w:type="dxa"/>
          </w:tblCellMar>
          <w:tblLook w:val="01E0"/>
        </w:tblPrEx>
        <w:trPr>
          <w:trHeight w:val="1248"/>
          <w:jc w:val="left"/>
        </w:trPr>
        <w:tc>
          <w:tcPr>
            <w:tcW w:w="4140" w:type="dxa"/>
          </w:tcPr>
          <w:p>
            <w:pPr>
              <w:pStyle w:val="TableParagraph"/>
              <w:spacing w:before="135"/>
              <w:ind w:right="96"/>
              <w:jc w:val="right"/>
              <w:rPr>
                <w:sz w:val="28"/>
              </w:rPr>
            </w:pPr>
            <w:r>
              <w:rPr>
                <w:spacing w:val="-1"/>
                <w:sz w:val="28"/>
              </w:rPr>
              <w:t>底材中湿度过高，水溶性盐</w:t>
            </w:r>
          </w:p>
          <w:p>
            <w:pPr>
              <w:pStyle w:val="TableParagraph"/>
              <w:spacing w:before="8"/>
              <w:rPr>
                <w:sz w:val="20"/>
              </w:rPr>
            </w:pPr>
          </w:p>
          <w:p>
            <w:pPr>
              <w:pStyle w:val="TableParagraph"/>
              <w:spacing w:before="1"/>
              <w:ind w:right="101"/>
              <w:jc w:val="right"/>
              <w:rPr>
                <w:sz w:val="28"/>
              </w:rPr>
            </w:pPr>
            <w:r>
              <w:rPr>
                <w:spacing w:val="-1"/>
                <w:sz w:val="28"/>
              </w:rPr>
              <w:t>结晶在墙的表面造成变色及褪色</w:t>
            </w:r>
          </w:p>
        </w:tc>
        <w:tc>
          <w:tcPr>
            <w:tcW w:w="4320" w:type="dxa"/>
          </w:tcPr>
          <w:p>
            <w:pPr>
              <w:pStyle w:val="TableParagraph"/>
              <w:spacing w:before="135"/>
              <w:ind w:right="96"/>
              <w:jc w:val="right"/>
              <w:rPr>
                <w:sz w:val="28"/>
              </w:rPr>
            </w:pPr>
            <w:r>
              <w:rPr>
                <w:spacing w:val="13"/>
                <w:sz w:val="28"/>
              </w:rPr>
              <w:t>先将出现问题的表面擦去或</w:t>
            </w:r>
          </w:p>
          <w:p>
            <w:pPr>
              <w:pStyle w:val="TableParagraph"/>
              <w:spacing w:before="8"/>
              <w:rPr>
                <w:sz w:val="20"/>
              </w:rPr>
            </w:pPr>
          </w:p>
          <w:p>
            <w:pPr>
              <w:pStyle w:val="TableParagraph"/>
              <w:spacing w:before="1"/>
              <w:ind w:right="96"/>
              <w:jc w:val="right"/>
              <w:rPr>
                <w:sz w:val="28"/>
              </w:rPr>
            </w:pPr>
            <w:r>
              <w:rPr>
                <w:spacing w:val="-9"/>
                <w:sz w:val="28"/>
              </w:rPr>
              <w:t>铲去，让水泥完全风干，然后加涂</w:t>
            </w:r>
          </w:p>
        </w:tc>
      </w:tr>
    </w:tbl>
    <w:p>
      <w:pPr>
        <w:spacing w:after="0"/>
        <w:jc w:val="right"/>
        <w:rPr>
          <w:sz w:val="28"/>
        </w:rPr>
        <w:sectPr>
          <w:headerReference w:type="default" r:id="rId38"/>
          <w:footerReference w:type="default" r:id="rId39"/>
          <w:pgSz w:w="11910" w:h="16840"/>
          <w:pgMar w:top="1180" w:right="640" w:bottom="1600" w:left="1020" w:header="996" w:footer="1381"/>
          <w:pgNumType w:start="18"/>
          <w:cols w:space="708"/>
        </w:sectPr>
      </w:pPr>
    </w:p>
    <w:p>
      <w:pPr>
        <w:pStyle w:val="BodyText"/>
        <w:spacing w:before="12"/>
        <w:rPr>
          <w:sz w:val="3"/>
        </w:rPr>
      </w:pPr>
    </w:p>
    <w:tbl>
      <w:tblPr>
        <w:tblStyle w:val="TableNormal7"/>
        <w:tblW w:w="0" w:type="auto"/>
        <w:jc w:val="left"/>
        <w:tblInd w:w="9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140"/>
        <w:gridCol w:w="4320"/>
      </w:tblGrid>
      <w:tr>
        <w:tblPrEx>
          <w:tblW w:w="0" w:type="auto"/>
          <w:jc w:val="left"/>
          <w:tblInd w:w="9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1248"/>
          <w:jc w:val="left"/>
        </w:trPr>
        <w:tc>
          <w:tcPr>
            <w:tcW w:w="4140" w:type="dxa"/>
          </w:tcPr>
          <w:p>
            <w:pPr>
              <w:pStyle w:val="TableParagraph"/>
              <w:spacing w:before="135"/>
              <w:ind w:left="668"/>
              <w:rPr>
                <w:sz w:val="28"/>
              </w:rPr>
            </w:pPr>
            <w:r>
              <w:rPr>
                <w:spacing w:val="-1"/>
                <w:sz w:val="28"/>
              </w:rPr>
              <w:t>基底材料有碱性，侵害了抗</w:t>
            </w:r>
          </w:p>
          <w:p>
            <w:pPr>
              <w:pStyle w:val="TableParagraph"/>
              <w:spacing w:before="8"/>
              <w:rPr>
                <w:sz w:val="20"/>
              </w:rPr>
            </w:pPr>
          </w:p>
          <w:p>
            <w:pPr>
              <w:pStyle w:val="TableParagraph"/>
              <w:spacing w:before="1"/>
              <w:ind w:left="108"/>
              <w:rPr>
                <w:sz w:val="28"/>
              </w:rPr>
            </w:pPr>
            <w:r>
              <w:rPr>
                <w:spacing w:val="-2"/>
                <w:sz w:val="28"/>
              </w:rPr>
              <w:t>碱性弱的颜料或树脂</w:t>
            </w:r>
          </w:p>
        </w:tc>
        <w:tc>
          <w:tcPr>
            <w:tcW w:w="4320" w:type="dxa"/>
            <w:vMerge w:val="restart"/>
          </w:tcPr>
          <w:p>
            <w:pPr>
              <w:pStyle w:val="TableParagraph"/>
              <w:spacing w:before="135"/>
              <w:ind w:left="108"/>
              <w:rPr>
                <w:sz w:val="28"/>
              </w:rPr>
            </w:pPr>
            <w:r>
              <w:rPr>
                <w:spacing w:val="-1"/>
                <w:sz w:val="28"/>
              </w:rPr>
              <w:t>一层水性或油性封墙底漆。</w:t>
            </w:r>
          </w:p>
        </w:tc>
      </w:tr>
      <w:tr>
        <w:tblPrEx>
          <w:tblW w:w="0" w:type="auto"/>
          <w:jc w:val="left"/>
          <w:tblInd w:w="943" w:type="dxa"/>
          <w:tblLayout w:type="fixed"/>
          <w:tblCellMar>
            <w:top w:w="0" w:type="dxa"/>
            <w:left w:w="0" w:type="dxa"/>
            <w:bottom w:w="0" w:type="dxa"/>
            <w:right w:w="0" w:type="dxa"/>
          </w:tblCellMar>
          <w:tblLook w:val="01E0"/>
        </w:tblPrEx>
        <w:trPr>
          <w:trHeight w:val="624"/>
          <w:jc w:val="left"/>
        </w:trPr>
        <w:tc>
          <w:tcPr>
            <w:tcW w:w="4140" w:type="dxa"/>
          </w:tcPr>
          <w:p>
            <w:pPr>
              <w:pStyle w:val="TableParagraph"/>
              <w:spacing w:before="135"/>
              <w:ind w:left="668"/>
              <w:rPr>
                <w:sz w:val="28"/>
              </w:rPr>
            </w:pPr>
            <w:r>
              <w:rPr>
                <w:spacing w:val="-3"/>
                <w:sz w:val="28"/>
              </w:rPr>
              <w:t>气候恶劣</w:t>
            </w:r>
          </w:p>
        </w:tc>
        <w:tc>
          <w:tcPr>
            <w:tcW w:w="4320" w:type="dxa"/>
            <w:vMerge/>
            <w:tcBorders>
              <w:top w:val="nil"/>
            </w:tcBorders>
          </w:tcPr>
          <w:p>
            <w:pPr>
              <w:rPr>
                <w:sz w:val="2"/>
                <w:szCs w:val="2"/>
              </w:rPr>
            </w:pPr>
          </w:p>
        </w:tc>
      </w:tr>
      <w:tr>
        <w:tblPrEx>
          <w:tblW w:w="0" w:type="auto"/>
          <w:jc w:val="left"/>
          <w:tblInd w:w="943" w:type="dxa"/>
          <w:tblLayout w:type="fixed"/>
          <w:tblCellMar>
            <w:top w:w="0" w:type="dxa"/>
            <w:left w:w="0" w:type="dxa"/>
            <w:bottom w:w="0" w:type="dxa"/>
            <w:right w:w="0" w:type="dxa"/>
          </w:tblCellMar>
          <w:tblLook w:val="01E0"/>
        </w:tblPrEx>
        <w:trPr>
          <w:trHeight w:val="623"/>
          <w:jc w:val="left"/>
        </w:trPr>
        <w:tc>
          <w:tcPr>
            <w:tcW w:w="4140" w:type="dxa"/>
          </w:tcPr>
          <w:p>
            <w:pPr>
              <w:pStyle w:val="TableParagraph"/>
              <w:spacing w:before="135"/>
              <w:ind w:left="668"/>
              <w:rPr>
                <w:sz w:val="28"/>
              </w:rPr>
            </w:pPr>
            <w:r>
              <w:rPr>
                <w:spacing w:val="-2"/>
                <w:sz w:val="28"/>
              </w:rPr>
              <w:t>涂料选材不当</w:t>
            </w:r>
          </w:p>
        </w:tc>
        <w:tc>
          <w:tcPr>
            <w:tcW w:w="4320" w:type="dxa"/>
            <w:vMerge/>
            <w:tcBorders>
              <w:top w:val="nil"/>
            </w:tcBorders>
          </w:tcPr>
          <w:p>
            <w:pPr>
              <w:rPr>
                <w:sz w:val="2"/>
                <w:szCs w:val="2"/>
              </w:rPr>
            </w:pPr>
          </w:p>
        </w:tc>
      </w:tr>
    </w:tbl>
    <w:p>
      <w:pPr>
        <w:pStyle w:val="ListParagraph"/>
        <w:numPr>
          <w:ilvl w:val="0"/>
          <w:numId w:val="15"/>
        </w:numPr>
        <w:tabs>
          <w:tab w:val="left" w:pos="1659"/>
        </w:tabs>
        <w:spacing w:before="136" w:after="0" w:line="240" w:lineRule="auto"/>
        <w:ind w:left="1659" w:right="0" w:hanging="701"/>
        <w:jc w:val="left"/>
        <w:rPr>
          <w:sz w:val="28"/>
        </w:rPr>
      </w:pPr>
      <w:r>
        <w:rPr>
          <w:spacing w:val="-2"/>
          <w:sz w:val="28"/>
        </w:rPr>
        <w:t>、起皮和剥落：</w:t>
      </w:r>
    </w:p>
    <w:p>
      <w:pPr>
        <w:pStyle w:val="BodyText"/>
        <w:spacing w:before="2"/>
        <w:rPr>
          <w:sz w:val="10"/>
        </w:rPr>
      </w:pPr>
    </w:p>
    <w:tbl>
      <w:tblPr>
        <w:tblStyle w:val="TableNormal7"/>
        <w:tblW w:w="0" w:type="auto"/>
        <w:jc w:val="left"/>
        <w:tblInd w:w="9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715"/>
        <w:gridCol w:w="1425"/>
        <w:gridCol w:w="4320"/>
      </w:tblGrid>
      <w:tr>
        <w:tblPrEx>
          <w:tblW w:w="0" w:type="auto"/>
          <w:jc w:val="left"/>
          <w:tblInd w:w="9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624"/>
          <w:jc w:val="left"/>
        </w:trPr>
        <w:tc>
          <w:tcPr>
            <w:tcW w:w="4140" w:type="dxa"/>
            <w:gridSpan w:val="2"/>
          </w:tcPr>
          <w:p>
            <w:pPr>
              <w:pStyle w:val="TableParagraph"/>
              <w:spacing w:before="135"/>
              <w:ind w:left="668"/>
              <w:rPr>
                <w:sz w:val="28"/>
              </w:rPr>
            </w:pPr>
            <w:r>
              <w:rPr>
                <w:spacing w:val="-3"/>
                <w:sz w:val="28"/>
              </w:rPr>
              <w:t>质量通病</w:t>
            </w:r>
          </w:p>
        </w:tc>
        <w:tc>
          <w:tcPr>
            <w:tcW w:w="4320" w:type="dxa"/>
          </w:tcPr>
          <w:p>
            <w:pPr>
              <w:pStyle w:val="TableParagraph"/>
              <w:spacing w:before="135"/>
              <w:ind w:left="668"/>
              <w:rPr>
                <w:sz w:val="28"/>
              </w:rPr>
            </w:pPr>
            <w:r>
              <w:rPr>
                <w:spacing w:val="-3"/>
                <w:sz w:val="28"/>
              </w:rPr>
              <w:t>处理办法</w:t>
            </w:r>
          </w:p>
        </w:tc>
      </w:tr>
      <w:tr>
        <w:tblPrEx>
          <w:tblW w:w="0" w:type="auto"/>
          <w:jc w:val="left"/>
          <w:tblInd w:w="943" w:type="dxa"/>
          <w:tblLayout w:type="fixed"/>
          <w:tblCellMar>
            <w:top w:w="0" w:type="dxa"/>
            <w:left w:w="0" w:type="dxa"/>
            <w:bottom w:w="0" w:type="dxa"/>
            <w:right w:w="0" w:type="dxa"/>
          </w:tblCellMar>
          <w:tblLook w:val="01E0"/>
        </w:tblPrEx>
        <w:trPr>
          <w:trHeight w:val="1248"/>
          <w:jc w:val="left"/>
        </w:trPr>
        <w:tc>
          <w:tcPr>
            <w:tcW w:w="2715" w:type="dxa"/>
          </w:tcPr>
          <w:p>
            <w:pPr>
              <w:pStyle w:val="TableParagraph"/>
              <w:spacing w:before="135"/>
              <w:ind w:left="668"/>
              <w:rPr>
                <w:sz w:val="28"/>
              </w:rPr>
            </w:pPr>
            <w:r>
              <w:rPr>
                <w:spacing w:val="40"/>
                <w:sz w:val="28"/>
              </w:rPr>
              <w:t>基底材料湿度</w:t>
            </w:r>
          </w:p>
          <w:p>
            <w:pPr>
              <w:pStyle w:val="TableParagraph"/>
              <w:spacing w:before="8"/>
              <w:rPr>
                <w:sz w:val="20"/>
              </w:rPr>
            </w:pPr>
          </w:p>
          <w:p>
            <w:pPr>
              <w:pStyle w:val="TableParagraph"/>
              <w:spacing w:before="1"/>
              <w:ind w:left="108"/>
              <w:rPr>
                <w:sz w:val="28"/>
              </w:rPr>
            </w:pPr>
            <w:r>
              <w:rPr>
                <w:spacing w:val="-5"/>
                <w:sz w:val="28"/>
              </w:rPr>
              <w:t>太高</w:t>
            </w:r>
          </w:p>
        </w:tc>
        <w:tc>
          <w:tcPr>
            <w:tcW w:w="1425" w:type="dxa"/>
            <w:vMerge w:val="restart"/>
          </w:tcPr>
          <w:p>
            <w:pPr>
              <w:pStyle w:val="TableParagraph"/>
              <w:spacing w:before="135" w:line="417" w:lineRule="auto"/>
              <w:ind w:left="108" w:right="95" w:firstLine="560"/>
              <w:jc w:val="both"/>
              <w:rPr>
                <w:sz w:val="28"/>
              </w:rPr>
            </w:pPr>
            <w:r>
              <w:rPr>
                <w:spacing w:val="-20"/>
                <w:sz w:val="28"/>
              </w:rPr>
              <w:t>会 造</w:t>
            </w:r>
            <w:r>
              <w:rPr>
                <w:spacing w:val="18"/>
                <w:sz w:val="28"/>
              </w:rPr>
              <w:t>成漆膜脱</w:t>
            </w:r>
            <w:r>
              <w:rPr>
                <w:spacing w:val="18"/>
                <w:sz w:val="28"/>
              </w:rPr>
              <w:t>离基层表</w:t>
            </w:r>
            <w:r>
              <w:rPr>
                <w:spacing w:val="-10"/>
                <w:sz w:val="28"/>
              </w:rPr>
              <w:t>面</w:t>
            </w:r>
          </w:p>
        </w:tc>
        <w:tc>
          <w:tcPr>
            <w:tcW w:w="4320" w:type="dxa"/>
            <w:vMerge w:val="restart"/>
          </w:tcPr>
          <w:p>
            <w:pPr>
              <w:pStyle w:val="TableParagraph"/>
              <w:spacing w:before="135" w:line="417" w:lineRule="auto"/>
              <w:ind w:left="108" w:right="96" w:firstLine="560"/>
              <w:jc w:val="both"/>
              <w:rPr>
                <w:sz w:val="28"/>
              </w:rPr>
            </w:pPr>
            <w:r>
              <w:rPr>
                <w:spacing w:val="-12"/>
                <w:sz w:val="28"/>
              </w:rPr>
              <w:t>先检查墙体是否渗漏，若有渗</w:t>
            </w:r>
            <w:r>
              <w:rPr>
                <w:spacing w:val="-8"/>
                <w:sz w:val="28"/>
              </w:rPr>
              <w:t>漏，应先解决渗漏问题。然后将脱</w:t>
            </w:r>
            <w:r>
              <w:rPr>
                <w:spacing w:val="-11"/>
                <w:sz w:val="28"/>
              </w:rPr>
              <w:t>落的漆及松动物质剥除，在有毛病</w:t>
            </w:r>
            <w:r>
              <w:rPr>
                <w:spacing w:val="-10"/>
                <w:sz w:val="28"/>
              </w:rPr>
              <w:t>的表面补上耐久性强的腻子，再用</w:t>
            </w:r>
            <w:r>
              <w:rPr>
                <w:spacing w:val="-2"/>
                <w:sz w:val="28"/>
              </w:rPr>
              <w:t>油性封墙底漆打底。</w:t>
            </w:r>
          </w:p>
        </w:tc>
      </w:tr>
      <w:tr>
        <w:tblPrEx>
          <w:tblW w:w="0" w:type="auto"/>
          <w:jc w:val="left"/>
          <w:tblInd w:w="943" w:type="dxa"/>
          <w:tblLayout w:type="fixed"/>
          <w:tblCellMar>
            <w:top w:w="0" w:type="dxa"/>
            <w:left w:w="0" w:type="dxa"/>
            <w:bottom w:w="0" w:type="dxa"/>
            <w:right w:w="0" w:type="dxa"/>
          </w:tblCellMar>
          <w:tblLook w:val="01E0"/>
        </w:tblPrEx>
        <w:trPr>
          <w:trHeight w:val="1247"/>
          <w:jc w:val="left"/>
        </w:trPr>
        <w:tc>
          <w:tcPr>
            <w:tcW w:w="2715" w:type="dxa"/>
          </w:tcPr>
          <w:p>
            <w:pPr>
              <w:pStyle w:val="TableParagraph"/>
              <w:spacing w:before="135"/>
              <w:ind w:left="668"/>
              <w:rPr>
                <w:sz w:val="28"/>
              </w:rPr>
            </w:pPr>
            <w:r>
              <w:rPr>
                <w:spacing w:val="40"/>
                <w:sz w:val="28"/>
              </w:rPr>
              <w:t>表面处理不干</w:t>
            </w:r>
          </w:p>
          <w:p>
            <w:pPr>
              <w:pStyle w:val="TableParagraph"/>
              <w:spacing w:before="8"/>
              <w:rPr>
                <w:sz w:val="20"/>
              </w:rPr>
            </w:pPr>
          </w:p>
          <w:p>
            <w:pPr>
              <w:pStyle w:val="TableParagraph"/>
              <w:spacing w:before="1"/>
              <w:ind w:left="108"/>
              <w:rPr>
                <w:sz w:val="28"/>
              </w:rPr>
            </w:pPr>
            <w:r>
              <w:rPr>
                <w:sz w:val="28"/>
              </w:rPr>
              <w:t>净</w:t>
            </w:r>
          </w:p>
        </w:tc>
        <w:tc>
          <w:tcPr>
            <w:tcW w:w="1425" w:type="dxa"/>
            <w:vMerge/>
            <w:tcBorders>
              <w:top w:val="nil"/>
            </w:tcBorders>
          </w:tcPr>
          <w:p>
            <w:pPr>
              <w:rPr>
                <w:sz w:val="2"/>
                <w:szCs w:val="2"/>
              </w:rPr>
            </w:pPr>
          </w:p>
        </w:tc>
        <w:tc>
          <w:tcPr>
            <w:tcW w:w="4320" w:type="dxa"/>
            <w:vMerge/>
            <w:tcBorders>
              <w:top w:val="nil"/>
            </w:tcBorders>
          </w:tcPr>
          <w:p>
            <w:pPr>
              <w:rPr>
                <w:sz w:val="2"/>
                <w:szCs w:val="2"/>
              </w:rPr>
            </w:pPr>
          </w:p>
        </w:tc>
      </w:tr>
      <w:tr>
        <w:tblPrEx>
          <w:tblW w:w="0" w:type="auto"/>
          <w:jc w:val="left"/>
          <w:tblInd w:w="943" w:type="dxa"/>
          <w:tblLayout w:type="fixed"/>
          <w:tblCellMar>
            <w:top w:w="0" w:type="dxa"/>
            <w:left w:w="0" w:type="dxa"/>
            <w:bottom w:w="0" w:type="dxa"/>
            <w:right w:w="0" w:type="dxa"/>
          </w:tblCellMar>
          <w:tblLook w:val="01E0"/>
        </w:tblPrEx>
        <w:trPr>
          <w:trHeight w:val="1247"/>
          <w:jc w:val="left"/>
        </w:trPr>
        <w:tc>
          <w:tcPr>
            <w:tcW w:w="2715" w:type="dxa"/>
          </w:tcPr>
          <w:p>
            <w:pPr>
              <w:pStyle w:val="TableParagraph"/>
              <w:spacing w:before="135"/>
              <w:ind w:left="668"/>
              <w:rPr>
                <w:sz w:val="28"/>
              </w:rPr>
            </w:pPr>
            <w:r>
              <w:rPr>
                <w:spacing w:val="40"/>
                <w:sz w:val="28"/>
              </w:rPr>
              <w:t>刷涂方法不正</w:t>
            </w:r>
          </w:p>
          <w:p>
            <w:pPr>
              <w:pStyle w:val="TableParagraph"/>
              <w:spacing w:before="8"/>
              <w:rPr>
                <w:sz w:val="20"/>
              </w:rPr>
            </w:pPr>
          </w:p>
          <w:p>
            <w:pPr>
              <w:pStyle w:val="TableParagraph"/>
              <w:spacing w:before="1"/>
              <w:ind w:left="108"/>
              <w:rPr>
                <w:sz w:val="28"/>
              </w:rPr>
            </w:pPr>
            <w:r>
              <w:rPr>
                <w:spacing w:val="-2"/>
                <w:sz w:val="28"/>
              </w:rPr>
              <w:t>确或使用劣质底漆</w:t>
            </w:r>
          </w:p>
        </w:tc>
        <w:tc>
          <w:tcPr>
            <w:tcW w:w="1425" w:type="dxa"/>
            <w:vMerge/>
            <w:tcBorders>
              <w:top w:val="nil"/>
            </w:tcBorders>
          </w:tcPr>
          <w:p>
            <w:pPr>
              <w:rPr>
                <w:sz w:val="2"/>
                <w:szCs w:val="2"/>
              </w:rPr>
            </w:pPr>
          </w:p>
        </w:tc>
        <w:tc>
          <w:tcPr>
            <w:tcW w:w="4320" w:type="dxa"/>
            <w:vMerge/>
            <w:tcBorders>
              <w:top w:val="nil"/>
            </w:tcBorders>
          </w:tcPr>
          <w:p>
            <w:pPr>
              <w:rPr>
                <w:sz w:val="2"/>
                <w:szCs w:val="2"/>
              </w:rPr>
            </w:pPr>
          </w:p>
        </w:tc>
      </w:tr>
    </w:tbl>
    <w:p>
      <w:pPr>
        <w:pStyle w:val="ListParagraph"/>
        <w:numPr>
          <w:ilvl w:val="0"/>
          <w:numId w:val="15"/>
        </w:numPr>
        <w:tabs>
          <w:tab w:val="left" w:pos="1663"/>
        </w:tabs>
        <w:spacing w:before="137" w:after="0" w:line="417" w:lineRule="auto"/>
        <w:ind w:left="398" w:right="492" w:firstLine="560"/>
        <w:jc w:val="left"/>
        <w:rPr>
          <w:sz w:val="28"/>
        </w:rPr>
      </w:pPr>
      <w:r>
        <w:pict>
          <v:shape id="_x0000_s1026" type="#_x0000_t202" style="width:423.5pt;height:220.85pt;margin-top:62.51pt;margin-left:97.65pt;mso-position-horizontal-relative:page;position:absolute;z-index:251659264" filled="f" stroked="f">
            <v:textbox inset="0,0,0,0">
              <w:txbxContent>
                <w:tbl>
                  <w:tblPr>
                    <w:tblStyle w:val="TableNormal7"/>
                    <w:tblW w:w="0" w:type="auto"/>
                    <w:jc w:val="left"/>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140"/>
                    <w:gridCol w:w="4320"/>
                  </w:tblGrid>
                  <w:tr>
                    <w:tblPrEx>
                      <w:tblW w:w="0" w:type="auto"/>
                      <w:jc w:val="left"/>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624"/>
                      <w:jc w:val="left"/>
                    </w:trPr>
                    <w:tc>
                      <w:tcPr>
                        <w:tcW w:w="4140" w:type="dxa"/>
                      </w:tcPr>
                      <w:p>
                        <w:pPr>
                          <w:pStyle w:val="TableParagraph"/>
                          <w:spacing w:before="135"/>
                          <w:ind w:left="668"/>
                          <w:rPr>
                            <w:sz w:val="28"/>
                          </w:rPr>
                        </w:pPr>
                        <w:r>
                          <w:rPr>
                            <w:spacing w:val="-3"/>
                            <w:sz w:val="28"/>
                          </w:rPr>
                          <w:t>质量通病</w:t>
                        </w:r>
                      </w:p>
                    </w:tc>
                    <w:tc>
                      <w:tcPr>
                        <w:tcW w:w="4320" w:type="dxa"/>
                      </w:tcPr>
                      <w:p>
                        <w:pPr>
                          <w:pStyle w:val="TableParagraph"/>
                          <w:spacing w:before="135"/>
                          <w:ind w:left="668"/>
                          <w:rPr>
                            <w:sz w:val="28"/>
                          </w:rPr>
                        </w:pPr>
                        <w:r>
                          <w:rPr>
                            <w:spacing w:val="-3"/>
                            <w:sz w:val="28"/>
                          </w:rPr>
                          <w:t>处理办法</w:t>
                        </w:r>
                      </w:p>
                    </w:tc>
                  </w:tr>
                  <w:tr>
                    <w:tblPrEx>
                      <w:tblW w:w="0" w:type="auto"/>
                      <w:jc w:val="left"/>
                      <w:tblInd w:w="5" w:type="dxa"/>
                      <w:tblLayout w:type="fixed"/>
                      <w:tblCellMar>
                        <w:top w:w="0" w:type="dxa"/>
                        <w:left w:w="0" w:type="dxa"/>
                        <w:bottom w:w="0" w:type="dxa"/>
                        <w:right w:w="0" w:type="dxa"/>
                      </w:tblCellMar>
                      <w:tblLook w:val="01E0"/>
                    </w:tblPrEx>
                    <w:trPr>
                      <w:trHeight w:val="1248"/>
                      <w:jc w:val="left"/>
                    </w:trPr>
                    <w:tc>
                      <w:tcPr>
                        <w:tcW w:w="4140" w:type="dxa"/>
                      </w:tcPr>
                      <w:p>
                        <w:pPr>
                          <w:pStyle w:val="TableParagraph"/>
                          <w:spacing w:before="135"/>
                          <w:ind w:left="668"/>
                          <w:rPr>
                            <w:sz w:val="28"/>
                          </w:rPr>
                        </w:pPr>
                        <w:r>
                          <w:rPr>
                            <w:spacing w:val="-1"/>
                            <w:sz w:val="28"/>
                          </w:rPr>
                          <w:t>基层潮湿，水分蒸发引起漆</w:t>
                        </w:r>
                      </w:p>
                      <w:p>
                        <w:pPr>
                          <w:pStyle w:val="TableParagraph"/>
                          <w:spacing w:before="8"/>
                          <w:rPr>
                            <w:sz w:val="20"/>
                          </w:rPr>
                        </w:pPr>
                      </w:p>
                      <w:p>
                        <w:pPr>
                          <w:pStyle w:val="TableParagraph"/>
                          <w:spacing w:before="1"/>
                          <w:ind w:left="108"/>
                          <w:rPr>
                            <w:sz w:val="28"/>
                          </w:rPr>
                        </w:pPr>
                        <w:r>
                          <w:rPr>
                            <w:spacing w:val="-4"/>
                            <w:sz w:val="28"/>
                          </w:rPr>
                          <w:t>膜起泡</w:t>
                        </w:r>
                      </w:p>
                    </w:tc>
                    <w:tc>
                      <w:tcPr>
                        <w:tcW w:w="4320" w:type="dxa"/>
                        <w:vMerge w:val="restart"/>
                      </w:tcPr>
                      <w:p>
                        <w:pPr>
                          <w:pStyle w:val="TableParagraph"/>
                          <w:spacing w:before="135" w:line="417" w:lineRule="auto"/>
                          <w:ind w:left="108" w:right="-72" w:firstLine="560"/>
                          <w:rPr>
                            <w:sz w:val="28"/>
                          </w:rPr>
                        </w:pPr>
                        <w:r>
                          <w:rPr>
                            <w:spacing w:val="-12"/>
                            <w:sz w:val="28"/>
                          </w:rPr>
                          <w:t>轻微的漆膜起泡，可待漆膜干</w:t>
                        </w:r>
                        <w:r>
                          <w:rPr>
                            <w:spacing w:val="-17"/>
                            <w:sz w:val="28"/>
                          </w:rPr>
                          <w:t>透后用水砂纸打磨平整，再补面漆；</w:t>
                        </w:r>
                        <w:r>
                          <w:rPr>
                            <w:spacing w:val="-12"/>
                            <w:sz w:val="28"/>
                          </w:rPr>
                          <w:t>较严重的漆膜起泡，须将漆膜铲除</w:t>
                        </w:r>
                        <w:r>
                          <w:rPr>
                            <w:spacing w:val="-2"/>
                            <w:sz w:val="28"/>
                          </w:rPr>
                          <w:t>干净，待基层干透，针对起泡原因</w:t>
                        </w:r>
                        <w:r>
                          <w:rPr>
                            <w:spacing w:val="-2"/>
                            <w:sz w:val="28"/>
                          </w:rPr>
                          <w:t>进行处理，然后再刷。</w:t>
                        </w:r>
                      </w:p>
                    </w:tc>
                  </w:tr>
                  <w:tr>
                    <w:tblPrEx>
                      <w:tblW w:w="0" w:type="auto"/>
                      <w:jc w:val="left"/>
                      <w:tblInd w:w="5" w:type="dxa"/>
                      <w:tblLayout w:type="fixed"/>
                      <w:tblCellMar>
                        <w:top w:w="0" w:type="dxa"/>
                        <w:left w:w="0" w:type="dxa"/>
                        <w:bottom w:w="0" w:type="dxa"/>
                        <w:right w:w="0" w:type="dxa"/>
                      </w:tblCellMar>
                      <w:tblLook w:val="01E0"/>
                    </w:tblPrEx>
                    <w:trPr>
                      <w:trHeight w:val="1872"/>
                      <w:jc w:val="left"/>
                    </w:trPr>
                    <w:tc>
                      <w:tcPr>
                        <w:tcW w:w="4140" w:type="dxa"/>
                      </w:tcPr>
                      <w:p>
                        <w:pPr>
                          <w:pStyle w:val="TableParagraph"/>
                          <w:spacing w:before="135" w:line="417" w:lineRule="auto"/>
                          <w:ind w:left="108" w:right="96" w:firstLine="560"/>
                          <w:rPr>
                            <w:sz w:val="28"/>
                          </w:rPr>
                        </w:pPr>
                        <w:r>
                          <w:rPr>
                            <w:spacing w:val="-2"/>
                            <w:sz w:val="28"/>
                          </w:rPr>
                          <w:t>底漆末干透，遇到雨水又涂</w:t>
                        </w:r>
                        <w:r>
                          <w:rPr>
                            <w:spacing w:val="-1"/>
                            <w:sz w:val="28"/>
                          </w:rPr>
                          <w:t>刷面漆，当底漆干结时，产生气</w:t>
                        </w:r>
                      </w:p>
                      <w:p>
                        <w:pPr>
                          <w:pStyle w:val="TableParagraph"/>
                          <w:spacing w:line="358" w:lineRule="exact"/>
                          <w:ind w:left="108"/>
                          <w:rPr>
                            <w:sz w:val="28"/>
                          </w:rPr>
                        </w:pPr>
                        <w:r>
                          <w:rPr>
                            <w:spacing w:val="-2"/>
                            <w:sz w:val="28"/>
                          </w:rPr>
                          <w:t>体将面漆顶起</w:t>
                        </w:r>
                      </w:p>
                    </w:tc>
                    <w:tc>
                      <w:tcPr>
                        <w:tcW w:w="4320" w:type="dxa"/>
                        <w:vMerge/>
                        <w:tcBorders>
                          <w:top w:val="nil"/>
                        </w:tcBorders>
                      </w:tcPr>
                      <w:p>
                        <w:pPr>
                          <w:rPr>
                            <w:sz w:val="2"/>
                            <w:szCs w:val="2"/>
                          </w:rPr>
                        </w:pPr>
                      </w:p>
                    </w:tc>
                  </w:tr>
                  <w:tr>
                    <w:tblPrEx>
                      <w:tblW w:w="0" w:type="auto"/>
                      <w:jc w:val="left"/>
                      <w:tblInd w:w="5" w:type="dxa"/>
                      <w:tblLayout w:type="fixed"/>
                      <w:tblCellMar>
                        <w:top w:w="0" w:type="dxa"/>
                        <w:left w:w="0" w:type="dxa"/>
                        <w:bottom w:w="0" w:type="dxa"/>
                        <w:right w:w="0" w:type="dxa"/>
                      </w:tblCellMar>
                      <w:tblLook w:val="01E0"/>
                    </w:tblPrEx>
                    <w:trPr>
                      <w:trHeight w:val="623"/>
                      <w:jc w:val="left"/>
                    </w:trPr>
                    <w:tc>
                      <w:tcPr>
                        <w:tcW w:w="4140" w:type="dxa"/>
                      </w:tcPr>
                      <w:p>
                        <w:pPr>
                          <w:pStyle w:val="TableParagraph"/>
                          <w:rPr>
                            <w:rFonts w:ascii="Times New Roman"/>
                            <w:sz w:val="26"/>
                          </w:rPr>
                        </w:pPr>
                      </w:p>
                    </w:tc>
                    <w:tc>
                      <w:tcPr>
                        <w:tcW w:w="4320" w:type="dxa"/>
                        <w:vMerge/>
                        <w:tcBorders>
                          <w:top w:val="nil"/>
                        </w:tcBorders>
                      </w:tcPr>
                      <w:p>
                        <w:pPr>
                          <w:rPr>
                            <w:sz w:val="2"/>
                            <w:szCs w:val="2"/>
                          </w:rPr>
                        </w:pPr>
                      </w:p>
                    </w:tc>
                  </w:tr>
                </w:tbl>
                <w:p>
                  <w:pPr>
                    <w:pStyle w:val="BodyText"/>
                  </w:pPr>
                </w:p>
              </w:txbxContent>
            </v:textbox>
          </v:shape>
        </w:pict>
      </w:r>
      <w:r>
        <w:rPr>
          <w:spacing w:val="3"/>
          <w:sz w:val="28"/>
        </w:rPr>
        <w:t>、起泡：漆膜干透后，表面出现大小不同突起的泡点，用手压，</w:t>
      </w:r>
      <w:r>
        <w:rPr>
          <w:sz w:val="28"/>
        </w:rPr>
        <w:t>感到有轻微弹性。</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9"/>
        <w:rPr>
          <w:sz w:val="36"/>
        </w:rPr>
      </w:pPr>
    </w:p>
    <w:p>
      <w:pPr>
        <w:pStyle w:val="ListParagraph"/>
        <w:numPr>
          <w:ilvl w:val="0"/>
          <w:numId w:val="15"/>
        </w:numPr>
        <w:tabs>
          <w:tab w:val="left" w:pos="1663"/>
        </w:tabs>
        <w:spacing w:before="1" w:after="0" w:line="240" w:lineRule="auto"/>
        <w:ind w:left="1662" w:right="0" w:hanging="705"/>
        <w:jc w:val="left"/>
        <w:rPr>
          <w:sz w:val="28"/>
        </w:rPr>
      </w:pPr>
      <w:r>
        <w:rPr>
          <w:spacing w:val="-1"/>
          <w:sz w:val="28"/>
        </w:rPr>
        <w:t>、流挂：在施工现场经常可以发现漆从墙面上流挂或滴下来，形成</w:t>
      </w:r>
    </w:p>
    <w:p>
      <w:pPr>
        <w:spacing w:after="0" w:line="240" w:lineRule="auto"/>
        <w:jc w:val="left"/>
        <w:rPr>
          <w:sz w:val="28"/>
        </w:rPr>
        <w:sectPr>
          <w:headerReference w:type="default" r:id="rId40"/>
          <w:footerReference w:type="default" r:id="rId41"/>
          <w:pgSz w:w="11910" w:h="16840"/>
          <w:pgMar w:top="1180" w:right="640" w:bottom="1600" w:left="1020" w:header="996" w:footer="1381"/>
          <w:pgNumType w:start="19"/>
          <w:cols w:space="708"/>
        </w:sectPr>
      </w:pPr>
    </w:p>
    <w:p>
      <w:pPr>
        <w:pStyle w:val="BodyText"/>
        <w:spacing w:before="9"/>
        <w:rPr>
          <w:sz w:val="9"/>
        </w:rPr>
      </w:pPr>
    </w:p>
    <w:p>
      <w:pPr>
        <w:pStyle w:val="BodyText"/>
        <w:spacing w:before="61"/>
        <w:ind w:left="398"/>
      </w:pPr>
      <w:r>
        <w:rPr>
          <w:spacing w:val="-1"/>
        </w:rPr>
        <w:t>眼泪状或波纹状的外观，俗称滴眼泪。</w:t>
      </w:r>
    </w:p>
    <w:p>
      <w:pPr>
        <w:pStyle w:val="BodyText"/>
        <w:spacing w:before="2"/>
        <w:rPr>
          <w:sz w:val="10"/>
        </w:rPr>
      </w:pPr>
    </w:p>
    <w:tbl>
      <w:tblPr>
        <w:tblStyle w:val="TableNormal8"/>
        <w:tblW w:w="0" w:type="auto"/>
        <w:jc w:val="left"/>
        <w:tblInd w:w="9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140"/>
        <w:gridCol w:w="4320"/>
      </w:tblGrid>
      <w:tr>
        <w:tblPrEx>
          <w:tblW w:w="0" w:type="auto"/>
          <w:jc w:val="left"/>
          <w:tblInd w:w="9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624"/>
          <w:jc w:val="left"/>
        </w:trPr>
        <w:tc>
          <w:tcPr>
            <w:tcW w:w="4140" w:type="dxa"/>
          </w:tcPr>
          <w:p>
            <w:pPr>
              <w:pStyle w:val="TableParagraph"/>
              <w:spacing w:before="135"/>
              <w:ind w:left="668"/>
              <w:rPr>
                <w:sz w:val="28"/>
              </w:rPr>
            </w:pPr>
            <w:r>
              <w:rPr>
                <w:spacing w:val="-3"/>
                <w:sz w:val="28"/>
              </w:rPr>
              <w:t>质量通病</w:t>
            </w:r>
          </w:p>
        </w:tc>
        <w:tc>
          <w:tcPr>
            <w:tcW w:w="4320" w:type="dxa"/>
          </w:tcPr>
          <w:p>
            <w:pPr>
              <w:pStyle w:val="TableParagraph"/>
              <w:spacing w:before="135"/>
              <w:ind w:left="668"/>
              <w:rPr>
                <w:sz w:val="28"/>
              </w:rPr>
            </w:pPr>
            <w:r>
              <w:rPr>
                <w:spacing w:val="-3"/>
                <w:sz w:val="28"/>
              </w:rPr>
              <w:t>处理办法</w:t>
            </w:r>
          </w:p>
        </w:tc>
      </w:tr>
      <w:tr>
        <w:tblPrEx>
          <w:tblW w:w="0" w:type="auto"/>
          <w:jc w:val="left"/>
          <w:tblInd w:w="943" w:type="dxa"/>
          <w:tblLayout w:type="fixed"/>
          <w:tblCellMar>
            <w:top w:w="0" w:type="dxa"/>
            <w:left w:w="0" w:type="dxa"/>
            <w:bottom w:w="0" w:type="dxa"/>
            <w:right w:w="0" w:type="dxa"/>
          </w:tblCellMar>
          <w:tblLook w:val="01E0"/>
        </w:tblPrEx>
        <w:trPr>
          <w:trHeight w:val="624"/>
          <w:jc w:val="left"/>
        </w:trPr>
        <w:tc>
          <w:tcPr>
            <w:tcW w:w="4140" w:type="dxa"/>
          </w:tcPr>
          <w:p>
            <w:pPr>
              <w:pStyle w:val="TableParagraph"/>
              <w:spacing w:before="135"/>
              <w:ind w:left="668"/>
              <w:rPr>
                <w:sz w:val="28"/>
              </w:rPr>
            </w:pPr>
            <w:r>
              <w:rPr>
                <w:spacing w:val="-2"/>
                <w:sz w:val="28"/>
              </w:rPr>
              <w:t>漆膜一次涂得过厚</w:t>
            </w:r>
          </w:p>
        </w:tc>
        <w:tc>
          <w:tcPr>
            <w:tcW w:w="4320" w:type="dxa"/>
            <w:vMerge w:val="restart"/>
          </w:tcPr>
          <w:p>
            <w:pPr>
              <w:pStyle w:val="TableParagraph"/>
              <w:numPr>
                <w:ilvl w:val="0"/>
                <w:numId w:val="12"/>
              </w:numPr>
              <w:tabs>
                <w:tab w:val="left" w:pos="903"/>
              </w:tabs>
              <w:spacing w:before="135" w:after="0" w:line="417" w:lineRule="auto"/>
              <w:ind w:left="108" w:right="96" w:firstLine="560"/>
              <w:jc w:val="left"/>
              <w:rPr>
                <w:sz w:val="28"/>
              </w:rPr>
            </w:pPr>
            <w:r>
              <w:rPr>
                <w:spacing w:val="-6"/>
                <w:sz w:val="28"/>
              </w:rPr>
              <w:t>多次涂覆，每次均涂薄薄一</w:t>
            </w:r>
            <w:r>
              <w:rPr>
                <w:spacing w:val="-6"/>
                <w:sz w:val="28"/>
              </w:rPr>
              <w:t>层；</w:t>
            </w:r>
          </w:p>
          <w:p>
            <w:pPr>
              <w:pStyle w:val="TableParagraph"/>
              <w:numPr>
                <w:ilvl w:val="0"/>
                <w:numId w:val="12"/>
              </w:numPr>
              <w:tabs>
                <w:tab w:val="left" w:pos="903"/>
              </w:tabs>
              <w:spacing w:before="0" w:after="0" w:line="358" w:lineRule="exact"/>
              <w:ind w:left="902" w:right="0" w:hanging="235"/>
              <w:jc w:val="left"/>
              <w:rPr>
                <w:sz w:val="28"/>
              </w:rPr>
            </w:pPr>
            <w:r>
              <w:rPr>
                <w:spacing w:val="-2"/>
                <w:sz w:val="28"/>
              </w:rPr>
              <w:t>降低稀释比；</w:t>
            </w:r>
          </w:p>
          <w:p>
            <w:pPr>
              <w:pStyle w:val="TableParagraph"/>
              <w:numPr>
                <w:ilvl w:val="0"/>
                <w:numId w:val="12"/>
              </w:numPr>
              <w:tabs>
                <w:tab w:val="left" w:pos="903"/>
              </w:tabs>
              <w:spacing w:before="4" w:after="0" w:line="620" w:lineRule="atLeast"/>
              <w:ind w:left="108" w:right="96" w:firstLine="560"/>
              <w:jc w:val="left"/>
              <w:rPr>
                <w:sz w:val="28"/>
              </w:rPr>
            </w:pPr>
            <w:r>
              <w:rPr>
                <w:spacing w:val="19"/>
                <w:sz w:val="28"/>
              </w:rPr>
              <w:t>用砂纸打磨被刷物体旧漆</w:t>
            </w:r>
            <w:r>
              <w:rPr>
                <w:spacing w:val="-6"/>
                <w:sz w:val="28"/>
              </w:rPr>
              <w:t>面。</w:t>
            </w:r>
          </w:p>
        </w:tc>
      </w:tr>
      <w:tr>
        <w:tblPrEx>
          <w:tblW w:w="0" w:type="auto"/>
          <w:jc w:val="left"/>
          <w:tblInd w:w="943" w:type="dxa"/>
          <w:tblLayout w:type="fixed"/>
          <w:tblCellMar>
            <w:top w:w="0" w:type="dxa"/>
            <w:left w:w="0" w:type="dxa"/>
            <w:bottom w:w="0" w:type="dxa"/>
            <w:right w:w="0" w:type="dxa"/>
          </w:tblCellMar>
          <w:tblLook w:val="01E0"/>
        </w:tblPrEx>
        <w:trPr>
          <w:trHeight w:val="624"/>
          <w:jc w:val="left"/>
        </w:trPr>
        <w:tc>
          <w:tcPr>
            <w:tcW w:w="4140" w:type="dxa"/>
          </w:tcPr>
          <w:p>
            <w:pPr>
              <w:pStyle w:val="TableParagraph"/>
              <w:spacing w:before="135"/>
              <w:ind w:left="668"/>
              <w:rPr>
                <w:sz w:val="28"/>
              </w:rPr>
            </w:pPr>
            <w:r>
              <w:rPr>
                <w:spacing w:val="-2"/>
                <w:sz w:val="28"/>
              </w:rPr>
              <w:t>稀释比太高</w:t>
            </w:r>
          </w:p>
        </w:tc>
        <w:tc>
          <w:tcPr>
            <w:tcW w:w="4320" w:type="dxa"/>
            <w:vMerge/>
            <w:tcBorders>
              <w:top w:val="nil"/>
            </w:tcBorders>
          </w:tcPr>
          <w:p>
            <w:pPr>
              <w:rPr>
                <w:sz w:val="2"/>
                <w:szCs w:val="2"/>
              </w:rPr>
            </w:pPr>
          </w:p>
        </w:tc>
      </w:tr>
      <w:tr>
        <w:tblPrEx>
          <w:tblW w:w="0" w:type="auto"/>
          <w:jc w:val="left"/>
          <w:tblInd w:w="943" w:type="dxa"/>
          <w:tblLayout w:type="fixed"/>
          <w:tblCellMar>
            <w:top w:w="0" w:type="dxa"/>
            <w:left w:w="0" w:type="dxa"/>
            <w:bottom w:w="0" w:type="dxa"/>
            <w:right w:w="0" w:type="dxa"/>
          </w:tblCellMar>
          <w:tblLook w:val="01E0"/>
        </w:tblPrEx>
        <w:trPr>
          <w:trHeight w:val="1852"/>
          <w:jc w:val="left"/>
        </w:trPr>
        <w:tc>
          <w:tcPr>
            <w:tcW w:w="4140" w:type="dxa"/>
          </w:tcPr>
          <w:p>
            <w:pPr>
              <w:pStyle w:val="TableParagraph"/>
              <w:spacing w:before="135" w:line="417" w:lineRule="auto"/>
              <w:ind w:left="108" w:right="96" w:firstLine="560"/>
              <w:rPr>
                <w:sz w:val="28"/>
              </w:rPr>
            </w:pPr>
            <w:r>
              <w:rPr>
                <w:spacing w:val="-2"/>
                <w:sz w:val="28"/>
              </w:rPr>
              <w:t>在没有打磨的旧漆表面上直</w:t>
            </w:r>
            <w:r>
              <w:rPr>
                <w:spacing w:val="-4"/>
                <w:sz w:val="28"/>
              </w:rPr>
              <w:t>接涂刷</w:t>
            </w:r>
          </w:p>
        </w:tc>
        <w:tc>
          <w:tcPr>
            <w:tcW w:w="4320" w:type="dxa"/>
            <w:vMerge/>
            <w:tcBorders>
              <w:top w:val="nil"/>
            </w:tcBorders>
          </w:tcPr>
          <w:p>
            <w:pPr>
              <w:rPr>
                <w:sz w:val="2"/>
                <w:szCs w:val="2"/>
              </w:rPr>
            </w:pPr>
          </w:p>
        </w:tc>
      </w:tr>
    </w:tbl>
    <w:p>
      <w:pPr>
        <w:pStyle w:val="ListParagraph"/>
        <w:numPr>
          <w:ilvl w:val="0"/>
          <w:numId w:val="15"/>
        </w:numPr>
        <w:tabs>
          <w:tab w:val="left" w:pos="1659"/>
        </w:tabs>
        <w:spacing w:before="135" w:after="0" w:line="240" w:lineRule="auto"/>
        <w:ind w:left="1659" w:right="0" w:hanging="701"/>
        <w:jc w:val="left"/>
        <w:rPr>
          <w:sz w:val="28"/>
        </w:rPr>
      </w:pPr>
      <w:r>
        <w:rPr>
          <w:spacing w:val="-1"/>
          <w:sz w:val="28"/>
        </w:rPr>
        <w:t>、起皱：纹漆膜形成起伏的皱纹。</w:t>
      </w:r>
    </w:p>
    <w:p>
      <w:pPr>
        <w:pStyle w:val="BodyText"/>
        <w:spacing w:before="2"/>
        <w:rPr>
          <w:sz w:val="10"/>
        </w:rPr>
      </w:pPr>
    </w:p>
    <w:tbl>
      <w:tblPr>
        <w:tblStyle w:val="TableNormal8"/>
        <w:tblW w:w="0" w:type="auto"/>
        <w:jc w:val="left"/>
        <w:tblInd w:w="9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140"/>
        <w:gridCol w:w="4320"/>
      </w:tblGrid>
      <w:tr>
        <w:tblPrEx>
          <w:tblW w:w="0" w:type="auto"/>
          <w:jc w:val="left"/>
          <w:tblInd w:w="9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624"/>
          <w:jc w:val="left"/>
        </w:trPr>
        <w:tc>
          <w:tcPr>
            <w:tcW w:w="4140" w:type="dxa"/>
          </w:tcPr>
          <w:p>
            <w:pPr>
              <w:pStyle w:val="TableParagraph"/>
              <w:spacing w:before="135"/>
              <w:ind w:left="668"/>
              <w:rPr>
                <w:sz w:val="28"/>
              </w:rPr>
            </w:pPr>
            <w:r>
              <w:rPr>
                <w:spacing w:val="-3"/>
                <w:sz w:val="28"/>
              </w:rPr>
              <w:t>质量通病</w:t>
            </w:r>
          </w:p>
        </w:tc>
        <w:tc>
          <w:tcPr>
            <w:tcW w:w="4320" w:type="dxa"/>
          </w:tcPr>
          <w:p>
            <w:pPr>
              <w:pStyle w:val="TableParagraph"/>
              <w:spacing w:before="135"/>
              <w:ind w:left="668"/>
              <w:rPr>
                <w:sz w:val="28"/>
              </w:rPr>
            </w:pPr>
            <w:r>
              <w:rPr>
                <w:spacing w:val="-3"/>
                <w:sz w:val="28"/>
              </w:rPr>
              <w:t>处理办法</w:t>
            </w:r>
          </w:p>
        </w:tc>
      </w:tr>
      <w:tr>
        <w:tblPrEx>
          <w:tblW w:w="0" w:type="auto"/>
          <w:jc w:val="left"/>
          <w:tblInd w:w="943" w:type="dxa"/>
          <w:tblLayout w:type="fixed"/>
          <w:tblCellMar>
            <w:top w:w="0" w:type="dxa"/>
            <w:left w:w="0" w:type="dxa"/>
            <w:bottom w:w="0" w:type="dxa"/>
            <w:right w:w="0" w:type="dxa"/>
          </w:tblCellMar>
          <w:tblLook w:val="01E0"/>
        </w:tblPrEx>
        <w:trPr>
          <w:trHeight w:val="624"/>
          <w:jc w:val="left"/>
        </w:trPr>
        <w:tc>
          <w:tcPr>
            <w:tcW w:w="4140" w:type="dxa"/>
          </w:tcPr>
          <w:p>
            <w:pPr>
              <w:pStyle w:val="TableParagraph"/>
              <w:spacing w:before="135"/>
              <w:ind w:left="668"/>
              <w:rPr>
                <w:sz w:val="28"/>
              </w:rPr>
            </w:pPr>
            <w:r>
              <w:rPr>
                <w:spacing w:val="-2"/>
                <w:sz w:val="28"/>
              </w:rPr>
              <w:t>漆膜过厚，表面收缩</w:t>
            </w:r>
          </w:p>
        </w:tc>
        <w:tc>
          <w:tcPr>
            <w:tcW w:w="4320" w:type="dxa"/>
            <w:vMerge w:val="restart"/>
          </w:tcPr>
          <w:p>
            <w:pPr>
              <w:pStyle w:val="TableParagraph"/>
              <w:spacing w:before="135" w:line="417" w:lineRule="auto"/>
              <w:ind w:left="108" w:right="1" w:firstLine="560"/>
              <w:jc w:val="both"/>
              <w:rPr>
                <w:sz w:val="28"/>
              </w:rPr>
            </w:pPr>
            <w:r>
              <w:rPr>
                <w:spacing w:val="-2"/>
                <w:sz w:val="28"/>
              </w:rPr>
              <w:t>避免涂得太厚，刷涂应均匀。</w:t>
            </w:r>
            <w:r>
              <w:rPr>
                <w:spacing w:val="-2"/>
                <w:sz w:val="28"/>
              </w:rPr>
              <w:t>刷涂两道漆间隔时间一定要足够，</w:t>
            </w:r>
            <w:r>
              <w:rPr>
                <w:spacing w:val="11"/>
                <w:sz w:val="28"/>
              </w:rPr>
              <w:t>要保证待第一层漆膜完全干透后</w:t>
            </w:r>
          </w:p>
          <w:p>
            <w:pPr>
              <w:pStyle w:val="TableParagraph"/>
              <w:spacing w:line="358" w:lineRule="exact"/>
              <w:ind w:left="108"/>
              <w:rPr>
                <w:sz w:val="28"/>
              </w:rPr>
            </w:pPr>
            <w:r>
              <w:rPr>
                <w:spacing w:val="-2"/>
                <w:sz w:val="28"/>
              </w:rPr>
              <w:t>再涂第二道。</w:t>
            </w:r>
          </w:p>
        </w:tc>
      </w:tr>
      <w:tr>
        <w:tblPrEx>
          <w:tblW w:w="0" w:type="auto"/>
          <w:jc w:val="left"/>
          <w:tblInd w:w="943" w:type="dxa"/>
          <w:tblLayout w:type="fixed"/>
          <w:tblCellMar>
            <w:top w:w="0" w:type="dxa"/>
            <w:left w:w="0" w:type="dxa"/>
            <w:bottom w:w="0" w:type="dxa"/>
            <w:right w:w="0" w:type="dxa"/>
          </w:tblCellMar>
          <w:tblLook w:val="01E0"/>
        </w:tblPrEx>
        <w:trPr>
          <w:trHeight w:val="1248"/>
          <w:jc w:val="left"/>
        </w:trPr>
        <w:tc>
          <w:tcPr>
            <w:tcW w:w="4140" w:type="dxa"/>
          </w:tcPr>
          <w:p>
            <w:pPr>
              <w:pStyle w:val="TableParagraph"/>
              <w:spacing w:before="135"/>
              <w:ind w:left="668"/>
              <w:rPr>
                <w:sz w:val="28"/>
              </w:rPr>
            </w:pPr>
            <w:r>
              <w:rPr>
                <w:spacing w:val="-1"/>
                <w:sz w:val="28"/>
              </w:rPr>
              <w:t>涂第二层漆时，第一层还未</w:t>
            </w:r>
          </w:p>
          <w:p>
            <w:pPr>
              <w:pStyle w:val="TableParagraph"/>
              <w:spacing w:before="8"/>
              <w:rPr>
                <w:sz w:val="20"/>
              </w:rPr>
            </w:pPr>
          </w:p>
          <w:p>
            <w:pPr>
              <w:pStyle w:val="TableParagraph"/>
              <w:spacing w:before="1"/>
              <w:ind w:left="108"/>
              <w:rPr>
                <w:sz w:val="28"/>
              </w:rPr>
            </w:pPr>
            <w:r>
              <w:rPr>
                <w:spacing w:val="-5"/>
                <w:sz w:val="28"/>
              </w:rPr>
              <w:t>干透</w:t>
            </w:r>
          </w:p>
        </w:tc>
        <w:tc>
          <w:tcPr>
            <w:tcW w:w="4320" w:type="dxa"/>
            <w:vMerge/>
            <w:tcBorders>
              <w:top w:val="nil"/>
            </w:tcBorders>
          </w:tcPr>
          <w:p>
            <w:pPr>
              <w:rPr>
                <w:sz w:val="2"/>
                <w:szCs w:val="2"/>
              </w:rPr>
            </w:pPr>
          </w:p>
        </w:tc>
      </w:tr>
      <w:tr>
        <w:tblPrEx>
          <w:tblW w:w="0" w:type="auto"/>
          <w:jc w:val="left"/>
          <w:tblInd w:w="943" w:type="dxa"/>
          <w:tblLayout w:type="fixed"/>
          <w:tblCellMar>
            <w:top w:w="0" w:type="dxa"/>
            <w:left w:w="0" w:type="dxa"/>
            <w:bottom w:w="0" w:type="dxa"/>
            <w:right w:w="0" w:type="dxa"/>
          </w:tblCellMar>
          <w:tblLook w:val="01E0"/>
        </w:tblPrEx>
        <w:trPr>
          <w:trHeight w:val="623"/>
          <w:jc w:val="left"/>
        </w:trPr>
        <w:tc>
          <w:tcPr>
            <w:tcW w:w="4140" w:type="dxa"/>
          </w:tcPr>
          <w:p>
            <w:pPr>
              <w:pStyle w:val="TableParagraph"/>
              <w:spacing w:before="135"/>
              <w:ind w:left="668"/>
              <w:rPr>
                <w:sz w:val="28"/>
              </w:rPr>
            </w:pPr>
            <w:r>
              <w:rPr>
                <w:spacing w:val="-2"/>
                <w:sz w:val="28"/>
              </w:rPr>
              <w:t>干燥时温度太高</w:t>
            </w:r>
          </w:p>
        </w:tc>
        <w:tc>
          <w:tcPr>
            <w:tcW w:w="4320" w:type="dxa"/>
            <w:vMerge/>
            <w:tcBorders>
              <w:top w:val="nil"/>
            </w:tcBorders>
          </w:tcPr>
          <w:p>
            <w:pPr>
              <w:rPr>
                <w:sz w:val="2"/>
                <w:szCs w:val="2"/>
              </w:rPr>
            </w:pPr>
          </w:p>
        </w:tc>
      </w:tr>
    </w:tbl>
    <w:p>
      <w:pPr>
        <w:pStyle w:val="ListParagraph"/>
        <w:numPr>
          <w:ilvl w:val="0"/>
          <w:numId w:val="15"/>
        </w:numPr>
        <w:tabs>
          <w:tab w:val="left" w:pos="1659"/>
        </w:tabs>
        <w:spacing w:before="136" w:after="0" w:line="240" w:lineRule="auto"/>
        <w:ind w:left="1659" w:right="0" w:hanging="701"/>
        <w:jc w:val="left"/>
        <w:rPr>
          <w:sz w:val="28"/>
        </w:rPr>
      </w:pPr>
      <w:r>
        <w:rPr>
          <w:spacing w:val="-1"/>
          <w:sz w:val="28"/>
        </w:rPr>
        <w:t>、起层：起层又称咬底。</w:t>
      </w:r>
    </w:p>
    <w:p>
      <w:pPr>
        <w:pStyle w:val="BodyText"/>
        <w:spacing w:before="2"/>
        <w:rPr>
          <w:sz w:val="10"/>
        </w:rPr>
      </w:pPr>
    </w:p>
    <w:tbl>
      <w:tblPr>
        <w:tblStyle w:val="TableNormal8"/>
        <w:tblW w:w="0" w:type="auto"/>
        <w:jc w:val="left"/>
        <w:tblInd w:w="9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500"/>
        <w:gridCol w:w="3960"/>
      </w:tblGrid>
      <w:tr>
        <w:tblPrEx>
          <w:tblW w:w="0" w:type="auto"/>
          <w:jc w:val="left"/>
          <w:tblInd w:w="9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624"/>
          <w:jc w:val="left"/>
        </w:trPr>
        <w:tc>
          <w:tcPr>
            <w:tcW w:w="4500" w:type="dxa"/>
          </w:tcPr>
          <w:p>
            <w:pPr>
              <w:pStyle w:val="TableParagraph"/>
              <w:spacing w:before="135"/>
              <w:ind w:left="668"/>
              <w:rPr>
                <w:sz w:val="28"/>
              </w:rPr>
            </w:pPr>
            <w:r>
              <w:rPr>
                <w:spacing w:val="-3"/>
                <w:sz w:val="28"/>
              </w:rPr>
              <w:t>质量通病</w:t>
            </w:r>
          </w:p>
        </w:tc>
        <w:tc>
          <w:tcPr>
            <w:tcW w:w="3960" w:type="dxa"/>
          </w:tcPr>
          <w:p>
            <w:pPr>
              <w:pStyle w:val="TableParagraph"/>
              <w:spacing w:before="135"/>
              <w:ind w:left="668"/>
              <w:rPr>
                <w:sz w:val="28"/>
              </w:rPr>
            </w:pPr>
            <w:r>
              <w:rPr>
                <w:spacing w:val="-3"/>
                <w:sz w:val="28"/>
              </w:rPr>
              <w:t>处理办法</w:t>
            </w:r>
          </w:p>
        </w:tc>
      </w:tr>
      <w:tr>
        <w:tblPrEx>
          <w:tblW w:w="0" w:type="auto"/>
          <w:jc w:val="left"/>
          <w:tblInd w:w="943" w:type="dxa"/>
          <w:tblLayout w:type="fixed"/>
          <w:tblCellMar>
            <w:top w:w="0" w:type="dxa"/>
            <w:left w:w="0" w:type="dxa"/>
            <w:bottom w:w="0" w:type="dxa"/>
            <w:right w:w="0" w:type="dxa"/>
          </w:tblCellMar>
          <w:tblLook w:val="01E0"/>
        </w:tblPrEx>
        <w:trPr>
          <w:trHeight w:val="1872"/>
          <w:jc w:val="left"/>
        </w:trPr>
        <w:tc>
          <w:tcPr>
            <w:tcW w:w="4500" w:type="dxa"/>
          </w:tcPr>
          <w:p>
            <w:pPr>
              <w:pStyle w:val="TableParagraph"/>
              <w:spacing w:before="135"/>
              <w:ind w:left="108" w:firstLine="560"/>
              <w:rPr>
                <w:sz w:val="28"/>
              </w:rPr>
            </w:pPr>
            <w:r>
              <w:rPr>
                <w:spacing w:val="-1"/>
                <w:sz w:val="28"/>
              </w:rPr>
              <w:t>刷涂时底层漆末彻底干透，面</w:t>
            </w:r>
          </w:p>
          <w:p>
            <w:pPr>
              <w:pStyle w:val="TableParagraph"/>
              <w:spacing w:before="4" w:line="620" w:lineRule="atLeast"/>
              <w:ind w:left="108" w:right="97"/>
              <w:rPr>
                <w:sz w:val="28"/>
              </w:rPr>
            </w:pPr>
            <w:r>
              <w:rPr>
                <w:spacing w:val="-2"/>
                <w:sz w:val="28"/>
              </w:rPr>
              <w:t>层的稀释剂溶胀下层底漆，使漆膜</w:t>
            </w:r>
            <w:r>
              <w:rPr>
                <w:spacing w:val="-2"/>
                <w:sz w:val="28"/>
              </w:rPr>
              <w:t>收缩和起皮</w:t>
            </w:r>
          </w:p>
        </w:tc>
        <w:tc>
          <w:tcPr>
            <w:tcW w:w="3960" w:type="dxa"/>
            <w:vMerge w:val="restart"/>
          </w:tcPr>
          <w:p>
            <w:pPr>
              <w:pStyle w:val="TableParagraph"/>
              <w:spacing w:before="135" w:line="417" w:lineRule="auto"/>
              <w:ind w:left="108" w:right="96" w:firstLine="560"/>
              <w:jc w:val="both"/>
              <w:rPr>
                <w:sz w:val="28"/>
              </w:rPr>
            </w:pPr>
            <w:r>
              <w:rPr>
                <w:spacing w:val="7"/>
                <w:sz w:val="28"/>
              </w:rPr>
              <w:t>解决办法与防止起皱纹的</w:t>
            </w:r>
            <w:r>
              <w:rPr>
                <w:spacing w:val="-2"/>
                <w:sz w:val="28"/>
              </w:rPr>
              <w:t>方法一样，涂层施工须按指定</w:t>
            </w:r>
            <w:r>
              <w:rPr>
                <w:spacing w:val="-2"/>
                <w:sz w:val="28"/>
              </w:rPr>
              <w:t>的时间间隔进行，涂层不能涂</w:t>
            </w:r>
            <w:r>
              <w:rPr>
                <w:spacing w:val="-1"/>
                <w:sz w:val="28"/>
              </w:rPr>
              <w:t>得太厚，底漆完全干透后再涂</w:t>
            </w:r>
          </w:p>
          <w:p>
            <w:pPr>
              <w:pStyle w:val="TableParagraph"/>
              <w:spacing w:line="358" w:lineRule="exact"/>
              <w:ind w:left="108"/>
              <w:rPr>
                <w:sz w:val="28"/>
              </w:rPr>
            </w:pPr>
            <w:r>
              <w:rPr>
                <w:spacing w:val="-4"/>
                <w:sz w:val="28"/>
              </w:rPr>
              <w:t>面漆。</w:t>
            </w:r>
          </w:p>
        </w:tc>
      </w:tr>
      <w:tr>
        <w:tblPrEx>
          <w:tblW w:w="0" w:type="auto"/>
          <w:jc w:val="left"/>
          <w:tblInd w:w="943" w:type="dxa"/>
          <w:tblLayout w:type="fixed"/>
          <w:tblCellMar>
            <w:top w:w="0" w:type="dxa"/>
            <w:left w:w="0" w:type="dxa"/>
            <w:bottom w:w="0" w:type="dxa"/>
            <w:right w:w="0" w:type="dxa"/>
          </w:tblCellMar>
          <w:tblLook w:val="01E0"/>
        </w:tblPrEx>
        <w:trPr>
          <w:trHeight w:val="1238"/>
          <w:jc w:val="left"/>
        </w:trPr>
        <w:tc>
          <w:tcPr>
            <w:tcW w:w="4500" w:type="dxa"/>
          </w:tcPr>
          <w:p>
            <w:pPr>
              <w:pStyle w:val="TableParagraph"/>
              <w:rPr>
                <w:rFonts w:ascii="Times New Roman"/>
                <w:sz w:val="26"/>
              </w:rPr>
            </w:pPr>
          </w:p>
        </w:tc>
        <w:tc>
          <w:tcPr>
            <w:tcW w:w="3960" w:type="dxa"/>
            <w:vMerge/>
            <w:tcBorders>
              <w:top w:val="nil"/>
            </w:tcBorders>
          </w:tcPr>
          <w:p>
            <w:pPr>
              <w:rPr>
                <w:sz w:val="2"/>
                <w:szCs w:val="2"/>
              </w:rPr>
            </w:pPr>
          </w:p>
        </w:tc>
      </w:tr>
    </w:tbl>
    <w:p>
      <w:pPr>
        <w:pStyle w:val="ListParagraph"/>
        <w:numPr>
          <w:ilvl w:val="0"/>
          <w:numId w:val="15"/>
        </w:numPr>
        <w:tabs>
          <w:tab w:val="left" w:pos="1659"/>
        </w:tabs>
        <w:spacing w:before="135" w:after="0" w:line="240" w:lineRule="auto"/>
        <w:ind w:left="1659" w:right="0" w:hanging="701"/>
        <w:jc w:val="left"/>
        <w:rPr>
          <w:sz w:val="28"/>
        </w:rPr>
      </w:pPr>
      <w:r>
        <w:rPr>
          <w:spacing w:val="-1"/>
          <w:sz w:val="28"/>
        </w:rPr>
        <w:t>、其余质量通病及处理办法详下表。</w:t>
      </w:r>
    </w:p>
    <w:p>
      <w:pPr>
        <w:pStyle w:val="BodyText"/>
        <w:spacing w:before="2"/>
        <w:rPr>
          <w:sz w:val="10"/>
        </w:rPr>
      </w:pPr>
    </w:p>
    <w:tbl>
      <w:tblPr>
        <w:tblStyle w:val="TableNormal8"/>
        <w:tblW w:w="0" w:type="auto"/>
        <w:jc w:val="left"/>
        <w:tblInd w:w="9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40"/>
        <w:gridCol w:w="1080"/>
        <w:gridCol w:w="1418"/>
        <w:gridCol w:w="2362"/>
        <w:gridCol w:w="3060"/>
      </w:tblGrid>
      <w:tr>
        <w:tblPrEx>
          <w:tblW w:w="0" w:type="auto"/>
          <w:jc w:val="left"/>
          <w:tblInd w:w="9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624"/>
          <w:jc w:val="left"/>
        </w:trPr>
        <w:tc>
          <w:tcPr>
            <w:tcW w:w="540" w:type="dxa"/>
          </w:tcPr>
          <w:p>
            <w:pPr>
              <w:pStyle w:val="TableParagraph"/>
              <w:rPr>
                <w:rFonts w:ascii="Times New Roman"/>
                <w:sz w:val="26"/>
              </w:rPr>
            </w:pPr>
          </w:p>
        </w:tc>
        <w:tc>
          <w:tcPr>
            <w:tcW w:w="1080" w:type="dxa"/>
          </w:tcPr>
          <w:p>
            <w:pPr>
              <w:pStyle w:val="TableParagraph"/>
              <w:spacing w:before="135"/>
              <w:ind w:left="668"/>
              <w:rPr>
                <w:sz w:val="28"/>
              </w:rPr>
            </w:pPr>
            <w:r>
              <w:rPr>
                <w:sz w:val="28"/>
              </w:rPr>
              <w:t>要</w:t>
            </w:r>
          </w:p>
        </w:tc>
        <w:tc>
          <w:tcPr>
            <w:tcW w:w="1418" w:type="dxa"/>
          </w:tcPr>
          <w:p>
            <w:pPr>
              <w:pStyle w:val="TableParagraph"/>
              <w:spacing w:before="135"/>
              <w:ind w:left="668"/>
              <w:rPr>
                <w:sz w:val="28"/>
              </w:rPr>
            </w:pPr>
            <w:r>
              <w:rPr>
                <w:sz w:val="28"/>
              </w:rPr>
              <w:t>对</w:t>
            </w:r>
          </w:p>
        </w:tc>
        <w:tc>
          <w:tcPr>
            <w:tcW w:w="2362" w:type="dxa"/>
          </w:tcPr>
          <w:p>
            <w:pPr>
              <w:pStyle w:val="TableParagraph"/>
              <w:spacing w:before="135"/>
              <w:ind w:left="667"/>
              <w:rPr>
                <w:sz w:val="28"/>
              </w:rPr>
            </w:pPr>
            <w:r>
              <w:rPr>
                <w:spacing w:val="-4"/>
                <w:sz w:val="28"/>
              </w:rPr>
              <w:t>目 标</w:t>
            </w:r>
          </w:p>
        </w:tc>
        <w:tc>
          <w:tcPr>
            <w:tcW w:w="3060" w:type="dxa"/>
          </w:tcPr>
          <w:p>
            <w:pPr>
              <w:pStyle w:val="TableParagraph"/>
              <w:spacing w:before="135"/>
              <w:ind w:left="668"/>
              <w:rPr>
                <w:sz w:val="28"/>
              </w:rPr>
            </w:pPr>
            <w:r>
              <w:rPr>
                <w:spacing w:val="-4"/>
                <w:sz w:val="28"/>
              </w:rPr>
              <w:t>措 施</w:t>
            </w:r>
          </w:p>
        </w:tc>
      </w:tr>
    </w:tbl>
    <w:p>
      <w:pPr>
        <w:spacing w:after="0"/>
        <w:rPr>
          <w:sz w:val="28"/>
        </w:rPr>
        <w:sectPr>
          <w:headerReference w:type="default" r:id="rId42"/>
          <w:footerReference w:type="default" r:id="rId43"/>
          <w:pgSz w:w="11910" w:h="16840"/>
          <w:pgMar w:top="1180" w:right="640" w:bottom="1600" w:left="1020" w:header="996" w:footer="1381"/>
          <w:pgNumType w:start="20"/>
          <w:cols w:space="708"/>
        </w:sectPr>
      </w:pPr>
    </w:p>
    <w:tbl>
      <w:tblPr>
        <w:tblStyle w:val="TableNormal9"/>
        <w:tblW w:w="0" w:type="auto"/>
        <w:jc w:val="left"/>
        <w:tblInd w:w="9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40"/>
        <w:gridCol w:w="1080"/>
        <w:gridCol w:w="1418"/>
        <w:gridCol w:w="2362"/>
        <w:gridCol w:w="3060"/>
      </w:tblGrid>
      <w:tr>
        <w:tblPrEx>
          <w:tblW w:w="0" w:type="auto"/>
          <w:jc w:val="left"/>
          <w:tblInd w:w="9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624"/>
          <w:jc w:val="left"/>
        </w:trPr>
        <w:tc>
          <w:tcPr>
            <w:tcW w:w="540" w:type="dxa"/>
          </w:tcPr>
          <w:p>
            <w:pPr>
              <w:pStyle w:val="TableParagraph"/>
              <w:rPr>
                <w:rFonts w:ascii="Times New Roman"/>
                <w:sz w:val="26"/>
              </w:rPr>
            </w:pPr>
          </w:p>
        </w:tc>
        <w:tc>
          <w:tcPr>
            <w:tcW w:w="1080" w:type="dxa"/>
          </w:tcPr>
          <w:p>
            <w:pPr>
              <w:pStyle w:val="TableParagraph"/>
              <w:spacing w:before="135"/>
              <w:ind w:left="108"/>
              <w:rPr>
                <w:sz w:val="28"/>
              </w:rPr>
            </w:pPr>
            <w:r>
              <w:rPr>
                <w:sz w:val="28"/>
              </w:rPr>
              <w:t>因</w:t>
            </w:r>
          </w:p>
        </w:tc>
        <w:tc>
          <w:tcPr>
            <w:tcW w:w="1418" w:type="dxa"/>
          </w:tcPr>
          <w:p>
            <w:pPr>
              <w:pStyle w:val="TableParagraph"/>
              <w:spacing w:before="135"/>
              <w:ind w:left="108"/>
              <w:rPr>
                <w:sz w:val="28"/>
              </w:rPr>
            </w:pPr>
            <w:r>
              <w:rPr>
                <w:sz w:val="28"/>
              </w:rPr>
              <w:t>策</w:t>
            </w:r>
          </w:p>
        </w:tc>
        <w:tc>
          <w:tcPr>
            <w:tcW w:w="2362" w:type="dxa"/>
          </w:tcPr>
          <w:p>
            <w:pPr>
              <w:pStyle w:val="TableParagraph"/>
              <w:rPr>
                <w:rFonts w:ascii="Times New Roman"/>
                <w:sz w:val="26"/>
              </w:rPr>
            </w:pPr>
          </w:p>
        </w:tc>
        <w:tc>
          <w:tcPr>
            <w:tcW w:w="3060" w:type="dxa"/>
          </w:tcPr>
          <w:p>
            <w:pPr>
              <w:pStyle w:val="TableParagraph"/>
              <w:rPr>
                <w:rFonts w:ascii="Times New Roman"/>
                <w:sz w:val="26"/>
              </w:rPr>
            </w:pPr>
          </w:p>
        </w:tc>
      </w:tr>
      <w:tr>
        <w:tblPrEx>
          <w:tblW w:w="0" w:type="auto"/>
          <w:jc w:val="left"/>
          <w:tblInd w:w="943" w:type="dxa"/>
          <w:tblLayout w:type="fixed"/>
          <w:tblCellMar>
            <w:top w:w="0" w:type="dxa"/>
            <w:left w:w="0" w:type="dxa"/>
            <w:bottom w:w="0" w:type="dxa"/>
            <w:right w:w="0" w:type="dxa"/>
          </w:tblCellMar>
          <w:tblLook w:val="01E0"/>
        </w:tblPrEx>
        <w:trPr>
          <w:trHeight w:val="4367"/>
          <w:jc w:val="left"/>
        </w:trPr>
        <w:tc>
          <w:tcPr>
            <w:tcW w:w="540" w:type="dxa"/>
          </w:tcPr>
          <w:p>
            <w:pPr>
              <w:pStyle w:val="TableParagraph"/>
              <w:rPr>
                <w:rFonts w:ascii="Times New Roman"/>
                <w:sz w:val="26"/>
              </w:rPr>
            </w:pPr>
          </w:p>
        </w:tc>
        <w:tc>
          <w:tcPr>
            <w:tcW w:w="1080" w:type="dxa"/>
          </w:tcPr>
          <w:p>
            <w:pPr>
              <w:pStyle w:val="TableParagraph"/>
              <w:spacing w:before="135" w:line="417" w:lineRule="auto"/>
              <w:ind w:left="108" w:right="95" w:firstLine="560"/>
              <w:jc w:val="both"/>
              <w:rPr>
                <w:sz w:val="28"/>
              </w:rPr>
            </w:pPr>
            <w:r>
              <w:rPr>
                <w:spacing w:val="-10"/>
                <w:sz w:val="28"/>
              </w:rPr>
              <w:t>技</w:t>
            </w:r>
            <w:r>
              <w:rPr>
                <w:spacing w:val="3"/>
                <w:sz w:val="28"/>
              </w:rPr>
              <w:t>术交底</w:t>
            </w:r>
            <w:r>
              <w:rPr>
                <w:spacing w:val="3"/>
                <w:sz w:val="28"/>
              </w:rPr>
              <w:t>不细，</w:t>
            </w:r>
            <w:r>
              <w:rPr>
                <w:spacing w:val="-4"/>
                <w:sz w:val="28"/>
              </w:rPr>
              <w:t>原则化</w:t>
            </w:r>
          </w:p>
        </w:tc>
        <w:tc>
          <w:tcPr>
            <w:tcW w:w="1418" w:type="dxa"/>
          </w:tcPr>
          <w:p>
            <w:pPr>
              <w:pStyle w:val="TableParagraph"/>
              <w:spacing w:before="135" w:line="417" w:lineRule="auto"/>
              <w:ind w:left="108" w:right="-101" w:firstLine="560"/>
              <w:rPr>
                <w:sz w:val="28"/>
              </w:rPr>
            </w:pPr>
            <w:r>
              <w:rPr>
                <w:spacing w:val="-6"/>
                <w:sz w:val="28"/>
              </w:rPr>
              <w:t>借 鉴</w:t>
            </w:r>
            <w:r>
              <w:rPr>
                <w:spacing w:val="-2"/>
                <w:sz w:val="28"/>
              </w:rPr>
              <w:t>相关经验，</w:t>
            </w:r>
            <w:r>
              <w:rPr>
                <w:spacing w:val="17"/>
                <w:sz w:val="28"/>
              </w:rPr>
              <w:t>优化作业</w:t>
            </w:r>
            <w:r>
              <w:rPr>
                <w:spacing w:val="-12"/>
                <w:sz w:val="28"/>
              </w:rPr>
              <w:t>程序， 强</w:t>
            </w:r>
            <w:r>
              <w:rPr>
                <w:spacing w:val="17"/>
                <w:sz w:val="28"/>
              </w:rPr>
              <w:t>化技术交</w:t>
            </w:r>
            <w:r>
              <w:rPr>
                <w:spacing w:val="-10"/>
                <w:sz w:val="28"/>
              </w:rPr>
              <w:t>底</w:t>
            </w:r>
          </w:p>
        </w:tc>
        <w:tc>
          <w:tcPr>
            <w:tcW w:w="2362" w:type="dxa"/>
          </w:tcPr>
          <w:p>
            <w:pPr>
              <w:pStyle w:val="TableParagraph"/>
              <w:spacing w:before="135" w:line="417" w:lineRule="auto"/>
              <w:ind w:left="107" w:right="96" w:firstLine="560"/>
              <w:jc w:val="both"/>
              <w:rPr>
                <w:sz w:val="28"/>
              </w:rPr>
            </w:pPr>
            <w:r>
              <w:rPr>
                <w:spacing w:val="-20"/>
                <w:sz w:val="28"/>
              </w:rPr>
              <w:t>分级交底，落</w:t>
            </w:r>
            <w:r>
              <w:rPr>
                <w:spacing w:val="-16"/>
                <w:sz w:val="28"/>
              </w:rPr>
              <w:t>实到位，主要质量</w:t>
            </w:r>
            <w:r>
              <w:rPr>
                <w:spacing w:val="-14"/>
                <w:sz w:val="28"/>
              </w:rPr>
              <w:t>目标量化：平整度</w:t>
            </w:r>
          </w:p>
          <w:p>
            <w:pPr>
              <w:pStyle w:val="TableParagraph"/>
              <w:spacing w:line="417" w:lineRule="auto"/>
              <w:ind w:left="107" w:right="96"/>
              <w:jc w:val="both"/>
              <w:rPr>
                <w:sz w:val="28"/>
              </w:rPr>
            </w:pPr>
            <w:r>
              <w:rPr>
                <w:spacing w:val="-14"/>
                <w:sz w:val="28"/>
              </w:rPr>
              <w:t>（表面）</w:t>
            </w:r>
            <w:r>
              <w:rPr>
                <w:rFonts w:ascii="Times New Roman" w:eastAsia="Times New Roman"/>
                <w:spacing w:val="-14"/>
                <w:sz w:val="28"/>
              </w:rPr>
              <w:t>2mm</w:t>
            </w:r>
            <w:r>
              <w:rPr>
                <w:spacing w:val="-14"/>
                <w:sz w:val="28"/>
              </w:rPr>
              <w:t>，基</w:t>
            </w:r>
            <w:r>
              <w:rPr>
                <w:spacing w:val="-18"/>
                <w:sz w:val="28"/>
              </w:rPr>
              <w:t xml:space="preserve">层 </w:t>
            </w:r>
            <w:r>
              <w:rPr>
                <w:rFonts w:ascii="Times New Roman" w:eastAsia="Times New Roman"/>
                <w:sz w:val="28"/>
              </w:rPr>
              <w:t>1.5mm</w:t>
            </w:r>
            <w:r>
              <w:rPr>
                <w:spacing w:val="-4"/>
                <w:sz w:val="28"/>
              </w:rPr>
              <w:t>； 流程</w:t>
            </w:r>
            <w:r>
              <w:rPr>
                <w:spacing w:val="24"/>
                <w:sz w:val="28"/>
              </w:rPr>
              <w:t>细化分解至每道</w:t>
            </w:r>
          </w:p>
          <w:p>
            <w:pPr>
              <w:pStyle w:val="TableParagraph"/>
              <w:spacing w:line="358" w:lineRule="exact"/>
              <w:ind w:left="107"/>
              <w:rPr>
                <w:sz w:val="28"/>
              </w:rPr>
            </w:pPr>
            <w:r>
              <w:rPr>
                <w:spacing w:val="-5"/>
                <w:sz w:val="28"/>
              </w:rPr>
              <w:t>工序</w:t>
            </w:r>
          </w:p>
        </w:tc>
        <w:tc>
          <w:tcPr>
            <w:tcW w:w="3060" w:type="dxa"/>
          </w:tcPr>
          <w:p>
            <w:pPr>
              <w:pStyle w:val="TableParagraph"/>
              <w:spacing w:before="135" w:line="417" w:lineRule="auto"/>
              <w:ind w:left="108" w:right="62" w:firstLine="560"/>
              <w:jc w:val="both"/>
              <w:rPr>
                <w:sz w:val="28"/>
              </w:rPr>
            </w:pPr>
            <w:r>
              <w:rPr>
                <w:spacing w:val="-2"/>
                <w:sz w:val="28"/>
              </w:rPr>
              <w:t>质量要求量化</w:t>
            </w:r>
            <w:r>
              <w:rPr>
                <w:rFonts w:ascii="Times New Roman" w:eastAsia="Times New Roman"/>
                <w:spacing w:val="-2"/>
                <w:sz w:val="28"/>
              </w:rPr>
              <w:t>;</w:t>
            </w:r>
            <w:r>
              <w:rPr>
                <w:spacing w:val="-2"/>
                <w:sz w:val="28"/>
              </w:rPr>
              <w:t>详细</w:t>
            </w:r>
            <w:r>
              <w:rPr>
                <w:spacing w:val="-2"/>
                <w:sz w:val="28"/>
              </w:rPr>
              <w:t>标示工艺流程和关键控</w:t>
            </w:r>
            <w:r>
              <w:rPr>
                <w:spacing w:val="-2"/>
                <w:sz w:val="28"/>
              </w:rPr>
              <w:t>制程序</w:t>
            </w:r>
            <w:r>
              <w:rPr>
                <w:rFonts w:ascii="Times New Roman" w:eastAsia="Times New Roman"/>
                <w:spacing w:val="-2"/>
                <w:sz w:val="28"/>
              </w:rPr>
              <w:t>;</w:t>
            </w:r>
            <w:r>
              <w:rPr>
                <w:spacing w:val="-2"/>
                <w:sz w:val="28"/>
              </w:rPr>
              <w:t>分级多层交底，</w:t>
            </w:r>
            <w:r>
              <w:rPr>
                <w:spacing w:val="-4"/>
                <w:sz w:val="28"/>
              </w:rPr>
              <w:t>逐个落实</w:t>
            </w:r>
          </w:p>
        </w:tc>
      </w:tr>
      <w:tr>
        <w:tblPrEx>
          <w:tblW w:w="0" w:type="auto"/>
          <w:jc w:val="left"/>
          <w:tblInd w:w="943" w:type="dxa"/>
          <w:tblLayout w:type="fixed"/>
          <w:tblCellMar>
            <w:top w:w="0" w:type="dxa"/>
            <w:left w:w="0" w:type="dxa"/>
            <w:bottom w:w="0" w:type="dxa"/>
            <w:right w:w="0" w:type="dxa"/>
          </w:tblCellMar>
          <w:tblLook w:val="01E0"/>
        </w:tblPrEx>
        <w:trPr>
          <w:trHeight w:val="2496"/>
          <w:jc w:val="left"/>
        </w:trPr>
        <w:tc>
          <w:tcPr>
            <w:tcW w:w="540" w:type="dxa"/>
          </w:tcPr>
          <w:p>
            <w:pPr>
              <w:pStyle w:val="TableParagraph"/>
              <w:rPr>
                <w:rFonts w:ascii="Times New Roman"/>
                <w:sz w:val="26"/>
              </w:rPr>
            </w:pPr>
          </w:p>
        </w:tc>
        <w:tc>
          <w:tcPr>
            <w:tcW w:w="1080" w:type="dxa"/>
          </w:tcPr>
          <w:p>
            <w:pPr>
              <w:pStyle w:val="TableParagraph"/>
              <w:spacing w:before="135" w:line="417" w:lineRule="auto"/>
              <w:ind w:left="108" w:right="95" w:firstLine="560"/>
              <w:jc w:val="both"/>
              <w:rPr>
                <w:sz w:val="28"/>
              </w:rPr>
            </w:pPr>
            <w:r>
              <w:rPr>
                <w:spacing w:val="-10"/>
                <w:sz w:val="28"/>
              </w:rPr>
              <w:t>材</w:t>
            </w:r>
            <w:r>
              <w:rPr>
                <w:spacing w:val="3"/>
                <w:sz w:val="28"/>
              </w:rPr>
              <w:t>料验收</w:t>
            </w:r>
            <w:r>
              <w:rPr>
                <w:spacing w:val="4"/>
                <w:sz w:val="28"/>
              </w:rPr>
              <w:t>把关不</w:t>
            </w:r>
          </w:p>
          <w:p>
            <w:pPr>
              <w:pStyle w:val="TableParagraph"/>
              <w:spacing w:line="358" w:lineRule="exact"/>
              <w:ind w:left="108"/>
              <w:rPr>
                <w:sz w:val="28"/>
              </w:rPr>
            </w:pPr>
            <w:r>
              <w:rPr>
                <w:sz w:val="28"/>
              </w:rPr>
              <w:t>严</w:t>
            </w:r>
          </w:p>
        </w:tc>
        <w:tc>
          <w:tcPr>
            <w:tcW w:w="1418" w:type="dxa"/>
          </w:tcPr>
          <w:p>
            <w:pPr>
              <w:pStyle w:val="TableParagraph"/>
              <w:spacing w:before="135" w:line="417" w:lineRule="auto"/>
              <w:ind w:left="108" w:right="95" w:firstLine="560"/>
              <w:jc w:val="both"/>
              <w:rPr>
                <w:sz w:val="28"/>
              </w:rPr>
            </w:pPr>
            <w:r>
              <w:rPr>
                <w:spacing w:val="-22"/>
                <w:sz w:val="28"/>
              </w:rPr>
              <w:t>严 把</w:t>
            </w:r>
            <w:r>
              <w:rPr>
                <w:spacing w:val="17"/>
                <w:sz w:val="28"/>
              </w:rPr>
              <w:t>材料进场</w:t>
            </w:r>
            <w:r>
              <w:rPr>
                <w:spacing w:val="-14"/>
                <w:sz w:val="28"/>
              </w:rPr>
              <w:t>关， 减少</w:t>
            </w:r>
          </w:p>
          <w:p>
            <w:pPr>
              <w:pStyle w:val="TableParagraph"/>
              <w:spacing w:line="358" w:lineRule="exact"/>
              <w:ind w:left="108"/>
              <w:rPr>
                <w:sz w:val="28"/>
              </w:rPr>
            </w:pPr>
            <w:r>
              <w:rPr>
                <w:spacing w:val="-3"/>
                <w:sz w:val="28"/>
              </w:rPr>
              <w:t>进场批号</w:t>
            </w:r>
          </w:p>
        </w:tc>
        <w:tc>
          <w:tcPr>
            <w:tcW w:w="2362" w:type="dxa"/>
          </w:tcPr>
          <w:p>
            <w:pPr>
              <w:pStyle w:val="TableParagraph"/>
              <w:spacing w:before="135" w:line="417" w:lineRule="auto"/>
              <w:ind w:left="107" w:right="96" w:firstLine="560"/>
              <w:jc w:val="both"/>
              <w:rPr>
                <w:sz w:val="28"/>
              </w:rPr>
            </w:pPr>
            <w:r>
              <w:rPr>
                <w:spacing w:val="33"/>
                <w:sz w:val="28"/>
              </w:rPr>
              <w:t>减少材料造</w:t>
            </w:r>
            <w:r>
              <w:rPr>
                <w:spacing w:val="-15"/>
                <w:sz w:val="28"/>
              </w:rPr>
              <w:t>成的质量波动，面</w:t>
            </w:r>
            <w:r>
              <w:rPr>
                <w:spacing w:val="-22"/>
                <w:sz w:val="28"/>
              </w:rPr>
              <w:t xml:space="preserve">漆 </w:t>
            </w:r>
            <w:r>
              <w:rPr>
                <w:rFonts w:ascii="Times New Roman" w:eastAsia="Times New Roman"/>
                <w:sz w:val="28"/>
              </w:rPr>
              <w:t>1</w:t>
            </w:r>
            <w:r>
              <w:rPr>
                <w:rFonts w:ascii="Times New Roman" w:eastAsia="Times New Roman"/>
                <w:spacing w:val="40"/>
                <w:sz w:val="28"/>
              </w:rPr>
              <w:t xml:space="preserve"> </w:t>
            </w:r>
            <w:r>
              <w:rPr>
                <w:sz w:val="28"/>
              </w:rPr>
              <w:t>个批号进场</w:t>
            </w:r>
          </w:p>
        </w:tc>
        <w:tc>
          <w:tcPr>
            <w:tcW w:w="3060" w:type="dxa"/>
          </w:tcPr>
          <w:p>
            <w:pPr>
              <w:pStyle w:val="TableParagraph"/>
              <w:spacing w:before="135" w:line="417" w:lineRule="auto"/>
              <w:ind w:left="108" w:right="96" w:firstLine="560"/>
              <w:jc w:val="both"/>
              <w:rPr>
                <w:sz w:val="28"/>
              </w:rPr>
            </w:pPr>
            <w:r>
              <w:rPr>
                <w:spacing w:val="-2"/>
                <w:sz w:val="28"/>
              </w:rPr>
              <w:t>与厂家联系成批生</w:t>
            </w:r>
            <w:r>
              <w:rPr>
                <w:spacing w:val="-4"/>
                <w:sz w:val="28"/>
              </w:rPr>
              <w:t>产</w:t>
            </w:r>
            <w:r>
              <w:rPr>
                <w:rFonts w:ascii="Times New Roman" w:eastAsia="Times New Roman"/>
                <w:spacing w:val="-4"/>
                <w:sz w:val="28"/>
              </w:rPr>
              <w:t>;</w:t>
            </w:r>
            <w:r>
              <w:rPr>
                <w:spacing w:val="-4"/>
                <w:sz w:val="28"/>
              </w:rPr>
              <w:t>同一立面保证用同一</w:t>
            </w:r>
            <w:r>
              <w:rPr>
                <w:spacing w:val="-2"/>
                <w:sz w:val="28"/>
              </w:rPr>
              <w:t>批次进场的面漆</w:t>
            </w:r>
          </w:p>
        </w:tc>
      </w:tr>
      <w:tr>
        <w:tblPrEx>
          <w:tblW w:w="0" w:type="auto"/>
          <w:jc w:val="left"/>
          <w:tblInd w:w="943" w:type="dxa"/>
          <w:tblLayout w:type="fixed"/>
          <w:tblCellMar>
            <w:top w:w="0" w:type="dxa"/>
            <w:left w:w="0" w:type="dxa"/>
            <w:bottom w:w="0" w:type="dxa"/>
            <w:right w:w="0" w:type="dxa"/>
          </w:tblCellMar>
          <w:tblLook w:val="01E0"/>
        </w:tblPrEx>
        <w:trPr>
          <w:trHeight w:val="3743"/>
          <w:jc w:val="left"/>
        </w:trPr>
        <w:tc>
          <w:tcPr>
            <w:tcW w:w="540" w:type="dxa"/>
          </w:tcPr>
          <w:p>
            <w:pPr>
              <w:pStyle w:val="TableParagraph"/>
              <w:rPr>
                <w:rFonts w:ascii="Times New Roman"/>
                <w:sz w:val="26"/>
              </w:rPr>
            </w:pPr>
          </w:p>
        </w:tc>
        <w:tc>
          <w:tcPr>
            <w:tcW w:w="1080" w:type="dxa"/>
          </w:tcPr>
          <w:p>
            <w:pPr>
              <w:pStyle w:val="TableParagraph"/>
              <w:spacing w:before="135" w:line="417" w:lineRule="auto"/>
              <w:ind w:left="108" w:right="95" w:firstLine="560"/>
              <w:jc w:val="both"/>
              <w:rPr>
                <w:sz w:val="28"/>
              </w:rPr>
            </w:pPr>
            <w:r>
              <w:rPr>
                <w:spacing w:val="-10"/>
                <w:sz w:val="28"/>
              </w:rPr>
              <w:t>漆</w:t>
            </w:r>
            <w:r>
              <w:rPr>
                <w:spacing w:val="3"/>
                <w:sz w:val="28"/>
              </w:rPr>
              <w:t>本身未</w:t>
            </w:r>
            <w:r>
              <w:rPr>
                <w:spacing w:val="3"/>
                <w:sz w:val="28"/>
              </w:rPr>
              <w:t>按配合</w:t>
            </w:r>
            <w:r>
              <w:rPr>
                <w:spacing w:val="3"/>
                <w:sz w:val="28"/>
              </w:rPr>
              <w:t>比进行</w:t>
            </w:r>
            <w:r>
              <w:rPr>
                <w:spacing w:val="4"/>
                <w:sz w:val="28"/>
              </w:rPr>
              <w:t>固化、</w:t>
            </w:r>
          </w:p>
          <w:p>
            <w:pPr>
              <w:pStyle w:val="TableParagraph"/>
              <w:spacing w:line="358" w:lineRule="exact"/>
              <w:ind w:left="108"/>
              <w:rPr>
                <w:sz w:val="28"/>
              </w:rPr>
            </w:pPr>
            <w:r>
              <w:rPr>
                <w:spacing w:val="-5"/>
                <w:sz w:val="28"/>
              </w:rPr>
              <w:t>稀释</w:t>
            </w:r>
          </w:p>
        </w:tc>
        <w:tc>
          <w:tcPr>
            <w:tcW w:w="1418" w:type="dxa"/>
          </w:tcPr>
          <w:p>
            <w:pPr>
              <w:pStyle w:val="TableParagraph"/>
              <w:spacing w:before="135" w:line="417" w:lineRule="auto"/>
              <w:ind w:left="108" w:right="95" w:firstLine="560"/>
              <w:jc w:val="both"/>
              <w:rPr>
                <w:sz w:val="28"/>
              </w:rPr>
            </w:pPr>
            <w:r>
              <w:rPr>
                <w:spacing w:val="-22"/>
                <w:sz w:val="28"/>
              </w:rPr>
              <w:t>定 配</w:t>
            </w:r>
            <w:r>
              <w:rPr>
                <w:spacing w:val="17"/>
                <w:sz w:val="28"/>
              </w:rPr>
              <w:t>比标准；</w:t>
            </w:r>
            <w:r>
              <w:rPr>
                <w:spacing w:val="17"/>
                <w:sz w:val="28"/>
              </w:rPr>
              <w:t>严格按合</w:t>
            </w:r>
            <w:r>
              <w:rPr>
                <w:spacing w:val="-4"/>
                <w:sz w:val="28"/>
              </w:rPr>
              <w:t>比计下料</w:t>
            </w:r>
          </w:p>
        </w:tc>
        <w:tc>
          <w:tcPr>
            <w:tcW w:w="2362" w:type="dxa"/>
          </w:tcPr>
          <w:p>
            <w:pPr>
              <w:pStyle w:val="TableParagraph"/>
              <w:spacing w:before="135" w:line="417" w:lineRule="auto"/>
              <w:ind w:left="107" w:right="96" w:firstLine="560"/>
              <w:jc w:val="both"/>
              <w:rPr>
                <w:sz w:val="28"/>
              </w:rPr>
            </w:pPr>
            <w:r>
              <w:rPr>
                <w:spacing w:val="33"/>
                <w:sz w:val="28"/>
              </w:rPr>
              <w:t>将因配合比</w:t>
            </w:r>
            <w:r>
              <w:rPr>
                <w:spacing w:val="24"/>
                <w:sz w:val="28"/>
              </w:rPr>
              <w:t>因素造成的色差</w:t>
            </w:r>
            <w:r>
              <w:rPr>
                <w:spacing w:val="17"/>
                <w:sz w:val="28"/>
              </w:rPr>
              <w:t xml:space="preserve">波动降至 </w:t>
            </w:r>
            <w:r>
              <w:rPr>
                <w:rFonts w:ascii="Times New Roman" w:eastAsia="Times New Roman"/>
                <w:sz w:val="28"/>
              </w:rPr>
              <w:t>10%</w:t>
            </w:r>
            <w:r>
              <w:rPr>
                <w:sz w:val="28"/>
              </w:rPr>
              <w:t>以</w:t>
            </w:r>
            <w:r>
              <w:rPr>
                <w:spacing w:val="-10"/>
                <w:sz w:val="28"/>
              </w:rPr>
              <w:t>下</w:t>
            </w:r>
          </w:p>
        </w:tc>
        <w:tc>
          <w:tcPr>
            <w:tcW w:w="3060" w:type="dxa"/>
          </w:tcPr>
          <w:p>
            <w:pPr>
              <w:pStyle w:val="TableParagraph"/>
              <w:spacing w:before="135" w:line="417" w:lineRule="auto"/>
              <w:ind w:left="108" w:right="96" w:firstLine="560"/>
              <w:jc w:val="both"/>
              <w:rPr>
                <w:sz w:val="28"/>
              </w:rPr>
            </w:pPr>
            <w:r>
              <w:rPr>
                <w:spacing w:val="-2"/>
                <w:sz w:val="28"/>
              </w:rPr>
              <w:t>采用专用批次搅拌</w:t>
            </w:r>
            <w:r>
              <w:rPr>
                <w:spacing w:val="-4"/>
                <w:sz w:val="28"/>
              </w:rPr>
              <w:t>容器</w:t>
            </w:r>
            <w:r>
              <w:rPr>
                <w:rFonts w:ascii="Times New Roman" w:eastAsia="Times New Roman" w:hAnsi="Times New Roman"/>
                <w:spacing w:val="-4"/>
                <w:sz w:val="28"/>
              </w:rPr>
              <w:t>;</w:t>
            </w:r>
            <w:r>
              <w:rPr>
                <w:spacing w:val="-4"/>
                <w:sz w:val="28"/>
              </w:rPr>
              <w:t>现场计量双组份面</w:t>
            </w:r>
            <w:r>
              <w:rPr>
                <w:spacing w:val="-4"/>
                <w:sz w:val="28"/>
              </w:rPr>
              <w:t>漆配合比</w:t>
            </w:r>
            <w:r>
              <w:rPr>
                <w:rFonts w:ascii="Times New Roman" w:eastAsia="Times New Roman" w:hAnsi="Times New Roman"/>
                <w:spacing w:val="-4"/>
                <w:sz w:val="28"/>
              </w:rPr>
              <w:t>;</w:t>
            </w:r>
            <w:r>
              <w:rPr>
                <w:spacing w:val="-4"/>
                <w:sz w:val="28"/>
              </w:rPr>
              <w:t>专业工长专职</w:t>
            </w:r>
            <w:r>
              <w:rPr>
                <w:spacing w:val="-4"/>
                <w:sz w:val="28"/>
              </w:rPr>
              <w:t>监督投料</w:t>
            </w:r>
            <w:r>
              <w:rPr>
                <w:rFonts w:ascii="Times New Roman" w:eastAsia="Times New Roman" w:hAnsi="Times New Roman"/>
                <w:spacing w:val="-4"/>
                <w:sz w:val="28"/>
              </w:rPr>
              <w:t>;</w:t>
            </w:r>
            <w:r>
              <w:rPr>
                <w:spacing w:val="-4"/>
                <w:sz w:val="28"/>
              </w:rPr>
              <w:t>检验合格面料</w:t>
            </w:r>
            <w:r>
              <w:rPr>
                <w:spacing w:val="-1"/>
                <w:sz w:val="28"/>
              </w:rPr>
              <w:t>张贴“允许使用”标签</w:t>
            </w:r>
          </w:p>
        </w:tc>
      </w:tr>
      <w:tr>
        <w:tblPrEx>
          <w:tblW w:w="0" w:type="auto"/>
          <w:jc w:val="left"/>
          <w:tblInd w:w="943" w:type="dxa"/>
          <w:tblLayout w:type="fixed"/>
          <w:tblCellMar>
            <w:top w:w="0" w:type="dxa"/>
            <w:left w:w="0" w:type="dxa"/>
            <w:bottom w:w="0" w:type="dxa"/>
            <w:right w:w="0" w:type="dxa"/>
          </w:tblCellMar>
          <w:tblLook w:val="01E0"/>
        </w:tblPrEx>
        <w:trPr>
          <w:trHeight w:val="2495"/>
          <w:jc w:val="left"/>
        </w:trPr>
        <w:tc>
          <w:tcPr>
            <w:tcW w:w="540" w:type="dxa"/>
          </w:tcPr>
          <w:p>
            <w:pPr>
              <w:pStyle w:val="TableParagraph"/>
              <w:rPr>
                <w:rFonts w:ascii="Times New Roman"/>
                <w:sz w:val="26"/>
              </w:rPr>
            </w:pPr>
          </w:p>
        </w:tc>
        <w:tc>
          <w:tcPr>
            <w:tcW w:w="1080" w:type="dxa"/>
          </w:tcPr>
          <w:p>
            <w:pPr>
              <w:pStyle w:val="TableParagraph"/>
              <w:spacing w:before="135" w:line="417" w:lineRule="auto"/>
              <w:ind w:left="108" w:right="95" w:firstLine="560"/>
              <w:jc w:val="both"/>
              <w:rPr>
                <w:sz w:val="28"/>
              </w:rPr>
            </w:pPr>
            <w:r>
              <w:rPr>
                <w:spacing w:val="-10"/>
                <w:sz w:val="28"/>
              </w:rPr>
              <w:t>基</w:t>
            </w:r>
            <w:r>
              <w:rPr>
                <w:spacing w:val="3"/>
                <w:sz w:val="28"/>
              </w:rPr>
              <w:t>层抹灰</w:t>
            </w:r>
            <w:r>
              <w:rPr>
                <w:spacing w:val="4"/>
                <w:sz w:val="28"/>
              </w:rPr>
              <w:t>平整度</w:t>
            </w:r>
          </w:p>
          <w:p>
            <w:pPr>
              <w:pStyle w:val="TableParagraph"/>
              <w:spacing w:line="358" w:lineRule="exact"/>
              <w:ind w:left="108"/>
              <w:rPr>
                <w:sz w:val="28"/>
              </w:rPr>
            </w:pPr>
            <w:r>
              <w:rPr>
                <w:spacing w:val="4"/>
                <w:sz w:val="28"/>
              </w:rPr>
              <w:t>达不到</w:t>
            </w:r>
          </w:p>
        </w:tc>
        <w:tc>
          <w:tcPr>
            <w:tcW w:w="1418" w:type="dxa"/>
          </w:tcPr>
          <w:p>
            <w:pPr>
              <w:pStyle w:val="TableParagraph"/>
              <w:spacing w:before="135" w:line="417" w:lineRule="auto"/>
              <w:ind w:left="108" w:right="-44" w:firstLine="560"/>
              <w:rPr>
                <w:sz w:val="28"/>
              </w:rPr>
            </w:pPr>
            <w:r>
              <w:rPr>
                <w:spacing w:val="-6"/>
                <w:sz w:val="28"/>
              </w:rPr>
              <w:t>提 高</w:t>
            </w:r>
            <w:r>
              <w:rPr>
                <w:spacing w:val="-16"/>
                <w:sz w:val="28"/>
              </w:rPr>
              <w:t>施工标准；</w:t>
            </w:r>
            <w:r>
              <w:rPr>
                <w:spacing w:val="17"/>
                <w:sz w:val="28"/>
              </w:rPr>
              <w:t>完善检验</w:t>
            </w:r>
          </w:p>
          <w:p>
            <w:pPr>
              <w:pStyle w:val="TableParagraph"/>
              <w:spacing w:line="358" w:lineRule="exact"/>
              <w:ind w:left="108"/>
              <w:rPr>
                <w:sz w:val="28"/>
              </w:rPr>
            </w:pPr>
            <w:r>
              <w:rPr>
                <w:spacing w:val="-14"/>
                <w:sz w:val="28"/>
              </w:rPr>
              <w:t>手段； 改</w:t>
            </w:r>
          </w:p>
        </w:tc>
        <w:tc>
          <w:tcPr>
            <w:tcW w:w="2362" w:type="dxa"/>
          </w:tcPr>
          <w:p>
            <w:pPr>
              <w:pStyle w:val="TableParagraph"/>
              <w:spacing w:before="135" w:line="417" w:lineRule="auto"/>
              <w:ind w:left="107" w:right="96" w:firstLine="560"/>
              <w:jc w:val="both"/>
              <w:rPr>
                <w:sz w:val="28"/>
              </w:rPr>
            </w:pPr>
            <w:r>
              <w:rPr>
                <w:spacing w:val="33"/>
                <w:sz w:val="28"/>
              </w:rPr>
              <w:t>基层平整度</w:t>
            </w:r>
            <w:r>
              <w:rPr>
                <w:spacing w:val="24"/>
                <w:sz w:val="28"/>
              </w:rPr>
              <w:t>现场施工超过高</w:t>
            </w:r>
            <w:r>
              <w:rPr>
                <w:spacing w:val="-14"/>
                <w:sz w:val="28"/>
              </w:rPr>
              <w:t>级抹灰标准，定为</w:t>
            </w:r>
          </w:p>
          <w:p>
            <w:pPr>
              <w:pStyle w:val="TableParagraph"/>
              <w:spacing w:before="15"/>
              <w:ind w:left="107"/>
              <w:rPr>
                <w:rFonts w:ascii="Times New Roman"/>
                <w:sz w:val="28"/>
              </w:rPr>
            </w:pPr>
            <w:r>
              <w:rPr>
                <w:rFonts w:ascii="Times New Roman"/>
                <w:spacing w:val="-2"/>
                <w:sz w:val="28"/>
              </w:rPr>
              <w:t>1.5mm</w:t>
            </w:r>
          </w:p>
        </w:tc>
        <w:tc>
          <w:tcPr>
            <w:tcW w:w="3060" w:type="dxa"/>
          </w:tcPr>
          <w:p>
            <w:pPr>
              <w:pStyle w:val="TableParagraph"/>
              <w:spacing w:before="135" w:line="417" w:lineRule="auto"/>
              <w:ind w:left="108" w:right="96" w:firstLine="560"/>
              <w:jc w:val="both"/>
              <w:rPr>
                <w:sz w:val="28"/>
              </w:rPr>
            </w:pPr>
            <w:r>
              <w:rPr>
                <w:spacing w:val="-2"/>
                <w:sz w:val="28"/>
              </w:rPr>
              <w:t>使用测平仪，改进</w:t>
            </w:r>
            <w:r>
              <w:rPr>
                <w:spacing w:val="-4"/>
                <w:sz w:val="28"/>
              </w:rPr>
              <w:t>测控方法</w:t>
            </w:r>
            <w:r>
              <w:rPr>
                <w:rFonts w:ascii="Times New Roman" w:eastAsia="Times New Roman"/>
                <w:spacing w:val="-4"/>
                <w:sz w:val="28"/>
              </w:rPr>
              <w:t>;</w:t>
            </w:r>
            <w:r>
              <w:rPr>
                <w:spacing w:val="-4"/>
                <w:sz w:val="28"/>
              </w:rPr>
              <w:t>提高平整度合</w:t>
            </w:r>
            <w:r>
              <w:rPr>
                <w:spacing w:val="21"/>
                <w:sz w:val="28"/>
              </w:rPr>
              <w:t xml:space="preserve">格要求至 </w:t>
            </w:r>
            <w:r>
              <w:rPr>
                <w:rFonts w:ascii="Times New Roman" w:eastAsia="Times New Roman"/>
                <w:sz w:val="28"/>
              </w:rPr>
              <w:t>1.5mm;</w:t>
            </w:r>
            <w:r>
              <w:rPr>
                <w:spacing w:val="18"/>
                <w:sz w:val="28"/>
              </w:rPr>
              <w:t>基层</w:t>
            </w:r>
          </w:p>
          <w:p>
            <w:pPr>
              <w:pStyle w:val="TableParagraph"/>
              <w:spacing w:line="358" w:lineRule="exact"/>
              <w:ind w:left="108"/>
              <w:rPr>
                <w:sz w:val="28"/>
              </w:rPr>
            </w:pPr>
            <w:r>
              <w:rPr>
                <w:spacing w:val="-1"/>
                <w:sz w:val="28"/>
              </w:rPr>
              <w:t>抹灰采用细拉毛工艺，</w:t>
            </w:r>
          </w:p>
        </w:tc>
      </w:tr>
    </w:tbl>
    <w:p>
      <w:pPr>
        <w:spacing w:after="0" w:line="358" w:lineRule="exact"/>
        <w:rPr>
          <w:sz w:val="28"/>
        </w:rPr>
        <w:sectPr>
          <w:headerReference w:type="default" r:id="rId44"/>
          <w:footerReference w:type="default" r:id="rId45"/>
          <w:type w:val="continuous"/>
          <w:pgSz w:w="11910" w:h="16840"/>
          <w:pgMar w:top="1240" w:right="640" w:bottom="1600" w:left="1020" w:header="996" w:footer="1381"/>
          <w:pgNumType w:start="21"/>
          <w:cols w:space="708"/>
        </w:sectPr>
      </w:pPr>
    </w:p>
    <w:p>
      <w:pPr>
        <w:pStyle w:val="BodyText"/>
        <w:spacing w:before="12"/>
        <w:rPr>
          <w:sz w:val="3"/>
        </w:rPr>
      </w:pPr>
    </w:p>
    <w:tbl>
      <w:tblPr>
        <w:tblStyle w:val="TableNormal10"/>
        <w:tblW w:w="0" w:type="auto"/>
        <w:jc w:val="left"/>
        <w:tblInd w:w="9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40"/>
        <w:gridCol w:w="1080"/>
        <w:gridCol w:w="1418"/>
        <w:gridCol w:w="2362"/>
        <w:gridCol w:w="3060"/>
      </w:tblGrid>
      <w:tr>
        <w:tblPrEx>
          <w:tblW w:w="0" w:type="auto"/>
          <w:jc w:val="left"/>
          <w:tblInd w:w="9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1248"/>
          <w:jc w:val="left"/>
        </w:trPr>
        <w:tc>
          <w:tcPr>
            <w:tcW w:w="540" w:type="dxa"/>
          </w:tcPr>
          <w:p>
            <w:pPr>
              <w:pStyle w:val="TableParagraph"/>
              <w:rPr>
                <w:rFonts w:ascii="Times New Roman"/>
                <w:sz w:val="26"/>
              </w:rPr>
            </w:pPr>
          </w:p>
        </w:tc>
        <w:tc>
          <w:tcPr>
            <w:tcW w:w="1080" w:type="dxa"/>
          </w:tcPr>
          <w:p>
            <w:pPr>
              <w:pStyle w:val="TableParagraph"/>
              <w:spacing w:before="135"/>
              <w:ind w:left="108"/>
              <w:rPr>
                <w:sz w:val="28"/>
              </w:rPr>
            </w:pPr>
            <w:r>
              <w:rPr>
                <w:spacing w:val="-5"/>
                <w:sz w:val="28"/>
              </w:rPr>
              <w:t>规定</w:t>
            </w:r>
          </w:p>
        </w:tc>
        <w:tc>
          <w:tcPr>
            <w:tcW w:w="1418" w:type="dxa"/>
          </w:tcPr>
          <w:p>
            <w:pPr>
              <w:pStyle w:val="TableParagraph"/>
              <w:spacing w:before="135"/>
              <w:ind w:left="108"/>
              <w:rPr>
                <w:sz w:val="28"/>
              </w:rPr>
            </w:pPr>
            <w:r>
              <w:rPr>
                <w:spacing w:val="-4"/>
                <w:sz w:val="28"/>
              </w:rPr>
              <w:t>进工艺</w:t>
            </w:r>
          </w:p>
        </w:tc>
        <w:tc>
          <w:tcPr>
            <w:tcW w:w="2362" w:type="dxa"/>
          </w:tcPr>
          <w:p>
            <w:pPr>
              <w:pStyle w:val="TableParagraph"/>
              <w:rPr>
                <w:rFonts w:ascii="Times New Roman"/>
                <w:sz w:val="26"/>
              </w:rPr>
            </w:pPr>
          </w:p>
        </w:tc>
        <w:tc>
          <w:tcPr>
            <w:tcW w:w="3060" w:type="dxa"/>
          </w:tcPr>
          <w:p>
            <w:pPr>
              <w:pStyle w:val="TableParagraph"/>
              <w:spacing w:before="135"/>
              <w:ind w:left="108"/>
              <w:rPr>
                <w:sz w:val="28"/>
              </w:rPr>
            </w:pPr>
            <w:r>
              <w:rPr>
                <w:spacing w:val="-4"/>
                <w:sz w:val="28"/>
              </w:rPr>
              <w:t>加强养护；</w:t>
            </w:r>
            <w:r>
              <w:rPr>
                <w:rFonts w:ascii="Times New Roman" w:eastAsia="Times New Roman"/>
                <w:spacing w:val="-4"/>
                <w:sz w:val="28"/>
              </w:rPr>
              <w:t>;</w:t>
            </w:r>
            <w:r>
              <w:rPr>
                <w:spacing w:val="-6"/>
                <w:sz w:val="28"/>
              </w:rPr>
              <w:t>薄抹灰；设</w:t>
            </w:r>
          </w:p>
          <w:p>
            <w:pPr>
              <w:pStyle w:val="TableParagraph"/>
              <w:spacing w:before="265"/>
              <w:ind w:left="108"/>
              <w:rPr>
                <w:sz w:val="28"/>
              </w:rPr>
            </w:pPr>
            <w:r>
              <w:rPr>
                <w:spacing w:val="-3"/>
                <w:sz w:val="28"/>
              </w:rPr>
              <w:t>置分格缝</w:t>
            </w:r>
          </w:p>
        </w:tc>
      </w:tr>
      <w:tr>
        <w:tblPrEx>
          <w:tblW w:w="0" w:type="auto"/>
          <w:jc w:val="left"/>
          <w:tblInd w:w="943" w:type="dxa"/>
          <w:tblLayout w:type="fixed"/>
          <w:tblCellMar>
            <w:top w:w="0" w:type="dxa"/>
            <w:left w:w="0" w:type="dxa"/>
            <w:bottom w:w="0" w:type="dxa"/>
            <w:right w:w="0" w:type="dxa"/>
          </w:tblCellMar>
          <w:tblLook w:val="01E0"/>
        </w:tblPrEx>
        <w:trPr>
          <w:trHeight w:val="3119"/>
          <w:jc w:val="left"/>
        </w:trPr>
        <w:tc>
          <w:tcPr>
            <w:tcW w:w="540" w:type="dxa"/>
          </w:tcPr>
          <w:p>
            <w:pPr>
              <w:pStyle w:val="TableParagraph"/>
              <w:rPr>
                <w:rFonts w:ascii="Times New Roman"/>
                <w:sz w:val="26"/>
              </w:rPr>
            </w:pPr>
          </w:p>
        </w:tc>
        <w:tc>
          <w:tcPr>
            <w:tcW w:w="1080" w:type="dxa"/>
          </w:tcPr>
          <w:p>
            <w:pPr>
              <w:pStyle w:val="TableParagraph"/>
              <w:spacing w:before="135" w:line="417" w:lineRule="auto"/>
              <w:ind w:left="108" w:right="95" w:firstLine="560"/>
              <w:jc w:val="both"/>
              <w:rPr>
                <w:sz w:val="28"/>
              </w:rPr>
            </w:pPr>
            <w:r>
              <w:rPr>
                <w:spacing w:val="-10"/>
                <w:sz w:val="28"/>
              </w:rPr>
              <w:t>雨</w:t>
            </w:r>
            <w:r>
              <w:rPr>
                <w:spacing w:val="3"/>
                <w:sz w:val="28"/>
              </w:rPr>
              <w:t>天或湿</w:t>
            </w:r>
            <w:r>
              <w:rPr>
                <w:spacing w:val="3"/>
                <w:sz w:val="28"/>
              </w:rPr>
              <w:t>度大情</w:t>
            </w:r>
            <w:r>
              <w:rPr>
                <w:spacing w:val="4"/>
                <w:sz w:val="28"/>
              </w:rPr>
              <w:t>况下罩</w:t>
            </w:r>
          </w:p>
          <w:p>
            <w:pPr>
              <w:pStyle w:val="TableParagraph"/>
              <w:spacing w:line="358" w:lineRule="exact"/>
              <w:ind w:left="108"/>
              <w:rPr>
                <w:sz w:val="28"/>
              </w:rPr>
            </w:pPr>
            <w:r>
              <w:rPr>
                <w:spacing w:val="-5"/>
                <w:sz w:val="28"/>
              </w:rPr>
              <w:t>面漆</w:t>
            </w:r>
          </w:p>
        </w:tc>
        <w:tc>
          <w:tcPr>
            <w:tcW w:w="1418" w:type="dxa"/>
          </w:tcPr>
          <w:p>
            <w:pPr>
              <w:pStyle w:val="TableParagraph"/>
              <w:spacing w:before="135" w:line="417" w:lineRule="auto"/>
              <w:ind w:left="108" w:right="95" w:firstLine="560"/>
              <w:jc w:val="both"/>
              <w:rPr>
                <w:sz w:val="28"/>
              </w:rPr>
            </w:pPr>
            <w:r>
              <w:rPr>
                <w:spacing w:val="-22"/>
                <w:sz w:val="28"/>
              </w:rPr>
              <w:t>减 少</w:t>
            </w:r>
            <w:r>
              <w:rPr>
                <w:spacing w:val="17"/>
                <w:sz w:val="28"/>
              </w:rPr>
              <w:t>腻子层碱</w:t>
            </w:r>
            <w:r>
              <w:rPr>
                <w:spacing w:val="5"/>
                <w:w w:val="90"/>
                <w:sz w:val="28"/>
              </w:rPr>
              <w:t>性； 面漆</w:t>
            </w:r>
            <w:r>
              <w:rPr>
                <w:spacing w:val="-4"/>
                <w:sz w:val="28"/>
              </w:rPr>
              <w:t>成品保护</w:t>
            </w:r>
          </w:p>
        </w:tc>
        <w:tc>
          <w:tcPr>
            <w:tcW w:w="2362" w:type="dxa"/>
          </w:tcPr>
          <w:p>
            <w:pPr>
              <w:pStyle w:val="TableParagraph"/>
              <w:spacing w:before="135"/>
              <w:ind w:left="667"/>
              <w:rPr>
                <w:rFonts w:ascii="Times New Roman" w:eastAsia="Times New Roman"/>
                <w:sz w:val="28"/>
              </w:rPr>
            </w:pPr>
            <w:r>
              <w:rPr>
                <w:spacing w:val="-7"/>
                <w:sz w:val="28"/>
              </w:rPr>
              <w:t xml:space="preserve">争取基层 </w:t>
            </w:r>
            <w:r>
              <w:rPr>
                <w:rFonts w:ascii="Times New Roman" w:eastAsia="Times New Roman"/>
                <w:spacing w:val="-5"/>
                <w:sz w:val="28"/>
              </w:rPr>
              <w:t>PH</w:t>
            </w:r>
          </w:p>
          <w:p>
            <w:pPr>
              <w:pStyle w:val="TableParagraph"/>
              <w:spacing w:before="265" w:line="417" w:lineRule="auto"/>
              <w:ind w:left="107" w:right="-72"/>
              <w:rPr>
                <w:sz w:val="28"/>
              </w:rPr>
            </w:pPr>
            <w:r>
              <w:rPr>
                <w:sz w:val="28"/>
              </w:rPr>
              <w:t>≤</w:t>
            </w:r>
            <w:r>
              <w:rPr>
                <w:rFonts w:ascii="Times New Roman" w:eastAsia="Times New Roman" w:hAnsi="Times New Roman"/>
                <w:sz w:val="28"/>
              </w:rPr>
              <w:t>10</w:t>
            </w:r>
            <w:r>
              <w:rPr>
                <w:rFonts w:ascii="Times New Roman" w:eastAsia="Times New Roman" w:hAnsi="Times New Roman"/>
                <w:spacing w:val="36"/>
                <w:sz w:val="28"/>
              </w:rPr>
              <w:t xml:space="preserve"> </w:t>
            </w:r>
            <w:r>
              <w:rPr>
                <w:spacing w:val="-12"/>
                <w:sz w:val="28"/>
              </w:rPr>
              <w:t>时施工面漆；</w:t>
            </w:r>
            <w:r>
              <w:rPr>
                <w:sz w:val="28"/>
              </w:rPr>
              <w:t xml:space="preserve"> </w:t>
            </w:r>
            <w:r>
              <w:rPr>
                <w:rFonts w:ascii="Times New Roman" w:eastAsia="Times New Roman" w:hAnsi="Times New Roman"/>
                <w:sz w:val="28"/>
              </w:rPr>
              <w:t>100%</w:t>
            </w:r>
            <w:r>
              <w:rPr>
                <w:spacing w:val="15"/>
                <w:sz w:val="28"/>
              </w:rPr>
              <w:t>不出现面漆</w:t>
            </w:r>
            <w:r>
              <w:rPr>
                <w:spacing w:val="-4"/>
                <w:sz w:val="28"/>
              </w:rPr>
              <w:t>泛碱现象</w:t>
            </w:r>
          </w:p>
        </w:tc>
        <w:tc>
          <w:tcPr>
            <w:tcW w:w="3060" w:type="dxa"/>
          </w:tcPr>
          <w:p>
            <w:pPr>
              <w:pStyle w:val="TableParagraph"/>
              <w:spacing w:before="135" w:line="417" w:lineRule="auto"/>
              <w:ind w:left="108" w:right="96" w:firstLine="560"/>
              <w:jc w:val="both"/>
              <w:rPr>
                <w:sz w:val="28"/>
              </w:rPr>
            </w:pPr>
            <w:r>
              <w:rPr>
                <w:spacing w:val="9"/>
                <w:sz w:val="28"/>
              </w:rPr>
              <w:t>测定腻子层</w:t>
            </w:r>
            <w:r>
              <w:rPr>
                <w:rFonts w:ascii="Times New Roman" w:eastAsia="Times New Roman"/>
                <w:sz w:val="28"/>
              </w:rPr>
              <w:t xml:space="preserve">PH </w:t>
            </w:r>
            <w:r>
              <w:rPr>
                <w:sz w:val="28"/>
              </w:rPr>
              <w:t>值</w:t>
            </w:r>
            <w:r>
              <w:rPr>
                <w:rFonts w:ascii="Times New Roman" w:eastAsia="Times New Roman"/>
                <w:sz w:val="28"/>
              </w:rPr>
              <w:t>;</w:t>
            </w:r>
            <w:r>
              <w:rPr>
                <w:spacing w:val="-4"/>
                <w:sz w:val="28"/>
              </w:rPr>
              <w:t>天气预报指导施工</w:t>
            </w:r>
            <w:r>
              <w:rPr>
                <w:rFonts w:ascii="Times New Roman" w:eastAsia="Times New Roman"/>
                <w:spacing w:val="-4"/>
                <w:sz w:val="28"/>
              </w:rPr>
              <w:t>;</w:t>
            </w:r>
            <w:r>
              <w:rPr>
                <w:spacing w:val="-4"/>
                <w:sz w:val="28"/>
              </w:rPr>
              <w:t>对面</w:t>
            </w:r>
            <w:r>
              <w:rPr>
                <w:spacing w:val="-4"/>
                <w:sz w:val="28"/>
              </w:rPr>
              <w:t>漆采取遮挡雨水措施</w:t>
            </w:r>
            <w:r>
              <w:rPr>
                <w:rFonts w:ascii="Times New Roman" w:eastAsia="Times New Roman"/>
                <w:spacing w:val="-4"/>
                <w:sz w:val="28"/>
              </w:rPr>
              <w:t>;</w:t>
            </w:r>
            <w:r>
              <w:rPr>
                <w:spacing w:val="-4"/>
                <w:sz w:val="28"/>
              </w:rPr>
              <w:t>减</w:t>
            </w:r>
            <w:r>
              <w:rPr>
                <w:spacing w:val="-2"/>
                <w:sz w:val="28"/>
              </w:rPr>
              <w:t>少基层水份</w:t>
            </w:r>
          </w:p>
        </w:tc>
      </w:tr>
    </w:tbl>
    <w:p>
      <w:pPr>
        <w:pStyle w:val="BodyText"/>
        <w:rPr>
          <w:sz w:val="20"/>
        </w:rPr>
      </w:pPr>
    </w:p>
    <w:p>
      <w:pPr>
        <w:pStyle w:val="BodyText"/>
        <w:rPr>
          <w:sz w:val="20"/>
        </w:rPr>
      </w:pPr>
    </w:p>
    <w:p>
      <w:pPr>
        <w:pStyle w:val="BodyText"/>
        <w:spacing w:before="7"/>
        <w:rPr>
          <w:sz w:val="14"/>
        </w:rPr>
      </w:pPr>
    </w:p>
    <w:p>
      <w:pPr>
        <w:pStyle w:val="Heading2"/>
        <w:spacing w:line="484" w:lineRule="exact"/>
        <w:ind w:left="958"/>
      </w:pPr>
      <w:r>
        <w:rPr>
          <w:spacing w:val="-1"/>
        </w:rPr>
        <w:t>四、幕墙质量控制要点如下：</w:t>
      </w:r>
    </w:p>
    <w:p>
      <w:pPr>
        <w:pStyle w:val="ListParagraph"/>
        <w:numPr>
          <w:ilvl w:val="0"/>
          <w:numId w:val="11"/>
        </w:numPr>
        <w:tabs>
          <w:tab w:val="left" w:pos="1659"/>
        </w:tabs>
        <w:spacing w:before="201" w:after="0" w:line="417" w:lineRule="auto"/>
        <w:ind w:left="398" w:right="492" w:firstLine="560"/>
        <w:jc w:val="left"/>
        <w:rPr>
          <w:sz w:val="28"/>
        </w:rPr>
      </w:pPr>
      <w:r>
        <w:rPr>
          <w:spacing w:val="-2"/>
          <w:sz w:val="28"/>
        </w:rPr>
        <w:t>预埋件和铆固件：位置；施工精度；固定状态；形、生锈；防锈涂</w:t>
      </w:r>
      <w:r>
        <w:rPr>
          <w:spacing w:val="-2"/>
          <w:sz w:val="28"/>
        </w:rPr>
        <w:t>料是否完好、有无变</w:t>
      </w:r>
    </w:p>
    <w:p>
      <w:pPr>
        <w:pStyle w:val="ListParagraph"/>
        <w:numPr>
          <w:ilvl w:val="0"/>
          <w:numId w:val="11"/>
        </w:numPr>
        <w:tabs>
          <w:tab w:val="left" w:pos="1659"/>
        </w:tabs>
        <w:spacing w:before="0" w:after="0" w:line="417" w:lineRule="auto"/>
        <w:ind w:left="398" w:right="492" w:firstLine="560"/>
        <w:jc w:val="left"/>
        <w:rPr>
          <w:sz w:val="28"/>
        </w:rPr>
      </w:pPr>
      <w:r>
        <w:rPr>
          <w:spacing w:val="-2"/>
          <w:sz w:val="28"/>
        </w:rPr>
        <w:t>连接件：安装部位；加工精度；固定状态；防锈处理；垫片是否安</w:t>
      </w:r>
      <w:r>
        <w:rPr>
          <w:spacing w:val="-4"/>
          <w:sz w:val="28"/>
        </w:rPr>
        <w:t>放完毕。</w:t>
      </w:r>
    </w:p>
    <w:p>
      <w:pPr>
        <w:pStyle w:val="ListParagraph"/>
        <w:numPr>
          <w:ilvl w:val="0"/>
          <w:numId w:val="11"/>
        </w:numPr>
        <w:tabs>
          <w:tab w:val="left" w:pos="1659"/>
        </w:tabs>
        <w:spacing w:before="0" w:after="0" w:line="417" w:lineRule="auto"/>
        <w:ind w:left="398" w:right="352" w:firstLine="560"/>
        <w:jc w:val="left"/>
        <w:rPr>
          <w:sz w:val="28"/>
        </w:rPr>
      </w:pPr>
      <w:r>
        <w:rPr>
          <w:spacing w:val="-14"/>
          <w:sz w:val="28"/>
        </w:rPr>
        <w:t>构件骨架安装：安装部位；加工精度，安装后横平竖直、大面平整；</w:t>
      </w:r>
      <w:r>
        <w:rPr>
          <w:spacing w:val="2"/>
          <w:sz w:val="28"/>
        </w:rPr>
        <w:t>螺栓、铆钉安装固定；外观：色调、色差、污染、划痕；功能：雨水泄水通路、密封状态；防锈处理。</w:t>
      </w:r>
    </w:p>
    <w:p>
      <w:pPr>
        <w:pStyle w:val="ListParagraph"/>
        <w:numPr>
          <w:ilvl w:val="0"/>
          <w:numId w:val="11"/>
        </w:numPr>
        <w:tabs>
          <w:tab w:val="left" w:pos="1659"/>
        </w:tabs>
        <w:spacing w:before="0" w:after="0" w:line="358" w:lineRule="exact"/>
        <w:ind w:left="1659" w:right="0" w:hanging="701"/>
        <w:jc w:val="left"/>
        <w:rPr>
          <w:sz w:val="28"/>
        </w:rPr>
      </w:pPr>
      <w:r>
        <w:rPr>
          <w:spacing w:val="-1"/>
          <w:sz w:val="28"/>
        </w:rPr>
        <w:t>五金件安装：安装部位；加工精度；固定状态；外观。</w:t>
      </w:r>
    </w:p>
    <w:p>
      <w:pPr>
        <w:pStyle w:val="ListParagraph"/>
        <w:numPr>
          <w:ilvl w:val="0"/>
          <w:numId w:val="11"/>
        </w:numPr>
        <w:tabs>
          <w:tab w:val="left" w:pos="1659"/>
        </w:tabs>
        <w:spacing w:before="265" w:after="0" w:line="240" w:lineRule="auto"/>
        <w:ind w:left="1659" w:right="0" w:hanging="701"/>
        <w:jc w:val="left"/>
        <w:rPr>
          <w:sz w:val="28"/>
        </w:rPr>
      </w:pPr>
      <w:r>
        <w:rPr>
          <w:spacing w:val="-1"/>
          <w:sz w:val="28"/>
        </w:rPr>
        <w:t>铝板安装：安装部位；安装精度；水平及垂直度；大面平整度。</w:t>
      </w:r>
    </w:p>
    <w:p>
      <w:pPr>
        <w:pStyle w:val="ListParagraph"/>
        <w:numPr>
          <w:ilvl w:val="0"/>
          <w:numId w:val="11"/>
        </w:numPr>
        <w:tabs>
          <w:tab w:val="left" w:pos="1659"/>
        </w:tabs>
        <w:spacing w:before="265" w:after="0" w:line="417" w:lineRule="auto"/>
        <w:ind w:left="398" w:right="467" w:firstLine="560"/>
        <w:jc w:val="left"/>
        <w:rPr>
          <w:sz w:val="28"/>
        </w:rPr>
      </w:pPr>
      <w:r>
        <w:rPr>
          <w:spacing w:val="-2"/>
          <w:sz w:val="28"/>
        </w:rPr>
        <w:t>密封胶嵌缝：注胶有无遗漏；施工状态；胶缝品质、形状、气泡；</w:t>
      </w:r>
      <w:r>
        <w:rPr>
          <w:spacing w:val="-2"/>
          <w:sz w:val="28"/>
        </w:rPr>
        <w:t>外观、色泽；周边污染。</w:t>
      </w:r>
    </w:p>
    <w:p>
      <w:pPr>
        <w:pStyle w:val="ListParagraph"/>
        <w:numPr>
          <w:ilvl w:val="0"/>
          <w:numId w:val="11"/>
        </w:numPr>
        <w:tabs>
          <w:tab w:val="left" w:pos="1659"/>
        </w:tabs>
        <w:spacing w:before="0" w:after="0" w:line="417" w:lineRule="auto"/>
        <w:ind w:left="398" w:right="492" w:firstLine="560"/>
        <w:jc w:val="left"/>
        <w:rPr>
          <w:sz w:val="28"/>
        </w:rPr>
      </w:pPr>
      <w:r>
        <w:rPr>
          <w:spacing w:val="-2"/>
          <w:sz w:val="28"/>
        </w:rPr>
        <w:t>幕墙安装后应进行水密性及风压性能的试验，必须达到设计及规范</w:t>
      </w:r>
      <w:r>
        <w:rPr>
          <w:spacing w:val="-4"/>
          <w:sz w:val="28"/>
        </w:rPr>
        <w:t>要求。</w:t>
      </w:r>
    </w:p>
    <w:p>
      <w:pPr>
        <w:spacing w:after="0" w:line="417" w:lineRule="auto"/>
        <w:jc w:val="left"/>
        <w:rPr>
          <w:sz w:val="28"/>
        </w:rPr>
      </w:pPr>
      <w:r>
        <w:rPr>
          <w:sz w:val="28"/>
        </w:rPr>
        <w:br/>
      </w:r>
      <w:r>
        <w:rPr>
          <w:sz w:val="28"/>
        </w:rP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46" w:history="1">
        <w:r>
          <w:rPr>
            <w:rFonts w:ascii="SimSun" w:eastAsia="SimSun" w:hAnsi="SimSun" w:cs="SimSun"/>
            <w:b/>
            <w:bCs/>
            <w:color w:val="0000EE"/>
            <w:sz w:val="30"/>
            <w:szCs w:val="30"/>
            <w:u w:val="single" w:color="0000EE"/>
          </w:rPr>
          <w:t>https://d.book118.com/295314023202011114</w:t>
        </w:r>
      </w:hyperlink>
    </w:p>
    <w:p>
      <w:pPr>
        <w:spacing w:after="0" w:line="417" w:lineRule="auto"/>
        <w:jc w:val="left"/>
        <w:rPr>
          <w:sz w:val="28"/>
        </w:rPr>
      </w:pPr>
    </w:p>
    <w:sectPr>
      <w:headerReference w:type="default" r:id="rId47"/>
      <w:footerReference w:type="default" r:id="rId48"/>
      <w:pgSz w:w="11910" w:h="16840"/>
      <w:pgMar w:top="1180" w:right="640" w:bottom="1600" w:left="1020" w:header="996" w:footer="1381"/>
      <w:pgNumType w:start="22"/>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w:charset w:val="00"/>
    <w:family w:val="roman"/>
    <w:pitch w:val="variable"/>
    <w:sig w:usb0="00000000" w:usb1="00000000" w:usb2="00000000" w:usb3="00000000" w:csb0="00000001" w:csb1="00000000"/>
  </w:font>
  <w:font w:name="Microsoft JhengHei">
    <w:altName w:val="Microsoft JhengHei"/>
    <w:charset w:val="00"/>
    <w:family w:val="swiss"/>
    <w:pitch w:val="variable"/>
    <w:sig w:usb0="00000000" w:usb1="00000000" w:usb2="00000000" w:usb3="00000000" w:csb0="00000001" w:csb1="00000000"/>
  </w:font>
  <w:font w:name="宋体">
    <w:altName w:val="宋体"/>
    <w:charset w:val="86"/>
    <w:family w:val="auto"/>
    <w:pitch w:val="variable"/>
    <w:sig w:usb0="00000000" w:usb1="00000000" w:usb2="00000000" w:usb3="00000000" w:csb0="00040000" w:csb1="00000000"/>
  </w:font>
  <w:font w:name="微软雅黑">
    <w:altName w:val="微软雅黑"/>
    <w:charset w:val="86"/>
    <w:family w:val="swiss"/>
    <w:pitch w:val="variable"/>
    <w:sig w:usb0="00000000" w:usb1="00000000" w:usb2="00000000" w:usb3="00000000" w:csb0="00040000" w:csb1="00000000"/>
  </w:font>
  <w:font w:name="Wingdings">
    <w:altName w:val="Wingdings"/>
    <w:charset w:val="02"/>
    <w:family w:val="auto"/>
    <w:pitch w:val="variable"/>
    <w:sig w:usb0="00000000" w:usb1="0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18"/>
      </w:rPr>
    </w:pPr>
    <w:r>
      <w:pict>
        <v:shapetype id="_x0000_t202" coordsize="21600,21600" o:spt="202" path="m,l,21600r21600,l21600,xe">
          <v:stroke joinstyle="miter"/>
          <v:path gradientshapeok="t" o:connecttype="rect"/>
        </v:shapetype>
        <v:shape id="_x0000_s2050" type="#_x0000_t202" style="width:16pt;height:12pt;margin-top:760.64pt;margin-left:306.25pt;mso-position-horizontal-relative:page;mso-position-vertical-relative:page;position:absolute;z-index:-251658240" filled="f" stroked="f">
          <v:textbox inset="0,0,0,0">
            <w:txbxContent>
              <w:p>
                <w:pPr>
                  <w:spacing w:before="12"/>
                  <w:ind w:left="60" w:right="0" w:firstLine="0"/>
                  <w:jc w:val="left"/>
                  <w:rPr>
                    <w:rFonts w:ascii="Times New Roman"/>
                    <w:sz w:val="18"/>
                  </w:rPr>
                </w:pPr>
                <w:r>
                  <w:rPr>
                    <w:rFonts w:ascii="Times New Roman"/>
                    <w:spacing w:val="-5"/>
                    <w:sz w:val="18"/>
                  </w:rPr>
                  <w:fldChar w:fldCharType="begin"/>
                </w:r>
                <w:r>
                  <w:rPr>
                    <w:rFonts w:ascii="Times New Roman"/>
                    <w:spacing w:val="-5"/>
                    <w:sz w:val="18"/>
                  </w:rPr>
                  <w:instrText xml:space="preserve"> PAGE </w:instrText>
                </w:r>
                <w:r>
                  <w:rPr>
                    <w:rFonts w:ascii="Times New Roman"/>
                    <w:spacing w:val="-5"/>
                    <w:sz w:val="18"/>
                  </w:rPr>
                  <w:fldChar w:fldCharType="separate"/>
                </w:r>
                <w:r>
                  <w:rPr>
                    <w:rFonts w:ascii="Times New Roman"/>
                    <w:spacing w:val="-5"/>
                    <w:sz w:val="18"/>
                  </w:rPr>
                  <w:t>1</w:t>
                </w:r>
                <w:r>
                  <w:rPr>
                    <w:rFonts w:ascii="Times New Roman"/>
                    <w:spacing w:val="-5"/>
                    <w:sz w:val="18"/>
                  </w:rPr>
                  <w:fldChar w:fldCharType="end"/>
                </w:r>
              </w:p>
            </w:txbxContent>
          </v:textbox>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18"/>
      </w:rPr>
    </w:pPr>
    <w:r>
      <w:pict>
        <v:shapetype id="_x0000_t202" coordsize="21600,21600" o:spt="202" path="m,l,21600r21600,l21600,xe">
          <v:stroke joinstyle="miter"/>
          <v:path gradientshapeok="t" o:connecttype="rect"/>
        </v:shapetype>
        <v:shape id="_x0000_s2052" type="#_x0000_t202" style="width:16pt;height:12pt;margin-top:760.64pt;margin-left:306.25pt;mso-position-horizontal-relative:page;mso-position-vertical-relative:page;position:absolute;z-index:-251657216" filled="f" stroked="f">
          <v:textbox inset="0,0,0,0">
            <w:txbxContent>
              <w:p>
                <w:pPr>
                  <w:spacing w:before="12"/>
                  <w:ind w:left="60" w:right="0" w:firstLine="0"/>
                  <w:jc w:val="left"/>
                  <w:rPr>
                    <w:rFonts w:ascii="Times New Roman"/>
                    <w:sz w:val="18"/>
                  </w:rPr>
                </w:pPr>
                <w:r>
                  <w:rPr>
                    <w:rFonts w:ascii="Times New Roman"/>
                    <w:spacing w:val="-5"/>
                    <w:sz w:val="18"/>
                  </w:rPr>
                  <w:fldChar w:fldCharType="begin"/>
                </w:r>
                <w:r>
                  <w:rPr>
                    <w:rFonts w:ascii="Times New Roman"/>
                    <w:spacing w:val="-5"/>
                    <w:sz w:val="18"/>
                  </w:rPr>
                  <w:instrText xml:space="preserve"> PAGE </w:instrText>
                </w:r>
                <w:r>
                  <w:rPr>
                    <w:rFonts w:ascii="Times New Roman"/>
                    <w:spacing w:val="-5"/>
                    <w:sz w:val="18"/>
                  </w:rPr>
                  <w:fldChar w:fldCharType="separate"/>
                </w:r>
                <w:r>
                  <w:rPr>
                    <w:rFonts w:ascii="Times New Roman"/>
                    <w:spacing w:val="-5"/>
                    <w:sz w:val="18"/>
                  </w:rPr>
                  <w:t>2</w:t>
                </w:r>
                <w:r>
                  <w:rPr>
                    <w:rFonts w:ascii="Times New Roman"/>
                    <w:spacing w:val="-5"/>
                    <w:sz w:val="18"/>
                  </w:rPr>
                  <w:fldChar w:fldCharType="end"/>
                </w:r>
              </w:p>
            </w:txbxContent>
          </v:textbox>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18"/>
      </w:rPr>
    </w:pPr>
    <w:r>
      <w:pict>
        <v:shapetype id="_x0000_t202" coordsize="21600,21600" o:spt="202" path="m,l,21600r21600,l21600,xe">
          <v:stroke joinstyle="miter"/>
          <v:path gradientshapeok="t" o:connecttype="rect"/>
        </v:shapetype>
        <v:shape id="_x0000_s2054" type="#_x0000_t202" style="width:16pt;height:12pt;margin-top:760.64pt;margin-left:306.25pt;mso-position-horizontal-relative:page;mso-position-vertical-relative:page;position:absolute;z-index:-251656192" filled="f" stroked="f">
          <v:textbox inset="0,0,0,0">
            <w:txbxContent>
              <w:p>
                <w:pPr>
                  <w:spacing w:before="12"/>
                  <w:ind w:left="60" w:right="0" w:firstLine="0"/>
                  <w:jc w:val="left"/>
                  <w:rPr>
                    <w:rFonts w:ascii="Times New Roman"/>
                    <w:sz w:val="18"/>
                  </w:rPr>
                </w:pPr>
                <w:r>
                  <w:rPr>
                    <w:rFonts w:ascii="Times New Roman"/>
                    <w:spacing w:val="-5"/>
                    <w:sz w:val="18"/>
                  </w:rPr>
                  <w:fldChar w:fldCharType="begin"/>
                </w:r>
                <w:r>
                  <w:rPr>
                    <w:rFonts w:ascii="Times New Roman"/>
                    <w:spacing w:val="-5"/>
                    <w:sz w:val="18"/>
                  </w:rPr>
                  <w:instrText xml:space="preserve"> PAGE </w:instrText>
                </w:r>
                <w:r>
                  <w:rPr>
                    <w:rFonts w:ascii="Times New Roman"/>
                    <w:spacing w:val="-5"/>
                    <w:sz w:val="18"/>
                  </w:rPr>
                  <w:fldChar w:fldCharType="separate"/>
                </w:r>
                <w:r>
                  <w:rPr>
                    <w:rFonts w:ascii="Times New Roman"/>
                    <w:spacing w:val="-5"/>
                    <w:sz w:val="18"/>
                  </w:rPr>
                  <w:t>3</w:t>
                </w:r>
                <w:r>
                  <w:rPr>
                    <w:rFonts w:ascii="Times New Roman"/>
                    <w:spacing w:val="-5"/>
                    <w:sz w:val="18"/>
                  </w:rPr>
                  <w:fldChar w:fldCharType="end"/>
                </w:r>
              </w:p>
            </w:txbxContent>
          </v:textbox>
        </v:shape>
      </w:pic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18"/>
      </w:rPr>
    </w:pPr>
    <w:r>
      <w:pict>
        <v:shapetype id="_x0000_t202" coordsize="21600,21600" o:spt="202" path="m,l,21600r21600,l21600,xe">
          <v:stroke joinstyle="miter"/>
          <v:path gradientshapeok="t" o:connecttype="rect"/>
        </v:shapetype>
        <v:shape id="_x0000_s2056" type="#_x0000_t202" style="width:16pt;height:12pt;margin-top:760.64pt;margin-left:306.25pt;mso-position-horizontal-relative:page;mso-position-vertical-relative:page;position:absolute;z-index:-251655168" filled="f" stroked="f">
          <v:textbox inset="0,0,0,0">
            <w:txbxContent>
              <w:p>
                <w:pPr>
                  <w:spacing w:before="12"/>
                  <w:ind w:left="60" w:right="0" w:firstLine="0"/>
                  <w:jc w:val="left"/>
                  <w:rPr>
                    <w:rFonts w:ascii="Times New Roman"/>
                    <w:sz w:val="18"/>
                  </w:rPr>
                </w:pPr>
                <w:r>
                  <w:rPr>
                    <w:rFonts w:ascii="Times New Roman"/>
                    <w:spacing w:val="-5"/>
                    <w:sz w:val="18"/>
                  </w:rPr>
                  <w:fldChar w:fldCharType="begin"/>
                </w:r>
                <w:r>
                  <w:rPr>
                    <w:rFonts w:ascii="Times New Roman"/>
                    <w:spacing w:val="-5"/>
                    <w:sz w:val="18"/>
                  </w:rPr>
                  <w:instrText xml:space="preserve"> PAGE </w:instrText>
                </w:r>
                <w:r>
                  <w:rPr>
                    <w:rFonts w:ascii="Times New Roman"/>
                    <w:spacing w:val="-5"/>
                    <w:sz w:val="18"/>
                  </w:rPr>
                  <w:fldChar w:fldCharType="separate"/>
                </w:r>
                <w:r>
                  <w:rPr>
                    <w:rFonts w:ascii="Times New Roman"/>
                    <w:spacing w:val="-5"/>
                    <w:sz w:val="18"/>
                  </w:rPr>
                  <w:t>4</w:t>
                </w:r>
                <w:r>
                  <w:rPr>
                    <w:rFonts w:ascii="Times New Roman"/>
                    <w:spacing w:val="-5"/>
                    <w:sz w:val="18"/>
                  </w:rPr>
                  <w:fldChar w:fldCharType="end"/>
                </w:r>
              </w:p>
            </w:txbxContent>
          </v:textbox>
        </v:shape>
      </w:pic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18"/>
      </w:rPr>
    </w:pPr>
    <w:r>
      <w:pict>
        <v:shapetype id="_x0000_t202" coordsize="21600,21600" o:spt="202" path="m,l,21600r21600,l21600,xe">
          <v:stroke joinstyle="miter"/>
          <v:path gradientshapeok="t" o:connecttype="rect"/>
        </v:shapetype>
        <v:shape id="_x0000_s2058" type="#_x0000_t202" style="width:16pt;height:12pt;margin-top:760.64pt;margin-left:306.25pt;mso-position-horizontal-relative:page;mso-position-vertical-relative:page;position:absolute;z-index:-251654144" filled="f" stroked="f">
          <v:textbox inset="0,0,0,0">
            <w:txbxContent>
              <w:p>
                <w:pPr>
                  <w:spacing w:before="12"/>
                  <w:ind w:left="60" w:right="0" w:firstLine="0"/>
                  <w:jc w:val="left"/>
                  <w:rPr>
                    <w:rFonts w:ascii="Times New Roman"/>
                    <w:sz w:val="18"/>
                  </w:rPr>
                </w:pPr>
                <w:r>
                  <w:rPr>
                    <w:rFonts w:ascii="Times New Roman"/>
                    <w:spacing w:val="-5"/>
                    <w:sz w:val="18"/>
                  </w:rPr>
                  <w:fldChar w:fldCharType="begin"/>
                </w:r>
                <w:r>
                  <w:rPr>
                    <w:rFonts w:ascii="Times New Roman"/>
                    <w:spacing w:val="-5"/>
                    <w:sz w:val="18"/>
                  </w:rPr>
                  <w:instrText xml:space="preserve"> PAGE </w:instrText>
                </w:r>
                <w:r>
                  <w:rPr>
                    <w:rFonts w:ascii="Times New Roman"/>
                    <w:spacing w:val="-5"/>
                    <w:sz w:val="18"/>
                  </w:rPr>
                  <w:fldChar w:fldCharType="separate"/>
                </w:r>
                <w:r>
                  <w:rPr>
                    <w:rFonts w:ascii="Times New Roman"/>
                    <w:spacing w:val="-5"/>
                    <w:sz w:val="18"/>
                  </w:rPr>
                  <w:t>5</w:t>
                </w:r>
                <w:r>
                  <w:rPr>
                    <w:rFonts w:ascii="Times New Roman"/>
                    <w:spacing w:val="-5"/>
                    <w:sz w:val="18"/>
                  </w:rPr>
                  <w:fldChar w:fldCharType="end"/>
                </w:r>
              </w:p>
            </w:txbxContent>
          </v:textbox>
        </v:shape>
      </w:pic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18"/>
      </w:rPr>
    </w:pPr>
    <w:r>
      <w:pict>
        <v:shapetype id="_x0000_t202" coordsize="21600,21600" o:spt="202" path="m,l,21600r21600,l21600,xe">
          <v:stroke joinstyle="miter"/>
          <v:path gradientshapeok="t" o:connecttype="rect"/>
        </v:shapetype>
        <v:shape id="_x0000_s2060" type="#_x0000_t202" style="width:16pt;height:12pt;margin-top:760.64pt;margin-left:306.25pt;mso-position-horizontal-relative:page;mso-position-vertical-relative:page;position:absolute;z-index:-251653120" filled="f" stroked="f">
          <v:textbox inset="0,0,0,0">
            <w:txbxContent>
              <w:p>
                <w:pPr>
                  <w:spacing w:before="12"/>
                  <w:ind w:left="60" w:right="0" w:firstLine="0"/>
                  <w:jc w:val="left"/>
                  <w:rPr>
                    <w:rFonts w:ascii="Times New Roman"/>
                    <w:sz w:val="18"/>
                  </w:rPr>
                </w:pPr>
                <w:r>
                  <w:rPr>
                    <w:rFonts w:ascii="Times New Roman"/>
                    <w:spacing w:val="-5"/>
                    <w:sz w:val="18"/>
                  </w:rPr>
                  <w:fldChar w:fldCharType="begin"/>
                </w:r>
                <w:r>
                  <w:rPr>
                    <w:rFonts w:ascii="Times New Roman"/>
                    <w:spacing w:val="-5"/>
                    <w:sz w:val="18"/>
                  </w:rPr>
                  <w:instrText xml:space="preserve"> PAGE </w:instrText>
                </w:r>
                <w:r>
                  <w:rPr>
                    <w:rFonts w:ascii="Times New Roman"/>
                    <w:spacing w:val="-5"/>
                    <w:sz w:val="18"/>
                  </w:rPr>
                  <w:fldChar w:fldCharType="separate"/>
                </w:r>
                <w:r>
                  <w:rPr>
                    <w:rFonts w:ascii="Times New Roman"/>
                    <w:spacing w:val="-5"/>
                    <w:sz w:val="18"/>
                  </w:rPr>
                  <w:t>6</w:t>
                </w:r>
                <w:r>
                  <w:rPr>
                    <w:rFonts w:ascii="Times New Roman"/>
                    <w:spacing w:val="-5"/>
                    <w:sz w:val="18"/>
                  </w:rPr>
                  <w:fldChar w:fldCharType="end"/>
                </w:r>
              </w:p>
            </w:txbxContent>
          </v:textbox>
        </v:shape>
      </w:pic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18"/>
      </w:rPr>
    </w:pPr>
    <w:r>
      <w:pict>
        <v:shapetype id="_x0000_t202" coordsize="21600,21600" o:spt="202" path="m,l,21600r21600,l21600,xe">
          <v:stroke joinstyle="miter"/>
          <v:path gradientshapeok="t" o:connecttype="rect"/>
        </v:shapetype>
        <v:shape id="_x0000_s2062" type="#_x0000_t202" style="width:16pt;height:12pt;margin-top:760.64pt;margin-left:306.25pt;mso-position-horizontal-relative:page;mso-position-vertical-relative:page;position:absolute;z-index:-251652096" filled="f" stroked="f">
          <v:textbox inset="0,0,0,0">
            <w:txbxContent>
              <w:p>
                <w:pPr>
                  <w:spacing w:before="12"/>
                  <w:ind w:left="60" w:right="0" w:firstLine="0"/>
                  <w:jc w:val="left"/>
                  <w:rPr>
                    <w:rFonts w:ascii="Times New Roman"/>
                    <w:sz w:val="18"/>
                  </w:rPr>
                </w:pPr>
                <w:r>
                  <w:rPr>
                    <w:rFonts w:ascii="Times New Roman"/>
                    <w:spacing w:val="-5"/>
                    <w:sz w:val="18"/>
                  </w:rPr>
                  <w:fldChar w:fldCharType="begin"/>
                </w:r>
                <w:r>
                  <w:rPr>
                    <w:rFonts w:ascii="Times New Roman"/>
                    <w:spacing w:val="-5"/>
                    <w:sz w:val="18"/>
                  </w:rPr>
                  <w:instrText xml:space="preserve"> PAGE </w:instrText>
                </w:r>
                <w:r>
                  <w:rPr>
                    <w:rFonts w:ascii="Times New Roman"/>
                    <w:spacing w:val="-5"/>
                    <w:sz w:val="18"/>
                  </w:rPr>
                  <w:fldChar w:fldCharType="separate"/>
                </w:r>
                <w:r>
                  <w:rPr>
                    <w:rFonts w:ascii="Times New Roman"/>
                    <w:spacing w:val="-5"/>
                    <w:sz w:val="18"/>
                  </w:rPr>
                  <w:t>7</w:t>
                </w:r>
                <w:r>
                  <w:rPr>
                    <w:rFonts w:ascii="Times New Roman"/>
                    <w:spacing w:val="-5"/>
                    <w:sz w:val="18"/>
                  </w:rPr>
                  <w:fldChar w:fldCharType="end"/>
                </w:r>
              </w:p>
            </w:txbxContent>
          </v:textbox>
        </v:shape>
      </w:pic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18"/>
      </w:rPr>
    </w:pPr>
    <w:r>
      <w:pict>
        <v:shapetype id="_x0000_t202" coordsize="21600,21600" o:spt="202" path="m,l,21600r21600,l21600,xe">
          <v:stroke joinstyle="miter"/>
          <v:path gradientshapeok="t" o:connecttype="rect"/>
        </v:shapetype>
        <v:shape id="_x0000_s2064" type="#_x0000_t202" style="width:16pt;height:12pt;margin-top:760.64pt;margin-left:306.25pt;mso-position-horizontal-relative:page;mso-position-vertical-relative:page;position:absolute;z-index:-251651072" filled="f" stroked="f">
          <v:textbox inset="0,0,0,0">
            <w:txbxContent>
              <w:p>
                <w:pPr>
                  <w:spacing w:before="12"/>
                  <w:ind w:left="60" w:right="0" w:firstLine="0"/>
                  <w:jc w:val="left"/>
                  <w:rPr>
                    <w:rFonts w:ascii="Times New Roman"/>
                    <w:sz w:val="18"/>
                  </w:rPr>
                </w:pPr>
                <w:r>
                  <w:rPr>
                    <w:rFonts w:ascii="Times New Roman"/>
                    <w:spacing w:val="-5"/>
                    <w:sz w:val="18"/>
                  </w:rPr>
                  <w:fldChar w:fldCharType="begin"/>
                </w:r>
                <w:r>
                  <w:rPr>
                    <w:rFonts w:ascii="Times New Roman"/>
                    <w:spacing w:val="-5"/>
                    <w:sz w:val="18"/>
                  </w:rPr>
                  <w:instrText xml:space="preserve"> PAGE </w:instrText>
                </w:r>
                <w:r>
                  <w:rPr>
                    <w:rFonts w:ascii="Times New Roman"/>
                    <w:spacing w:val="-5"/>
                    <w:sz w:val="18"/>
                  </w:rPr>
                  <w:fldChar w:fldCharType="separate"/>
                </w:r>
                <w:r>
                  <w:rPr>
                    <w:rFonts w:ascii="Times New Roman"/>
                    <w:spacing w:val="-5"/>
                    <w:sz w:val="18"/>
                  </w:rPr>
                  <w:t>8</w:t>
                </w:r>
                <w:r>
                  <w:rPr>
                    <w:rFonts w:ascii="Times New Roman"/>
                    <w:spacing w:val="-5"/>
                    <w:sz w:val="18"/>
                  </w:rPr>
                  <w:fldChar w:fldCharType="end"/>
                </w:r>
              </w:p>
            </w:txbxContent>
          </v:textbox>
        </v:shape>
      </w:pic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18"/>
      </w:rPr>
    </w:pPr>
    <w:r>
      <w:pict>
        <v:shapetype id="_x0000_t202" coordsize="21600,21600" o:spt="202" path="m,l,21600r21600,l21600,xe">
          <v:stroke joinstyle="miter"/>
          <v:path gradientshapeok="t" o:connecttype="rect"/>
        </v:shapetype>
        <v:shape id="_x0000_s2066" type="#_x0000_t202" style="width:16pt;height:12pt;margin-top:760.64pt;margin-left:306.25pt;mso-position-horizontal-relative:page;mso-position-vertical-relative:page;position:absolute;z-index:-251650048" filled="f" stroked="f">
          <v:textbox inset="0,0,0,0">
            <w:txbxContent>
              <w:p>
                <w:pPr>
                  <w:spacing w:before="12"/>
                  <w:ind w:left="60" w:right="0" w:firstLine="0"/>
                  <w:jc w:val="left"/>
                  <w:rPr>
                    <w:rFonts w:ascii="Times New Roman"/>
                    <w:sz w:val="18"/>
                  </w:rPr>
                </w:pPr>
                <w:r>
                  <w:rPr>
                    <w:rFonts w:ascii="Times New Roman"/>
                    <w:spacing w:val="-5"/>
                    <w:sz w:val="18"/>
                  </w:rPr>
                  <w:fldChar w:fldCharType="begin"/>
                </w:r>
                <w:r>
                  <w:rPr>
                    <w:rFonts w:ascii="Times New Roman"/>
                    <w:spacing w:val="-5"/>
                    <w:sz w:val="18"/>
                  </w:rPr>
                  <w:instrText xml:space="preserve"> PAGE </w:instrText>
                </w:r>
                <w:r>
                  <w:rPr>
                    <w:rFonts w:ascii="Times New Roman"/>
                    <w:spacing w:val="-5"/>
                    <w:sz w:val="18"/>
                  </w:rPr>
                  <w:fldChar w:fldCharType="separate"/>
                </w:r>
                <w:r>
                  <w:rPr>
                    <w:rFonts w:ascii="Times New Roman"/>
                    <w:spacing w:val="-5"/>
                    <w:sz w:val="18"/>
                  </w:rPr>
                  <w:t>9</w:t>
                </w:r>
                <w:r>
                  <w:rPr>
                    <w:rFonts w:ascii="Times New Roman"/>
                    <w:spacing w:val="-5"/>
                    <w:sz w:val="18"/>
                  </w:rPr>
                  <w:fldChar w:fldCharType="end"/>
                </w:r>
              </w:p>
            </w:txbxContent>
          </v:textbox>
        </v:shape>
      </w:pic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18"/>
      </w:rPr>
    </w:pPr>
    <w:r>
      <w:pict>
        <v:shapetype id="_x0000_t202" coordsize="21600,21600" o:spt="202" path="m,l,21600r21600,l21600,xe">
          <v:stroke joinstyle="miter"/>
          <v:path gradientshapeok="t" o:connecttype="rect"/>
        </v:shapetype>
        <v:shape id="_x0000_s2068" type="#_x0000_t202" style="width:16pt;height:12pt;margin-top:760.64pt;margin-left:306.25pt;mso-position-horizontal-relative:page;mso-position-vertical-relative:page;position:absolute;z-index:-251649024" filled="f" stroked="f">
          <v:textbox inset="0,0,0,0">
            <w:txbxContent>
              <w:p>
                <w:pPr>
                  <w:spacing w:before="12"/>
                  <w:ind w:left="60" w:right="0" w:firstLine="0"/>
                  <w:jc w:val="left"/>
                  <w:rPr>
                    <w:rFonts w:ascii="Times New Roman"/>
                    <w:sz w:val="18"/>
                  </w:rPr>
                </w:pPr>
                <w:r>
                  <w:rPr>
                    <w:rFonts w:ascii="Times New Roman"/>
                    <w:spacing w:val="-5"/>
                    <w:sz w:val="18"/>
                  </w:rPr>
                  <w:fldChar w:fldCharType="begin"/>
                </w:r>
                <w:r>
                  <w:rPr>
                    <w:rFonts w:ascii="Times New Roman"/>
                    <w:spacing w:val="-5"/>
                    <w:sz w:val="18"/>
                  </w:rPr>
                  <w:instrText xml:space="preserve"> PAGE </w:instrText>
                </w:r>
                <w:r>
                  <w:rPr>
                    <w:rFonts w:ascii="Times New Roman"/>
                    <w:spacing w:val="-5"/>
                    <w:sz w:val="18"/>
                  </w:rPr>
                  <w:fldChar w:fldCharType="separate"/>
                </w:r>
                <w:r>
                  <w:rPr>
                    <w:rFonts w:ascii="Times New Roman"/>
                    <w:spacing w:val="-5"/>
                    <w:sz w:val="18"/>
                  </w:rPr>
                  <w:t>10</w:t>
                </w:r>
                <w:r>
                  <w:rPr>
                    <w:rFonts w:ascii="Times New Roman"/>
                    <w:spacing w:val="-5"/>
                    <w:sz w:val="18"/>
                  </w:rPr>
                  <w:fldChar w:fldCharType="end"/>
                </w:r>
              </w:p>
            </w:txbxContent>
          </v:textbox>
        </v:shape>
      </w:pic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18"/>
      </w:rPr>
    </w:pPr>
    <w:r>
      <w:pict>
        <v:shapetype id="_x0000_t202" coordsize="21600,21600" o:spt="202" path="m,l,21600r21600,l21600,xe">
          <v:stroke joinstyle="miter"/>
          <v:path gradientshapeok="t" o:connecttype="rect"/>
        </v:shapetype>
        <v:shape id="_x0000_s2070" type="#_x0000_t202" style="width:16pt;height:12pt;margin-top:760.64pt;margin-left:306.25pt;mso-position-horizontal-relative:page;mso-position-vertical-relative:page;position:absolute;z-index:-251648000" filled="f" stroked="f">
          <v:textbox inset="0,0,0,0">
            <w:txbxContent>
              <w:p>
                <w:pPr>
                  <w:spacing w:before="12"/>
                  <w:ind w:left="60" w:right="0" w:firstLine="0"/>
                  <w:jc w:val="left"/>
                  <w:rPr>
                    <w:rFonts w:ascii="Times New Roman"/>
                    <w:sz w:val="18"/>
                  </w:rPr>
                </w:pPr>
                <w:r>
                  <w:rPr>
                    <w:rFonts w:ascii="Times New Roman"/>
                    <w:spacing w:val="-5"/>
                    <w:sz w:val="18"/>
                  </w:rPr>
                  <w:fldChar w:fldCharType="begin"/>
                </w:r>
                <w:r>
                  <w:rPr>
                    <w:rFonts w:ascii="Times New Roman"/>
                    <w:spacing w:val="-5"/>
                    <w:sz w:val="18"/>
                  </w:rPr>
                  <w:instrText xml:space="preserve"> PAGE </w:instrText>
                </w:r>
                <w:r>
                  <w:rPr>
                    <w:rFonts w:ascii="Times New Roman"/>
                    <w:spacing w:val="-5"/>
                    <w:sz w:val="18"/>
                  </w:rPr>
                  <w:fldChar w:fldCharType="separate"/>
                </w:r>
                <w:r>
                  <w:rPr>
                    <w:rFonts w:ascii="Times New Roman"/>
                    <w:spacing w:val="-5"/>
                    <w:sz w:val="18"/>
                  </w:rPr>
                  <w:t>11</w:t>
                </w:r>
                <w:r>
                  <w:rPr>
                    <w:rFonts w:ascii="Times New Roman"/>
                    <w:spacing w:val="-5"/>
                    <w:sz w:val="18"/>
                  </w:rPr>
                  <w:fldChar w:fldCharType="end"/>
                </w:r>
              </w:p>
            </w:txbxContent>
          </v:textbox>
        </v:shape>
      </w:pic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18"/>
      </w:rPr>
    </w:pPr>
    <w:r>
      <w:pict>
        <v:shapetype id="_x0000_t202" coordsize="21600,21600" o:spt="202" path="m,l,21600r21600,l21600,xe">
          <v:stroke joinstyle="miter"/>
          <v:path gradientshapeok="t" o:connecttype="rect"/>
        </v:shapetype>
        <v:shape id="_x0000_s2072" type="#_x0000_t202" style="width:16pt;height:12pt;margin-top:760.64pt;margin-left:306.25pt;mso-position-horizontal-relative:page;mso-position-vertical-relative:page;position:absolute;z-index:-251646976" filled="f" stroked="f">
          <v:textbox inset="0,0,0,0">
            <w:txbxContent>
              <w:p>
                <w:pPr>
                  <w:spacing w:before="12"/>
                  <w:ind w:left="60" w:right="0" w:firstLine="0"/>
                  <w:jc w:val="left"/>
                  <w:rPr>
                    <w:rFonts w:ascii="Times New Roman"/>
                    <w:sz w:val="18"/>
                  </w:rPr>
                </w:pPr>
                <w:r>
                  <w:rPr>
                    <w:rFonts w:ascii="Times New Roman"/>
                    <w:spacing w:val="-5"/>
                    <w:sz w:val="18"/>
                  </w:rPr>
                  <w:fldChar w:fldCharType="begin"/>
                </w:r>
                <w:r>
                  <w:rPr>
                    <w:rFonts w:ascii="Times New Roman"/>
                    <w:spacing w:val="-5"/>
                    <w:sz w:val="18"/>
                  </w:rPr>
                  <w:instrText xml:space="preserve"> PAGE </w:instrText>
                </w:r>
                <w:r>
                  <w:rPr>
                    <w:rFonts w:ascii="Times New Roman"/>
                    <w:spacing w:val="-5"/>
                    <w:sz w:val="18"/>
                  </w:rPr>
                  <w:fldChar w:fldCharType="separate"/>
                </w:r>
                <w:r>
                  <w:rPr>
                    <w:rFonts w:ascii="Times New Roman"/>
                    <w:spacing w:val="-5"/>
                    <w:sz w:val="18"/>
                  </w:rPr>
                  <w:t>12</w:t>
                </w:r>
                <w:r>
                  <w:rPr>
                    <w:rFonts w:ascii="Times New Roman"/>
                    <w:spacing w:val="-5"/>
                    <w:sz w:val="18"/>
                  </w:rPr>
                  <w:fldChar w:fldCharType="end"/>
                </w:r>
              </w:p>
            </w:txbxContent>
          </v:textbox>
        </v:shape>
      </w:pic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18"/>
      </w:rPr>
    </w:pPr>
    <w:r>
      <w:pict>
        <v:shapetype id="_x0000_t202" coordsize="21600,21600" o:spt="202" path="m,l,21600r21600,l21600,xe">
          <v:stroke joinstyle="miter"/>
          <v:path gradientshapeok="t" o:connecttype="rect"/>
        </v:shapetype>
        <v:shape id="_x0000_s2074" type="#_x0000_t202" style="width:16pt;height:12pt;margin-top:760.64pt;margin-left:306.25pt;mso-position-horizontal-relative:page;mso-position-vertical-relative:page;position:absolute;z-index:-251645952" filled="f" stroked="f">
          <v:textbox inset="0,0,0,0">
            <w:txbxContent>
              <w:p>
                <w:pPr>
                  <w:spacing w:before="12"/>
                  <w:ind w:left="60" w:right="0" w:firstLine="0"/>
                  <w:jc w:val="left"/>
                  <w:rPr>
                    <w:rFonts w:ascii="Times New Roman"/>
                    <w:sz w:val="18"/>
                  </w:rPr>
                </w:pPr>
                <w:r>
                  <w:rPr>
                    <w:rFonts w:ascii="Times New Roman"/>
                    <w:spacing w:val="-5"/>
                    <w:sz w:val="18"/>
                  </w:rPr>
                  <w:fldChar w:fldCharType="begin"/>
                </w:r>
                <w:r>
                  <w:rPr>
                    <w:rFonts w:ascii="Times New Roman"/>
                    <w:spacing w:val="-5"/>
                    <w:sz w:val="18"/>
                  </w:rPr>
                  <w:instrText xml:space="preserve"> PAGE </w:instrText>
                </w:r>
                <w:r>
                  <w:rPr>
                    <w:rFonts w:ascii="Times New Roman"/>
                    <w:spacing w:val="-5"/>
                    <w:sz w:val="18"/>
                  </w:rPr>
                  <w:fldChar w:fldCharType="separate"/>
                </w:r>
                <w:r>
                  <w:rPr>
                    <w:rFonts w:ascii="Times New Roman"/>
                    <w:spacing w:val="-5"/>
                    <w:sz w:val="18"/>
                  </w:rPr>
                  <w:t>13</w:t>
                </w:r>
                <w:r>
                  <w:rPr>
                    <w:rFonts w:ascii="Times New Roman"/>
                    <w:spacing w:val="-5"/>
                    <w:sz w:val="18"/>
                  </w:rPr>
                  <w:fldChar w:fldCharType="end"/>
                </w:r>
              </w:p>
            </w:txbxContent>
          </v:textbox>
        </v:shape>
      </w:pic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18"/>
      </w:rPr>
    </w:pPr>
    <w:r>
      <w:pict>
        <v:shapetype id="_x0000_t202" coordsize="21600,21600" o:spt="202" path="m,l,21600r21600,l21600,xe">
          <v:stroke joinstyle="miter"/>
          <v:path gradientshapeok="t" o:connecttype="rect"/>
        </v:shapetype>
        <v:shape id="_x0000_s2076" type="#_x0000_t202" style="width:16pt;height:12pt;margin-top:760.64pt;margin-left:306.25pt;mso-position-horizontal-relative:page;mso-position-vertical-relative:page;position:absolute;z-index:-251644928" filled="f" stroked="f">
          <v:textbox inset="0,0,0,0">
            <w:txbxContent>
              <w:p>
                <w:pPr>
                  <w:spacing w:before="12"/>
                  <w:ind w:left="60" w:right="0" w:firstLine="0"/>
                  <w:jc w:val="left"/>
                  <w:rPr>
                    <w:rFonts w:ascii="Times New Roman"/>
                    <w:sz w:val="18"/>
                  </w:rPr>
                </w:pPr>
                <w:r>
                  <w:rPr>
                    <w:rFonts w:ascii="Times New Roman"/>
                    <w:spacing w:val="-5"/>
                    <w:sz w:val="18"/>
                  </w:rPr>
                  <w:fldChar w:fldCharType="begin"/>
                </w:r>
                <w:r>
                  <w:rPr>
                    <w:rFonts w:ascii="Times New Roman"/>
                    <w:spacing w:val="-5"/>
                    <w:sz w:val="18"/>
                  </w:rPr>
                  <w:instrText xml:space="preserve"> PAGE </w:instrText>
                </w:r>
                <w:r>
                  <w:rPr>
                    <w:rFonts w:ascii="Times New Roman"/>
                    <w:spacing w:val="-5"/>
                    <w:sz w:val="18"/>
                  </w:rPr>
                  <w:fldChar w:fldCharType="separate"/>
                </w:r>
                <w:r>
                  <w:rPr>
                    <w:rFonts w:ascii="Times New Roman"/>
                    <w:spacing w:val="-5"/>
                    <w:sz w:val="18"/>
                  </w:rPr>
                  <w:t>14</w:t>
                </w:r>
                <w:r>
                  <w:rPr>
                    <w:rFonts w:ascii="Times New Roman"/>
                    <w:spacing w:val="-5"/>
                    <w:sz w:val="18"/>
                  </w:rPr>
                  <w:fldChar w:fldCharType="end"/>
                </w:r>
              </w:p>
            </w:txbxContent>
          </v:textbox>
        </v:shape>
      </w:pic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18"/>
      </w:rPr>
    </w:pPr>
    <w:r>
      <w:pict>
        <v:shapetype id="_x0000_t202" coordsize="21600,21600" o:spt="202" path="m,l,21600r21600,l21600,xe">
          <v:stroke joinstyle="miter"/>
          <v:path gradientshapeok="t" o:connecttype="rect"/>
        </v:shapetype>
        <v:shape id="_x0000_s2078" type="#_x0000_t202" style="width:16pt;height:12pt;margin-top:760.64pt;margin-left:306.25pt;mso-position-horizontal-relative:page;mso-position-vertical-relative:page;position:absolute;z-index:-251643904" filled="f" stroked="f">
          <v:textbox inset="0,0,0,0">
            <w:txbxContent>
              <w:p>
                <w:pPr>
                  <w:spacing w:before="12"/>
                  <w:ind w:left="60" w:right="0" w:firstLine="0"/>
                  <w:jc w:val="left"/>
                  <w:rPr>
                    <w:rFonts w:ascii="Times New Roman"/>
                    <w:sz w:val="18"/>
                  </w:rPr>
                </w:pPr>
                <w:r>
                  <w:rPr>
                    <w:rFonts w:ascii="Times New Roman"/>
                    <w:spacing w:val="-5"/>
                    <w:sz w:val="18"/>
                  </w:rPr>
                  <w:fldChar w:fldCharType="begin"/>
                </w:r>
                <w:r>
                  <w:rPr>
                    <w:rFonts w:ascii="Times New Roman"/>
                    <w:spacing w:val="-5"/>
                    <w:sz w:val="18"/>
                  </w:rPr>
                  <w:instrText xml:space="preserve"> PAGE </w:instrText>
                </w:r>
                <w:r>
                  <w:rPr>
                    <w:rFonts w:ascii="Times New Roman"/>
                    <w:spacing w:val="-5"/>
                    <w:sz w:val="18"/>
                  </w:rPr>
                  <w:fldChar w:fldCharType="separate"/>
                </w:r>
                <w:r>
                  <w:rPr>
                    <w:rFonts w:ascii="Times New Roman"/>
                    <w:spacing w:val="-5"/>
                    <w:sz w:val="18"/>
                  </w:rPr>
                  <w:t>15</w:t>
                </w:r>
                <w:r>
                  <w:rPr>
                    <w:rFonts w:ascii="Times New Roman"/>
                    <w:spacing w:val="-5"/>
                    <w:sz w:val="18"/>
                  </w:rPr>
                  <w:fldChar w:fldCharType="end"/>
                </w:r>
              </w:p>
            </w:txbxContent>
          </v:textbox>
        </v:shape>
      </w:pic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18"/>
      </w:rPr>
    </w:pPr>
    <w:r>
      <w:pict>
        <v:shapetype id="_x0000_t202" coordsize="21600,21600" o:spt="202" path="m,l,21600r21600,l21600,xe">
          <v:stroke joinstyle="miter"/>
          <v:path gradientshapeok="t" o:connecttype="rect"/>
        </v:shapetype>
        <v:shape id="_x0000_s2080" type="#_x0000_t202" style="width:16pt;height:12pt;margin-top:760.64pt;margin-left:306.25pt;mso-position-horizontal-relative:page;mso-position-vertical-relative:page;position:absolute;z-index:-251642880" filled="f" stroked="f">
          <v:textbox inset="0,0,0,0">
            <w:txbxContent>
              <w:p>
                <w:pPr>
                  <w:spacing w:before="12"/>
                  <w:ind w:left="60" w:right="0" w:firstLine="0"/>
                  <w:jc w:val="left"/>
                  <w:rPr>
                    <w:rFonts w:ascii="Times New Roman"/>
                    <w:sz w:val="18"/>
                  </w:rPr>
                </w:pPr>
                <w:r>
                  <w:rPr>
                    <w:rFonts w:ascii="Times New Roman"/>
                    <w:spacing w:val="-5"/>
                    <w:sz w:val="18"/>
                  </w:rPr>
                  <w:fldChar w:fldCharType="begin"/>
                </w:r>
                <w:r>
                  <w:rPr>
                    <w:rFonts w:ascii="Times New Roman"/>
                    <w:spacing w:val="-5"/>
                    <w:sz w:val="18"/>
                  </w:rPr>
                  <w:instrText xml:space="preserve"> PAGE </w:instrText>
                </w:r>
                <w:r>
                  <w:rPr>
                    <w:rFonts w:ascii="Times New Roman"/>
                    <w:spacing w:val="-5"/>
                    <w:sz w:val="18"/>
                  </w:rPr>
                  <w:fldChar w:fldCharType="separate"/>
                </w:r>
                <w:r>
                  <w:rPr>
                    <w:rFonts w:ascii="Times New Roman"/>
                    <w:spacing w:val="-5"/>
                    <w:sz w:val="18"/>
                  </w:rPr>
                  <w:t>16</w:t>
                </w:r>
                <w:r>
                  <w:rPr>
                    <w:rFonts w:ascii="Times New Roman"/>
                    <w:spacing w:val="-5"/>
                    <w:sz w:val="18"/>
                  </w:rPr>
                  <w:fldChar w:fldCharType="end"/>
                </w:r>
              </w:p>
            </w:txbxContent>
          </v:textbox>
        </v:shape>
      </w:pic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18"/>
      </w:rPr>
    </w:pPr>
    <w:r>
      <w:pict>
        <v:shapetype id="_x0000_t202" coordsize="21600,21600" o:spt="202" path="m,l,21600r21600,l21600,xe">
          <v:stroke joinstyle="miter"/>
          <v:path gradientshapeok="t" o:connecttype="rect"/>
        </v:shapetype>
        <v:shape id="_x0000_s2082" type="#_x0000_t202" style="width:16pt;height:12pt;margin-top:760.64pt;margin-left:306.25pt;mso-position-horizontal-relative:page;mso-position-vertical-relative:page;position:absolute;z-index:-251641856" filled="f" stroked="f">
          <v:textbox inset="0,0,0,0">
            <w:txbxContent>
              <w:p>
                <w:pPr>
                  <w:spacing w:before="12"/>
                  <w:ind w:left="60" w:right="0" w:firstLine="0"/>
                  <w:jc w:val="left"/>
                  <w:rPr>
                    <w:rFonts w:ascii="Times New Roman"/>
                    <w:sz w:val="18"/>
                  </w:rPr>
                </w:pPr>
                <w:r>
                  <w:rPr>
                    <w:rFonts w:ascii="Times New Roman"/>
                    <w:spacing w:val="-5"/>
                    <w:sz w:val="18"/>
                  </w:rPr>
                  <w:fldChar w:fldCharType="begin"/>
                </w:r>
                <w:r>
                  <w:rPr>
                    <w:rFonts w:ascii="Times New Roman"/>
                    <w:spacing w:val="-5"/>
                    <w:sz w:val="18"/>
                  </w:rPr>
                  <w:instrText xml:space="preserve"> PAGE </w:instrText>
                </w:r>
                <w:r>
                  <w:rPr>
                    <w:rFonts w:ascii="Times New Roman"/>
                    <w:spacing w:val="-5"/>
                    <w:sz w:val="18"/>
                  </w:rPr>
                  <w:fldChar w:fldCharType="separate"/>
                </w:r>
                <w:r>
                  <w:rPr>
                    <w:rFonts w:ascii="Times New Roman"/>
                    <w:spacing w:val="-5"/>
                    <w:sz w:val="18"/>
                  </w:rPr>
                  <w:t>17</w:t>
                </w:r>
                <w:r>
                  <w:rPr>
                    <w:rFonts w:ascii="Times New Roman"/>
                    <w:spacing w:val="-5"/>
                    <w:sz w:val="18"/>
                  </w:rPr>
                  <w:fldChar w:fldCharType="end"/>
                </w:r>
              </w:p>
            </w:txbxContent>
          </v:textbox>
        </v:shape>
      </w:pic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18"/>
      </w:rPr>
    </w:pPr>
    <w:r>
      <w:pict>
        <v:shapetype id="_x0000_t202" coordsize="21600,21600" o:spt="202" path="m,l,21600r21600,l21600,xe">
          <v:stroke joinstyle="miter"/>
          <v:path gradientshapeok="t" o:connecttype="rect"/>
        </v:shapetype>
        <v:shape id="_x0000_s2084" type="#_x0000_t202" style="width:16pt;height:12pt;margin-top:760.64pt;margin-left:306.25pt;mso-position-horizontal-relative:page;mso-position-vertical-relative:page;position:absolute;z-index:-251640832" filled="f" stroked="f">
          <v:textbox inset="0,0,0,0">
            <w:txbxContent>
              <w:p>
                <w:pPr>
                  <w:spacing w:before="12"/>
                  <w:ind w:left="60" w:right="0" w:firstLine="0"/>
                  <w:jc w:val="left"/>
                  <w:rPr>
                    <w:rFonts w:ascii="Times New Roman"/>
                    <w:sz w:val="18"/>
                  </w:rPr>
                </w:pPr>
                <w:r>
                  <w:rPr>
                    <w:rFonts w:ascii="Times New Roman"/>
                    <w:spacing w:val="-5"/>
                    <w:sz w:val="18"/>
                  </w:rPr>
                  <w:fldChar w:fldCharType="begin"/>
                </w:r>
                <w:r>
                  <w:rPr>
                    <w:rFonts w:ascii="Times New Roman"/>
                    <w:spacing w:val="-5"/>
                    <w:sz w:val="18"/>
                  </w:rPr>
                  <w:instrText xml:space="preserve"> PAGE </w:instrText>
                </w:r>
                <w:r>
                  <w:rPr>
                    <w:rFonts w:ascii="Times New Roman"/>
                    <w:spacing w:val="-5"/>
                    <w:sz w:val="18"/>
                  </w:rPr>
                  <w:fldChar w:fldCharType="separate"/>
                </w:r>
                <w:r>
                  <w:rPr>
                    <w:rFonts w:ascii="Times New Roman"/>
                    <w:spacing w:val="-5"/>
                    <w:sz w:val="18"/>
                  </w:rPr>
                  <w:t>18</w:t>
                </w:r>
                <w:r>
                  <w:rPr>
                    <w:rFonts w:ascii="Times New Roman"/>
                    <w:spacing w:val="-5"/>
                    <w:sz w:val="18"/>
                  </w:rPr>
                  <w:fldChar w:fldCharType="end"/>
                </w:r>
              </w:p>
            </w:txbxContent>
          </v:textbox>
        </v:shape>
      </w:pic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18"/>
      </w:rPr>
    </w:pPr>
    <w:r>
      <w:pict>
        <v:shapetype id="_x0000_t202" coordsize="21600,21600" o:spt="202" path="m,l,21600r21600,l21600,xe">
          <v:stroke joinstyle="miter"/>
          <v:path gradientshapeok="t" o:connecttype="rect"/>
        </v:shapetype>
        <v:shape id="_x0000_s2086" type="#_x0000_t202" style="width:16pt;height:12pt;margin-top:760.64pt;margin-left:306.25pt;mso-position-horizontal-relative:page;mso-position-vertical-relative:page;position:absolute;z-index:-251639808" filled="f" stroked="f">
          <v:textbox inset="0,0,0,0">
            <w:txbxContent>
              <w:p>
                <w:pPr>
                  <w:spacing w:before="12"/>
                  <w:ind w:left="60" w:right="0" w:firstLine="0"/>
                  <w:jc w:val="left"/>
                  <w:rPr>
                    <w:rFonts w:ascii="Times New Roman"/>
                    <w:sz w:val="18"/>
                  </w:rPr>
                </w:pPr>
                <w:r>
                  <w:rPr>
                    <w:rFonts w:ascii="Times New Roman"/>
                    <w:spacing w:val="-5"/>
                    <w:sz w:val="18"/>
                  </w:rPr>
                  <w:fldChar w:fldCharType="begin"/>
                </w:r>
                <w:r>
                  <w:rPr>
                    <w:rFonts w:ascii="Times New Roman"/>
                    <w:spacing w:val="-5"/>
                    <w:sz w:val="18"/>
                  </w:rPr>
                  <w:instrText xml:space="preserve"> PAGE </w:instrText>
                </w:r>
                <w:r>
                  <w:rPr>
                    <w:rFonts w:ascii="Times New Roman"/>
                    <w:spacing w:val="-5"/>
                    <w:sz w:val="18"/>
                  </w:rPr>
                  <w:fldChar w:fldCharType="separate"/>
                </w:r>
                <w:r>
                  <w:rPr>
                    <w:rFonts w:ascii="Times New Roman"/>
                    <w:spacing w:val="-5"/>
                    <w:sz w:val="18"/>
                  </w:rPr>
                  <w:t>19</w:t>
                </w:r>
                <w:r>
                  <w:rPr>
                    <w:rFonts w:ascii="Times New Roman"/>
                    <w:spacing w:val="-5"/>
                    <w:sz w:val="18"/>
                  </w:rPr>
                  <w:fldChar w:fldCharType="end"/>
                </w:r>
              </w:p>
            </w:txbxContent>
          </v:textbox>
        </v:shape>
      </w:pic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18"/>
      </w:rPr>
    </w:pPr>
    <w:r>
      <w:pict>
        <v:shapetype id="_x0000_t202" coordsize="21600,21600" o:spt="202" path="m,l,21600r21600,l21600,xe">
          <v:stroke joinstyle="miter"/>
          <v:path gradientshapeok="t" o:connecttype="rect"/>
        </v:shapetype>
        <v:shape id="_x0000_s2088" type="#_x0000_t202" style="width:16pt;height:12pt;margin-top:760.64pt;margin-left:306.25pt;mso-position-horizontal-relative:page;mso-position-vertical-relative:page;position:absolute;z-index:-251638784" filled="f" stroked="f">
          <v:textbox inset="0,0,0,0">
            <w:txbxContent>
              <w:p>
                <w:pPr>
                  <w:spacing w:before="12"/>
                  <w:ind w:left="60" w:right="0" w:firstLine="0"/>
                  <w:jc w:val="left"/>
                  <w:rPr>
                    <w:rFonts w:ascii="Times New Roman"/>
                    <w:sz w:val="18"/>
                  </w:rPr>
                </w:pPr>
                <w:r>
                  <w:rPr>
                    <w:rFonts w:ascii="Times New Roman"/>
                    <w:spacing w:val="-5"/>
                    <w:sz w:val="18"/>
                  </w:rPr>
                  <w:fldChar w:fldCharType="begin"/>
                </w:r>
                <w:r>
                  <w:rPr>
                    <w:rFonts w:ascii="Times New Roman"/>
                    <w:spacing w:val="-5"/>
                    <w:sz w:val="18"/>
                  </w:rPr>
                  <w:instrText xml:space="preserve"> PAGE </w:instrText>
                </w:r>
                <w:r>
                  <w:rPr>
                    <w:rFonts w:ascii="Times New Roman"/>
                    <w:spacing w:val="-5"/>
                    <w:sz w:val="18"/>
                  </w:rPr>
                  <w:fldChar w:fldCharType="separate"/>
                </w:r>
                <w:r>
                  <w:rPr>
                    <w:rFonts w:ascii="Times New Roman"/>
                    <w:spacing w:val="-5"/>
                    <w:sz w:val="18"/>
                  </w:rPr>
                  <w:t>20</w:t>
                </w:r>
                <w:r>
                  <w:rPr>
                    <w:rFonts w:ascii="Times New Roman"/>
                    <w:spacing w:val="-5"/>
                    <w:sz w:val="18"/>
                  </w:rPr>
                  <w:fldChar w:fldCharType="end"/>
                </w:r>
              </w:p>
            </w:txbxContent>
          </v:textbox>
        </v:shape>
      </w:pic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18"/>
      </w:rPr>
    </w:pPr>
    <w:r>
      <w:pict>
        <v:shapetype id="_x0000_t202" coordsize="21600,21600" o:spt="202" path="m,l,21600r21600,l21600,xe">
          <v:stroke joinstyle="miter"/>
          <v:path gradientshapeok="t" o:connecttype="rect"/>
        </v:shapetype>
        <v:shape id="_x0000_s2090" type="#_x0000_t202" style="width:16pt;height:12pt;margin-top:760.64pt;margin-left:306.25pt;mso-position-horizontal-relative:page;mso-position-vertical-relative:page;position:absolute;z-index:-251637760" filled="f" stroked="f">
          <v:textbox inset="0,0,0,0">
            <w:txbxContent>
              <w:p>
                <w:pPr>
                  <w:spacing w:before="12"/>
                  <w:ind w:left="60" w:right="0" w:firstLine="0"/>
                  <w:jc w:val="left"/>
                  <w:rPr>
                    <w:rFonts w:ascii="Times New Roman"/>
                    <w:sz w:val="18"/>
                  </w:rPr>
                </w:pPr>
                <w:r>
                  <w:rPr>
                    <w:rFonts w:ascii="Times New Roman"/>
                    <w:spacing w:val="-5"/>
                    <w:sz w:val="18"/>
                  </w:rPr>
                  <w:fldChar w:fldCharType="begin"/>
                </w:r>
                <w:r>
                  <w:rPr>
                    <w:rFonts w:ascii="Times New Roman"/>
                    <w:spacing w:val="-5"/>
                    <w:sz w:val="18"/>
                  </w:rPr>
                  <w:instrText xml:space="preserve"> PAGE </w:instrText>
                </w:r>
                <w:r>
                  <w:rPr>
                    <w:rFonts w:ascii="Times New Roman"/>
                    <w:spacing w:val="-5"/>
                    <w:sz w:val="18"/>
                  </w:rPr>
                  <w:fldChar w:fldCharType="separate"/>
                </w:r>
                <w:r>
                  <w:rPr>
                    <w:rFonts w:ascii="Times New Roman"/>
                    <w:spacing w:val="-5"/>
                    <w:sz w:val="18"/>
                  </w:rPr>
                  <w:t>21</w:t>
                </w:r>
                <w:r>
                  <w:rPr>
                    <w:rFonts w:ascii="Times New Roman"/>
                    <w:spacing w:val="-5"/>
                    <w:sz w:val="18"/>
                  </w:rPr>
                  <w:fldChar w:fldCharType="end"/>
                </w:r>
              </w:p>
            </w:txbxContent>
          </v:textbox>
        </v:shape>
      </w:pic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18"/>
      </w:rPr>
    </w:pPr>
    <w:r>
      <w:pict>
        <v:shapetype id="_x0000_t202" coordsize="21600,21600" o:spt="202" path="m,l,21600r21600,l21600,xe">
          <v:stroke joinstyle="miter"/>
          <v:path gradientshapeok="t" o:connecttype="rect"/>
        </v:shapetype>
        <v:shape id="_x0000_s2092" type="#_x0000_t202" style="width:16pt;height:12pt;margin-top:760.64pt;margin-left:306.25pt;mso-position-horizontal-relative:page;mso-position-vertical-relative:page;position:absolute;z-index:-251636736" filled="f" stroked="f">
          <v:textbox inset="0,0,0,0">
            <w:txbxContent>
              <w:p>
                <w:pPr>
                  <w:spacing w:before="12"/>
                  <w:ind w:left="60" w:right="0" w:firstLine="0"/>
                  <w:jc w:val="left"/>
                  <w:rPr>
                    <w:rFonts w:ascii="Times New Roman"/>
                    <w:sz w:val="18"/>
                  </w:rPr>
                </w:pPr>
                <w:r>
                  <w:rPr>
                    <w:rFonts w:ascii="Times New Roman"/>
                    <w:spacing w:val="-5"/>
                    <w:sz w:val="18"/>
                  </w:rPr>
                  <w:fldChar w:fldCharType="begin"/>
                </w:r>
                <w:r>
                  <w:rPr>
                    <w:rFonts w:ascii="Times New Roman"/>
                    <w:spacing w:val="-5"/>
                    <w:sz w:val="18"/>
                  </w:rPr>
                  <w:instrText xml:space="preserve"> PAGE </w:instrText>
                </w:r>
                <w:r>
                  <w:rPr>
                    <w:rFonts w:ascii="Times New Roman"/>
                    <w:spacing w:val="-5"/>
                    <w:sz w:val="18"/>
                  </w:rPr>
                  <w:fldChar w:fldCharType="separate"/>
                </w:r>
                <w:r>
                  <w:rPr>
                    <w:rFonts w:ascii="Times New Roman"/>
                    <w:spacing w:val="-5"/>
                    <w:sz w:val="18"/>
                  </w:rPr>
                  <w:t>23</w:t>
                </w:r>
                <w:r>
                  <w:rPr>
                    <w:rFonts w:ascii="Times New Roman"/>
                    <w:spacing w:val="-5"/>
                    <w:sz w:val="18"/>
                  </w:rPr>
                  <w:fldChar w:fldCharType="end"/>
                </w:r>
              </w:p>
            </w:txbxContent>
          </v:textbox>
        </v:shape>
      </w:pic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049" style="mso-position-horizontal-relative:page;mso-position-vertical-relative:page;position:absolute;z-index:-251658240" from="69.45pt,59.45pt" to="540.05pt,59.45pt" stroked="t" strokecolor="black" strokeweight="0.75pt">
          <v:stroke dashstyle="solid"/>
        </v:lin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051" style="mso-position-horizontal-relative:page;mso-position-vertical-relative:page;position:absolute;z-index:-251657216" from="69.45pt,59.45pt" to="540.05pt,59.45pt" stroked="t" strokecolor="black" strokeweight="0.75pt">
          <v:stroke dashstyle="solid"/>
        </v:lin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053" style="mso-position-horizontal-relative:page;mso-position-vertical-relative:page;position:absolute;z-index:-251656192" from="69.45pt,59.45pt" to="540.05pt,59.45pt" stroked="t" strokecolor="black" strokeweight="0.75pt">
          <v:stroke dashstyle="solid"/>
        </v:lin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055" style="mso-position-horizontal-relative:page;mso-position-vertical-relative:page;position:absolute;z-index:-251655168" from="69.45pt,59.45pt" to="540.05pt,59.45pt" stroked="t" strokecolor="black" strokeweight="0.75pt">
          <v:stroke dashstyle="solid"/>
        </v:lin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057" style="mso-position-horizontal-relative:page;mso-position-vertical-relative:page;position:absolute;z-index:-251654144" from="69.45pt,59.45pt" to="540.05pt,59.45pt" stroked="t" strokecolor="black" strokeweight="0.75pt">
          <v:stroke dashstyle="solid"/>
        </v:lin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059" style="mso-position-horizontal-relative:page;mso-position-vertical-relative:page;position:absolute;z-index:-251653120" from="69.45pt,59.45pt" to="540.05pt,59.45pt" stroked="t" strokecolor="black" strokeweight="0.75pt">
          <v:stroke dashstyle="solid"/>
        </v:lin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061" style="mso-position-horizontal-relative:page;mso-position-vertical-relative:page;position:absolute;z-index:-251652096" from="69.45pt,59.45pt" to="540.05pt,59.45pt" stroked="t" strokecolor="black" strokeweight="0.75pt">
          <v:stroke dashstyle="solid"/>
        </v:lin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063" style="mso-position-horizontal-relative:page;mso-position-vertical-relative:page;position:absolute;z-index:-251651072" from="69.45pt,59.45pt" to="540.05pt,59.45pt" stroked="t" strokecolor="black" strokeweight="0.75pt">
          <v:stroke dashstyle="solid"/>
        </v:lin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065" style="mso-position-horizontal-relative:page;mso-position-vertical-relative:page;position:absolute;z-index:-251650048" from="69.45pt,59.45pt" to="540.05pt,59.45pt" stroked="t" strokecolor="black" strokeweight="0.75pt">
          <v:stroke dashstyle="solid"/>
        </v:line>
      </w:pic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067" style="mso-position-horizontal-relative:page;mso-position-vertical-relative:page;position:absolute;z-index:-251649024" from="69.45pt,59.45pt" to="540.05pt,59.45pt" stroked="t" strokecolor="black" strokeweight="0.75pt">
          <v:stroke dashstyle="solid"/>
        </v:line>
      </w:pic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069" style="mso-position-horizontal-relative:page;mso-position-vertical-relative:page;position:absolute;z-index:-251648000" from="69.45pt,59.45pt" to="540.05pt,59.45pt" stroked="t" strokecolor="black" strokeweight="0.75pt">
          <v:stroke dashstyle="solid"/>
        </v:line>
      </w:pic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071" style="mso-position-horizontal-relative:page;mso-position-vertical-relative:page;position:absolute;z-index:-251646976" from="69.45pt,59.45pt" to="540.05pt,59.45pt" stroked="t" strokecolor="black" strokeweight="0.75pt">
          <v:stroke dashstyle="solid"/>
        </v:line>
      </w:pic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073" style="mso-position-horizontal-relative:page;mso-position-vertical-relative:page;position:absolute;z-index:-251645952" from="69.45pt,59.45pt" to="540.05pt,59.45pt" stroked="t" strokecolor="black" strokeweight="0.75pt">
          <v:stroke dashstyle="solid"/>
        </v:line>
      </w:pic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075" style="mso-position-horizontal-relative:page;mso-position-vertical-relative:page;position:absolute;z-index:-251644928" from="69.45pt,59.45pt" to="540.05pt,59.45pt" stroked="t" strokecolor="black" strokeweight="0.75pt">
          <v:stroke dashstyle="solid"/>
        </v:line>
      </w:pic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077" style="mso-position-horizontal-relative:page;mso-position-vertical-relative:page;position:absolute;z-index:-251643904" from="69.45pt,59.45pt" to="540.05pt,59.45pt" stroked="t" strokecolor="black" strokeweight="0.75pt">
          <v:stroke dashstyle="solid"/>
        </v:line>
      </w:pic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079" style="mso-position-horizontal-relative:page;mso-position-vertical-relative:page;position:absolute;z-index:-251642880" from="69.45pt,59.45pt" to="540.05pt,59.45pt" stroked="t" strokecolor="black" strokeweight="0.75pt">
          <v:stroke dashstyle="solid"/>
        </v:line>
      </w:pic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081" style="mso-position-horizontal-relative:page;mso-position-vertical-relative:page;position:absolute;z-index:-251641856" from="69.45pt,59.45pt" to="540.05pt,59.45pt" stroked="t" strokecolor="black" strokeweight="0.75pt">
          <v:stroke dashstyle="solid"/>
        </v:line>
      </w:pic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083" style="mso-position-horizontal-relative:page;mso-position-vertical-relative:page;position:absolute;z-index:-251640832" from="69.45pt,59.45pt" to="540.05pt,59.45pt" stroked="t" strokecolor="black" strokeweight="0.75pt">
          <v:stroke dashstyle="solid"/>
        </v:line>
      </w:pic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085" style="mso-position-horizontal-relative:page;mso-position-vertical-relative:page;position:absolute;z-index:-251639808" from="69.45pt,59.45pt" to="540.05pt,59.45pt" stroked="t" strokecolor="black" strokeweight="0.75pt">
          <v:stroke dashstyle="solid"/>
        </v:line>
      </w:pic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087" style="mso-position-horizontal-relative:page;mso-position-vertical-relative:page;position:absolute;z-index:-251638784" from="69.45pt,59.45pt" to="540.05pt,59.45pt" stroked="t" strokecolor="black" strokeweight="0.75pt">
          <v:stroke dashstyle="solid"/>
        </v:line>
      </w:pic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089" style="mso-position-horizontal-relative:page;mso-position-vertical-relative:page;position:absolute;z-index:-251637760" from="69.45pt,59.45pt" to="540.05pt,59.45pt" stroked="t" strokecolor="black" strokeweight="0.75pt">
          <v:stroke dashstyle="solid"/>
        </v:line>
      </w:pic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091" style="mso-position-horizontal-relative:page;mso-position-vertical-relative:page;position:absolute;z-index:-251636736" from="69.45pt,59.45pt" to="540.05pt,59.45pt" stroked="t" strokecolor="black" strokeweight="0.75pt">
          <v:stroke dashstyle="solid"/>
        </v:lin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9B1916F"/>
    <w:multiLevelType w:val="hybridMultilevel"/>
    <w:tmpl w:val="00000000"/>
    <w:lvl w:ilvl="0">
      <w:start w:val="1"/>
      <w:numFmt w:val="decimal"/>
      <w:lvlText w:val="（%1）"/>
      <w:lvlJc w:val="left"/>
      <w:pPr>
        <w:ind w:left="398" w:hanging="701"/>
        <w:jc w:val="left"/>
      </w:pPr>
      <w:rPr>
        <w:rFonts w:ascii="宋体" w:eastAsia="宋体" w:hAnsi="宋体" w:cs="宋体" w:hint="default"/>
        <w:b w:val="0"/>
        <w:bCs w:val="0"/>
        <w:i w:val="0"/>
        <w:iCs w:val="0"/>
        <w:w w:val="100"/>
        <w:sz w:val="26"/>
        <w:szCs w:val="26"/>
        <w:lang w:val="en-US" w:eastAsia="zh-CN" w:bidi="ar-SA"/>
      </w:rPr>
    </w:lvl>
    <w:lvl w:ilvl="1">
      <w:start w:val="1"/>
      <w:numFmt w:val="decimal"/>
      <w:lvlText w:val="%2）"/>
      <w:lvlJc w:val="left"/>
      <w:pPr>
        <w:ind w:left="1939" w:hanging="421"/>
        <w:jc w:val="left"/>
      </w:pPr>
      <w:rPr>
        <w:rFonts w:ascii="Times New Roman" w:eastAsia="Times New Roman" w:hAnsi="Times New Roman" w:cs="Times New Roman" w:hint="default"/>
        <w:b w:val="0"/>
        <w:bCs w:val="0"/>
        <w:i w:val="0"/>
        <w:iCs w:val="0"/>
        <w:spacing w:val="-5"/>
        <w:w w:val="100"/>
        <w:sz w:val="26"/>
        <w:szCs w:val="26"/>
        <w:lang w:val="en-US" w:eastAsia="zh-CN" w:bidi="ar-SA"/>
      </w:rPr>
    </w:lvl>
    <w:lvl w:ilvl="2">
      <w:start w:val="0"/>
      <w:numFmt w:val="bullet"/>
      <w:lvlText w:val="•"/>
      <w:lvlJc w:val="left"/>
      <w:pPr>
        <w:ind w:left="2862" w:hanging="421"/>
      </w:pPr>
      <w:rPr>
        <w:rFonts w:hint="default"/>
        <w:lang w:val="en-US" w:eastAsia="zh-CN" w:bidi="ar-SA"/>
      </w:rPr>
    </w:lvl>
    <w:lvl w:ilvl="3">
      <w:start w:val="0"/>
      <w:numFmt w:val="bullet"/>
      <w:lvlText w:val="•"/>
      <w:lvlJc w:val="left"/>
      <w:pPr>
        <w:ind w:left="3785" w:hanging="421"/>
      </w:pPr>
      <w:rPr>
        <w:rFonts w:hint="default"/>
        <w:lang w:val="en-US" w:eastAsia="zh-CN" w:bidi="ar-SA"/>
      </w:rPr>
    </w:lvl>
    <w:lvl w:ilvl="4">
      <w:start w:val="0"/>
      <w:numFmt w:val="bullet"/>
      <w:lvlText w:val="•"/>
      <w:lvlJc w:val="left"/>
      <w:pPr>
        <w:ind w:left="4708" w:hanging="421"/>
      </w:pPr>
      <w:rPr>
        <w:rFonts w:hint="default"/>
        <w:lang w:val="en-US" w:eastAsia="zh-CN" w:bidi="ar-SA"/>
      </w:rPr>
    </w:lvl>
    <w:lvl w:ilvl="5">
      <w:start w:val="0"/>
      <w:numFmt w:val="bullet"/>
      <w:lvlText w:val="•"/>
      <w:lvlJc w:val="left"/>
      <w:pPr>
        <w:ind w:left="5631" w:hanging="421"/>
      </w:pPr>
      <w:rPr>
        <w:rFonts w:hint="default"/>
        <w:lang w:val="en-US" w:eastAsia="zh-CN" w:bidi="ar-SA"/>
      </w:rPr>
    </w:lvl>
    <w:lvl w:ilvl="6">
      <w:start w:val="0"/>
      <w:numFmt w:val="bullet"/>
      <w:lvlText w:val="•"/>
      <w:lvlJc w:val="left"/>
      <w:pPr>
        <w:ind w:left="6554" w:hanging="421"/>
      </w:pPr>
      <w:rPr>
        <w:rFonts w:hint="default"/>
        <w:lang w:val="en-US" w:eastAsia="zh-CN" w:bidi="ar-SA"/>
      </w:rPr>
    </w:lvl>
    <w:lvl w:ilvl="7">
      <w:start w:val="0"/>
      <w:numFmt w:val="bullet"/>
      <w:lvlText w:val="•"/>
      <w:lvlJc w:val="left"/>
      <w:pPr>
        <w:ind w:left="7477" w:hanging="421"/>
      </w:pPr>
      <w:rPr>
        <w:rFonts w:hint="default"/>
        <w:lang w:val="en-US" w:eastAsia="zh-CN" w:bidi="ar-SA"/>
      </w:rPr>
    </w:lvl>
    <w:lvl w:ilvl="8">
      <w:start w:val="0"/>
      <w:numFmt w:val="bullet"/>
      <w:lvlText w:val="•"/>
      <w:lvlJc w:val="left"/>
      <w:pPr>
        <w:ind w:left="8400" w:hanging="421"/>
      </w:pPr>
      <w:rPr>
        <w:rFonts w:hint="default"/>
        <w:lang w:val="en-US" w:eastAsia="zh-CN" w:bidi="ar-SA"/>
      </w:rPr>
    </w:lvl>
  </w:abstractNum>
  <w:abstractNum w:abstractNumId="1">
    <w:nsid w:val="0CAB1F19"/>
    <w:multiLevelType w:val="hybridMultilevel"/>
    <w:tmpl w:val="00000000"/>
    <w:lvl w:ilvl="0">
      <w:start w:val="1"/>
      <w:numFmt w:val="decimal"/>
      <w:lvlText w:val="%1）"/>
      <w:lvlJc w:val="left"/>
      <w:pPr>
        <w:ind w:left="1378" w:hanging="424"/>
        <w:jc w:val="left"/>
      </w:pPr>
      <w:rPr>
        <w:rFonts w:ascii="宋体" w:eastAsia="宋体" w:hAnsi="宋体" w:cs="宋体" w:hint="default"/>
        <w:b w:val="0"/>
        <w:bCs w:val="0"/>
        <w:i w:val="0"/>
        <w:iCs w:val="0"/>
        <w:w w:val="100"/>
        <w:sz w:val="26"/>
        <w:szCs w:val="26"/>
        <w:lang w:val="en-US" w:eastAsia="zh-CN" w:bidi="ar-SA"/>
      </w:rPr>
    </w:lvl>
    <w:lvl w:ilvl="1">
      <w:start w:val="0"/>
      <w:numFmt w:val="bullet"/>
      <w:lvlText w:val="•"/>
      <w:lvlJc w:val="left"/>
      <w:pPr>
        <w:ind w:left="2266" w:hanging="424"/>
      </w:pPr>
      <w:rPr>
        <w:rFonts w:hint="default"/>
        <w:lang w:val="en-US" w:eastAsia="zh-CN" w:bidi="ar-SA"/>
      </w:rPr>
    </w:lvl>
    <w:lvl w:ilvl="2">
      <w:start w:val="0"/>
      <w:numFmt w:val="bullet"/>
      <w:lvlText w:val="•"/>
      <w:lvlJc w:val="left"/>
      <w:pPr>
        <w:ind w:left="3153" w:hanging="424"/>
      </w:pPr>
      <w:rPr>
        <w:rFonts w:hint="default"/>
        <w:lang w:val="en-US" w:eastAsia="zh-CN" w:bidi="ar-SA"/>
      </w:rPr>
    </w:lvl>
    <w:lvl w:ilvl="3">
      <w:start w:val="0"/>
      <w:numFmt w:val="bullet"/>
      <w:lvlText w:val="•"/>
      <w:lvlJc w:val="left"/>
      <w:pPr>
        <w:ind w:left="4039" w:hanging="424"/>
      </w:pPr>
      <w:rPr>
        <w:rFonts w:hint="default"/>
        <w:lang w:val="en-US" w:eastAsia="zh-CN" w:bidi="ar-SA"/>
      </w:rPr>
    </w:lvl>
    <w:lvl w:ilvl="4">
      <w:start w:val="0"/>
      <w:numFmt w:val="bullet"/>
      <w:lvlText w:val="•"/>
      <w:lvlJc w:val="left"/>
      <w:pPr>
        <w:ind w:left="4926" w:hanging="424"/>
      </w:pPr>
      <w:rPr>
        <w:rFonts w:hint="default"/>
        <w:lang w:val="en-US" w:eastAsia="zh-CN" w:bidi="ar-SA"/>
      </w:rPr>
    </w:lvl>
    <w:lvl w:ilvl="5">
      <w:start w:val="0"/>
      <w:numFmt w:val="bullet"/>
      <w:lvlText w:val="•"/>
      <w:lvlJc w:val="left"/>
      <w:pPr>
        <w:ind w:left="5813" w:hanging="424"/>
      </w:pPr>
      <w:rPr>
        <w:rFonts w:hint="default"/>
        <w:lang w:val="en-US" w:eastAsia="zh-CN" w:bidi="ar-SA"/>
      </w:rPr>
    </w:lvl>
    <w:lvl w:ilvl="6">
      <w:start w:val="0"/>
      <w:numFmt w:val="bullet"/>
      <w:lvlText w:val="•"/>
      <w:lvlJc w:val="left"/>
      <w:pPr>
        <w:ind w:left="6699" w:hanging="424"/>
      </w:pPr>
      <w:rPr>
        <w:rFonts w:hint="default"/>
        <w:lang w:val="en-US" w:eastAsia="zh-CN" w:bidi="ar-SA"/>
      </w:rPr>
    </w:lvl>
    <w:lvl w:ilvl="7">
      <w:start w:val="0"/>
      <w:numFmt w:val="bullet"/>
      <w:lvlText w:val="•"/>
      <w:lvlJc w:val="left"/>
      <w:pPr>
        <w:ind w:left="7586" w:hanging="424"/>
      </w:pPr>
      <w:rPr>
        <w:rFonts w:hint="default"/>
        <w:lang w:val="en-US" w:eastAsia="zh-CN" w:bidi="ar-SA"/>
      </w:rPr>
    </w:lvl>
    <w:lvl w:ilvl="8">
      <w:start w:val="0"/>
      <w:numFmt w:val="bullet"/>
      <w:lvlText w:val="•"/>
      <w:lvlJc w:val="left"/>
      <w:pPr>
        <w:ind w:left="8472" w:hanging="424"/>
      </w:pPr>
      <w:rPr>
        <w:rFonts w:hint="default"/>
        <w:lang w:val="en-US" w:eastAsia="zh-CN" w:bidi="ar-SA"/>
      </w:rPr>
    </w:lvl>
  </w:abstractNum>
  <w:abstractNum w:abstractNumId="2">
    <w:nsid w:val="1DE40C27"/>
    <w:multiLevelType w:val="hybridMultilevel"/>
    <w:tmpl w:val="00000000"/>
    <w:lvl w:ilvl="0">
      <w:start w:val="1"/>
      <w:numFmt w:val="decimal"/>
      <w:lvlText w:val="%1"/>
      <w:lvlJc w:val="left"/>
      <w:pPr>
        <w:ind w:left="1309" w:hanging="351"/>
        <w:jc w:val="left"/>
      </w:pPr>
      <w:rPr>
        <w:rFonts w:hint="default"/>
        <w:lang w:val="en-US" w:eastAsia="zh-CN" w:bidi="ar-SA"/>
      </w:rPr>
    </w:lvl>
    <w:lvl w:ilvl="1">
      <w:start w:val="1"/>
      <w:numFmt w:val="decimal"/>
      <w:lvlText w:val="%1.%2"/>
      <w:lvlJc w:val="left"/>
      <w:pPr>
        <w:ind w:left="1309" w:hanging="351"/>
        <w:jc w:val="left"/>
      </w:pPr>
      <w:rPr>
        <w:rFonts w:ascii="Times New Roman" w:eastAsia="Times New Roman" w:hAnsi="Times New Roman" w:cs="Times New Roman" w:hint="default"/>
        <w:b w:val="0"/>
        <w:bCs w:val="0"/>
        <w:i w:val="0"/>
        <w:iCs w:val="0"/>
        <w:w w:val="100"/>
        <w:sz w:val="26"/>
        <w:szCs w:val="26"/>
        <w:lang w:val="en-US" w:eastAsia="zh-CN" w:bidi="ar-SA"/>
      </w:rPr>
    </w:lvl>
    <w:lvl w:ilvl="2">
      <w:start w:val="0"/>
      <w:numFmt w:val="bullet"/>
      <w:lvlText w:val="•"/>
      <w:lvlJc w:val="left"/>
      <w:pPr>
        <w:ind w:left="3089" w:hanging="351"/>
      </w:pPr>
      <w:rPr>
        <w:rFonts w:hint="default"/>
        <w:lang w:val="en-US" w:eastAsia="zh-CN" w:bidi="ar-SA"/>
      </w:rPr>
    </w:lvl>
    <w:lvl w:ilvl="3">
      <w:start w:val="0"/>
      <w:numFmt w:val="bullet"/>
      <w:lvlText w:val="•"/>
      <w:lvlJc w:val="left"/>
      <w:pPr>
        <w:ind w:left="3983" w:hanging="351"/>
      </w:pPr>
      <w:rPr>
        <w:rFonts w:hint="default"/>
        <w:lang w:val="en-US" w:eastAsia="zh-CN" w:bidi="ar-SA"/>
      </w:rPr>
    </w:lvl>
    <w:lvl w:ilvl="4">
      <w:start w:val="0"/>
      <w:numFmt w:val="bullet"/>
      <w:lvlText w:val="•"/>
      <w:lvlJc w:val="left"/>
      <w:pPr>
        <w:ind w:left="4878" w:hanging="351"/>
      </w:pPr>
      <w:rPr>
        <w:rFonts w:hint="default"/>
        <w:lang w:val="en-US" w:eastAsia="zh-CN" w:bidi="ar-SA"/>
      </w:rPr>
    </w:lvl>
    <w:lvl w:ilvl="5">
      <w:start w:val="0"/>
      <w:numFmt w:val="bullet"/>
      <w:lvlText w:val="•"/>
      <w:lvlJc w:val="left"/>
      <w:pPr>
        <w:ind w:left="5773" w:hanging="351"/>
      </w:pPr>
      <w:rPr>
        <w:rFonts w:hint="default"/>
        <w:lang w:val="en-US" w:eastAsia="zh-CN" w:bidi="ar-SA"/>
      </w:rPr>
    </w:lvl>
    <w:lvl w:ilvl="6">
      <w:start w:val="0"/>
      <w:numFmt w:val="bullet"/>
      <w:lvlText w:val="•"/>
      <w:lvlJc w:val="left"/>
      <w:pPr>
        <w:ind w:left="6667" w:hanging="351"/>
      </w:pPr>
      <w:rPr>
        <w:rFonts w:hint="default"/>
        <w:lang w:val="en-US" w:eastAsia="zh-CN" w:bidi="ar-SA"/>
      </w:rPr>
    </w:lvl>
    <w:lvl w:ilvl="7">
      <w:start w:val="0"/>
      <w:numFmt w:val="bullet"/>
      <w:lvlText w:val="•"/>
      <w:lvlJc w:val="left"/>
      <w:pPr>
        <w:ind w:left="7562" w:hanging="351"/>
      </w:pPr>
      <w:rPr>
        <w:rFonts w:hint="default"/>
        <w:lang w:val="en-US" w:eastAsia="zh-CN" w:bidi="ar-SA"/>
      </w:rPr>
    </w:lvl>
    <w:lvl w:ilvl="8">
      <w:start w:val="0"/>
      <w:numFmt w:val="bullet"/>
      <w:lvlText w:val="•"/>
      <w:lvlJc w:val="left"/>
      <w:pPr>
        <w:ind w:left="8456" w:hanging="351"/>
      </w:pPr>
      <w:rPr>
        <w:rFonts w:hint="default"/>
        <w:lang w:val="en-US" w:eastAsia="zh-CN" w:bidi="ar-SA"/>
      </w:rPr>
    </w:lvl>
  </w:abstractNum>
  <w:abstractNum w:abstractNumId="3">
    <w:nsid w:val="2FBD6F46"/>
    <w:multiLevelType w:val="hybridMultilevel"/>
    <w:tmpl w:val="00000000"/>
    <w:lvl w:ilvl="0">
      <w:start w:val="1"/>
      <w:numFmt w:val="decimal"/>
      <w:lvlText w:val="%1）"/>
      <w:lvlJc w:val="left"/>
      <w:pPr>
        <w:ind w:left="1299" w:hanging="421"/>
        <w:jc w:val="left"/>
      </w:pPr>
      <w:rPr>
        <w:rFonts w:ascii="宋体" w:eastAsia="宋体" w:hAnsi="宋体" w:cs="宋体" w:hint="default"/>
        <w:b w:val="0"/>
        <w:bCs w:val="0"/>
        <w:i w:val="0"/>
        <w:iCs w:val="0"/>
        <w:w w:val="100"/>
        <w:sz w:val="26"/>
        <w:szCs w:val="26"/>
        <w:lang w:val="en-US" w:eastAsia="zh-CN" w:bidi="ar-SA"/>
      </w:rPr>
    </w:lvl>
    <w:lvl w:ilvl="1">
      <w:start w:val="0"/>
      <w:numFmt w:val="bullet"/>
      <w:lvlText w:val="•"/>
      <w:lvlJc w:val="left"/>
      <w:pPr>
        <w:ind w:left="2194" w:hanging="421"/>
      </w:pPr>
      <w:rPr>
        <w:rFonts w:hint="default"/>
        <w:lang w:val="en-US" w:eastAsia="zh-CN" w:bidi="ar-SA"/>
      </w:rPr>
    </w:lvl>
    <w:lvl w:ilvl="2">
      <w:start w:val="0"/>
      <w:numFmt w:val="bullet"/>
      <w:lvlText w:val="•"/>
      <w:lvlJc w:val="left"/>
      <w:pPr>
        <w:ind w:left="3089" w:hanging="421"/>
      </w:pPr>
      <w:rPr>
        <w:rFonts w:hint="default"/>
        <w:lang w:val="en-US" w:eastAsia="zh-CN" w:bidi="ar-SA"/>
      </w:rPr>
    </w:lvl>
    <w:lvl w:ilvl="3">
      <w:start w:val="0"/>
      <w:numFmt w:val="bullet"/>
      <w:lvlText w:val="•"/>
      <w:lvlJc w:val="left"/>
      <w:pPr>
        <w:ind w:left="3983" w:hanging="421"/>
      </w:pPr>
      <w:rPr>
        <w:rFonts w:hint="default"/>
        <w:lang w:val="en-US" w:eastAsia="zh-CN" w:bidi="ar-SA"/>
      </w:rPr>
    </w:lvl>
    <w:lvl w:ilvl="4">
      <w:start w:val="0"/>
      <w:numFmt w:val="bullet"/>
      <w:lvlText w:val="•"/>
      <w:lvlJc w:val="left"/>
      <w:pPr>
        <w:ind w:left="4878" w:hanging="421"/>
      </w:pPr>
      <w:rPr>
        <w:rFonts w:hint="default"/>
        <w:lang w:val="en-US" w:eastAsia="zh-CN" w:bidi="ar-SA"/>
      </w:rPr>
    </w:lvl>
    <w:lvl w:ilvl="5">
      <w:start w:val="0"/>
      <w:numFmt w:val="bullet"/>
      <w:lvlText w:val="•"/>
      <w:lvlJc w:val="left"/>
      <w:pPr>
        <w:ind w:left="5773" w:hanging="421"/>
      </w:pPr>
      <w:rPr>
        <w:rFonts w:hint="default"/>
        <w:lang w:val="en-US" w:eastAsia="zh-CN" w:bidi="ar-SA"/>
      </w:rPr>
    </w:lvl>
    <w:lvl w:ilvl="6">
      <w:start w:val="0"/>
      <w:numFmt w:val="bullet"/>
      <w:lvlText w:val="•"/>
      <w:lvlJc w:val="left"/>
      <w:pPr>
        <w:ind w:left="6667" w:hanging="421"/>
      </w:pPr>
      <w:rPr>
        <w:rFonts w:hint="default"/>
        <w:lang w:val="en-US" w:eastAsia="zh-CN" w:bidi="ar-SA"/>
      </w:rPr>
    </w:lvl>
    <w:lvl w:ilvl="7">
      <w:start w:val="0"/>
      <w:numFmt w:val="bullet"/>
      <w:lvlText w:val="•"/>
      <w:lvlJc w:val="left"/>
      <w:pPr>
        <w:ind w:left="7562" w:hanging="421"/>
      </w:pPr>
      <w:rPr>
        <w:rFonts w:hint="default"/>
        <w:lang w:val="en-US" w:eastAsia="zh-CN" w:bidi="ar-SA"/>
      </w:rPr>
    </w:lvl>
    <w:lvl w:ilvl="8">
      <w:start w:val="0"/>
      <w:numFmt w:val="bullet"/>
      <w:lvlText w:val="•"/>
      <w:lvlJc w:val="left"/>
      <w:pPr>
        <w:ind w:left="8456" w:hanging="421"/>
      </w:pPr>
      <w:rPr>
        <w:rFonts w:hint="default"/>
        <w:lang w:val="en-US" w:eastAsia="zh-CN" w:bidi="ar-SA"/>
      </w:rPr>
    </w:lvl>
  </w:abstractNum>
  <w:abstractNum w:abstractNumId="4">
    <w:nsid w:val="43ED6EAE"/>
    <w:multiLevelType w:val="hybridMultilevel"/>
    <w:tmpl w:val="00000000"/>
    <w:lvl w:ilvl="0">
      <w:start w:val="1"/>
      <w:numFmt w:val="decimal"/>
      <w:lvlText w:val="%1）"/>
      <w:lvlJc w:val="left"/>
      <w:pPr>
        <w:ind w:left="398" w:hanging="421"/>
        <w:jc w:val="left"/>
      </w:pPr>
      <w:rPr>
        <w:rFonts w:ascii="Times New Roman" w:eastAsia="Times New Roman" w:hAnsi="Times New Roman" w:cs="Times New Roman" w:hint="default"/>
        <w:b w:val="0"/>
        <w:bCs w:val="0"/>
        <w:i w:val="0"/>
        <w:iCs w:val="0"/>
        <w:w w:val="100"/>
        <w:sz w:val="26"/>
        <w:szCs w:val="26"/>
        <w:lang w:val="en-US" w:eastAsia="zh-CN" w:bidi="ar-SA"/>
      </w:rPr>
    </w:lvl>
    <w:lvl w:ilvl="1">
      <w:start w:val="1"/>
      <w:numFmt w:val="decimal"/>
      <w:lvlText w:val="%2."/>
      <w:lvlJc w:val="left"/>
      <w:pPr>
        <w:ind w:left="4450" w:hanging="482"/>
        <w:jc w:val="right"/>
      </w:pPr>
      <w:rPr>
        <w:rFonts w:ascii="Times New Roman" w:eastAsia="Times New Roman" w:hAnsi="Times New Roman" w:cs="Times New Roman" w:hint="default"/>
        <w:b/>
        <w:bCs/>
        <w:i w:val="0"/>
        <w:iCs w:val="0"/>
        <w:w w:val="100"/>
        <w:sz w:val="30"/>
        <w:szCs w:val="30"/>
        <w:lang w:val="en-US" w:eastAsia="zh-CN" w:bidi="ar-SA"/>
      </w:rPr>
    </w:lvl>
    <w:lvl w:ilvl="2">
      <w:start w:val="1"/>
      <w:numFmt w:val="decimal"/>
      <w:lvlText w:val="%2.%3"/>
      <w:lvlJc w:val="left"/>
      <w:pPr>
        <w:ind w:left="533" w:hanging="424"/>
        <w:jc w:val="left"/>
      </w:pPr>
      <w:rPr>
        <w:rFonts w:hint="default"/>
        <w:spacing w:val="1"/>
        <w:w w:val="81"/>
        <w:lang w:val="en-US" w:eastAsia="zh-CN" w:bidi="ar-SA"/>
      </w:rPr>
    </w:lvl>
    <w:lvl w:ilvl="3">
      <w:start w:val="0"/>
      <w:numFmt w:val="bullet"/>
      <w:lvlText w:val=""/>
      <w:lvlJc w:val="left"/>
      <w:pPr>
        <w:ind w:left="1378" w:hanging="424"/>
      </w:pPr>
      <w:rPr>
        <w:rFonts w:ascii="Wingdings" w:eastAsia="Wingdings" w:hAnsi="Wingdings" w:cs="Wingdings" w:hint="default"/>
        <w:b w:val="0"/>
        <w:bCs w:val="0"/>
        <w:i w:val="0"/>
        <w:iCs w:val="0"/>
        <w:w w:val="100"/>
        <w:sz w:val="28"/>
        <w:szCs w:val="28"/>
        <w:lang w:val="en-US" w:eastAsia="zh-CN" w:bidi="ar-SA"/>
      </w:rPr>
    </w:lvl>
    <w:lvl w:ilvl="4">
      <w:start w:val="0"/>
      <w:numFmt w:val="bullet"/>
      <w:lvlText w:val="•"/>
      <w:lvlJc w:val="left"/>
      <w:pPr>
        <w:ind w:left="4460" w:hanging="424"/>
      </w:pPr>
      <w:rPr>
        <w:rFonts w:hint="default"/>
        <w:lang w:val="en-US" w:eastAsia="zh-CN" w:bidi="ar-SA"/>
      </w:rPr>
    </w:lvl>
    <w:lvl w:ilvl="5">
      <w:start w:val="0"/>
      <w:numFmt w:val="bullet"/>
      <w:lvlText w:val="•"/>
      <w:lvlJc w:val="left"/>
      <w:pPr>
        <w:ind w:left="5424" w:hanging="424"/>
      </w:pPr>
      <w:rPr>
        <w:rFonts w:hint="default"/>
        <w:lang w:val="en-US" w:eastAsia="zh-CN" w:bidi="ar-SA"/>
      </w:rPr>
    </w:lvl>
    <w:lvl w:ilvl="6">
      <w:start w:val="0"/>
      <w:numFmt w:val="bullet"/>
      <w:lvlText w:val="•"/>
      <w:lvlJc w:val="left"/>
      <w:pPr>
        <w:ind w:left="6388" w:hanging="424"/>
      </w:pPr>
      <w:rPr>
        <w:rFonts w:hint="default"/>
        <w:lang w:val="en-US" w:eastAsia="zh-CN" w:bidi="ar-SA"/>
      </w:rPr>
    </w:lvl>
    <w:lvl w:ilvl="7">
      <w:start w:val="0"/>
      <w:numFmt w:val="bullet"/>
      <w:lvlText w:val="•"/>
      <w:lvlJc w:val="left"/>
      <w:pPr>
        <w:ind w:left="7353" w:hanging="424"/>
      </w:pPr>
      <w:rPr>
        <w:rFonts w:hint="default"/>
        <w:lang w:val="en-US" w:eastAsia="zh-CN" w:bidi="ar-SA"/>
      </w:rPr>
    </w:lvl>
    <w:lvl w:ilvl="8">
      <w:start w:val="0"/>
      <w:numFmt w:val="bullet"/>
      <w:lvlText w:val="•"/>
      <w:lvlJc w:val="left"/>
      <w:pPr>
        <w:ind w:left="8317" w:hanging="424"/>
      </w:pPr>
      <w:rPr>
        <w:rFonts w:hint="default"/>
        <w:lang w:val="en-US" w:eastAsia="zh-CN" w:bidi="ar-SA"/>
      </w:rPr>
    </w:lvl>
  </w:abstractNum>
  <w:abstractNum w:abstractNumId="5">
    <w:nsid w:val="4CF6C04B"/>
    <w:multiLevelType w:val="hybridMultilevel"/>
    <w:tmpl w:val="00000000"/>
    <w:lvl w:ilvl="0">
      <w:start w:val="1"/>
      <w:numFmt w:val="decimal"/>
      <w:lvlText w:val="%1)"/>
      <w:lvlJc w:val="left"/>
      <w:pPr>
        <w:ind w:left="108" w:hanging="235"/>
        <w:jc w:val="left"/>
      </w:pPr>
      <w:rPr>
        <w:rFonts w:ascii="Times New Roman" w:eastAsia="Times New Roman" w:hAnsi="Times New Roman" w:cs="Times New Roman" w:hint="default"/>
        <w:b w:val="0"/>
        <w:bCs w:val="0"/>
        <w:i w:val="0"/>
        <w:iCs w:val="0"/>
        <w:w w:val="100"/>
        <w:sz w:val="26"/>
        <w:szCs w:val="26"/>
        <w:lang w:val="en-US" w:eastAsia="zh-CN" w:bidi="ar-SA"/>
      </w:rPr>
    </w:lvl>
    <w:lvl w:ilvl="1">
      <w:start w:val="0"/>
      <w:numFmt w:val="bullet"/>
      <w:lvlText w:val="•"/>
      <w:lvlJc w:val="left"/>
      <w:pPr>
        <w:ind w:left="521" w:hanging="235"/>
      </w:pPr>
      <w:rPr>
        <w:rFonts w:hint="default"/>
        <w:lang w:val="en-US" w:eastAsia="zh-CN" w:bidi="ar-SA"/>
      </w:rPr>
    </w:lvl>
    <w:lvl w:ilvl="2">
      <w:start w:val="0"/>
      <w:numFmt w:val="bullet"/>
      <w:lvlText w:val="•"/>
      <w:lvlJc w:val="left"/>
      <w:pPr>
        <w:ind w:left="942" w:hanging="235"/>
      </w:pPr>
      <w:rPr>
        <w:rFonts w:hint="default"/>
        <w:lang w:val="en-US" w:eastAsia="zh-CN" w:bidi="ar-SA"/>
      </w:rPr>
    </w:lvl>
    <w:lvl w:ilvl="3">
      <w:start w:val="0"/>
      <w:numFmt w:val="bullet"/>
      <w:lvlText w:val="•"/>
      <w:lvlJc w:val="left"/>
      <w:pPr>
        <w:ind w:left="1363" w:hanging="235"/>
      </w:pPr>
      <w:rPr>
        <w:rFonts w:hint="default"/>
        <w:lang w:val="en-US" w:eastAsia="zh-CN" w:bidi="ar-SA"/>
      </w:rPr>
    </w:lvl>
    <w:lvl w:ilvl="4">
      <w:start w:val="0"/>
      <w:numFmt w:val="bullet"/>
      <w:lvlText w:val="•"/>
      <w:lvlJc w:val="left"/>
      <w:pPr>
        <w:ind w:left="1784" w:hanging="235"/>
      </w:pPr>
      <w:rPr>
        <w:rFonts w:hint="default"/>
        <w:lang w:val="en-US" w:eastAsia="zh-CN" w:bidi="ar-SA"/>
      </w:rPr>
    </w:lvl>
    <w:lvl w:ilvl="5">
      <w:start w:val="0"/>
      <w:numFmt w:val="bullet"/>
      <w:lvlText w:val="•"/>
      <w:lvlJc w:val="left"/>
      <w:pPr>
        <w:ind w:left="2205" w:hanging="235"/>
      </w:pPr>
      <w:rPr>
        <w:rFonts w:hint="default"/>
        <w:lang w:val="en-US" w:eastAsia="zh-CN" w:bidi="ar-SA"/>
      </w:rPr>
    </w:lvl>
    <w:lvl w:ilvl="6">
      <w:start w:val="0"/>
      <w:numFmt w:val="bullet"/>
      <w:lvlText w:val="•"/>
      <w:lvlJc w:val="left"/>
      <w:pPr>
        <w:ind w:left="2626" w:hanging="235"/>
      </w:pPr>
      <w:rPr>
        <w:rFonts w:hint="default"/>
        <w:lang w:val="en-US" w:eastAsia="zh-CN" w:bidi="ar-SA"/>
      </w:rPr>
    </w:lvl>
    <w:lvl w:ilvl="7">
      <w:start w:val="0"/>
      <w:numFmt w:val="bullet"/>
      <w:lvlText w:val="•"/>
      <w:lvlJc w:val="left"/>
      <w:pPr>
        <w:ind w:left="3047" w:hanging="235"/>
      </w:pPr>
      <w:rPr>
        <w:rFonts w:hint="default"/>
        <w:lang w:val="en-US" w:eastAsia="zh-CN" w:bidi="ar-SA"/>
      </w:rPr>
    </w:lvl>
    <w:lvl w:ilvl="8">
      <w:start w:val="0"/>
      <w:numFmt w:val="bullet"/>
      <w:lvlText w:val="•"/>
      <w:lvlJc w:val="left"/>
      <w:pPr>
        <w:ind w:left="3468" w:hanging="235"/>
      </w:pPr>
      <w:rPr>
        <w:rFonts w:hint="default"/>
        <w:lang w:val="en-US" w:eastAsia="zh-CN" w:bidi="ar-SA"/>
      </w:rPr>
    </w:lvl>
  </w:abstractNum>
  <w:abstractNum w:abstractNumId="6">
    <w:nsid w:val="4D39136E"/>
    <w:multiLevelType w:val="hybridMultilevel"/>
    <w:tmpl w:val="00000000"/>
    <w:lvl w:ilvl="0">
      <w:start w:val="1"/>
      <w:numFmt w:val="decimal"/>
      <w:lvlText w:val="%1）"/>
      <w:lvlJc w:val="left"/>
      <w:pPr>
        <w:ind w:left="108" w:hanging="424"/>
        <w:jc w:val="left"/>
      </w:pPr>
      <w:rPr>
        <w:rFonts w:ascii="Times New Roman" w:eastAsia="Times New Roman" w:hAnsi="Times New Roman" w:cs="Times New Roman" w:hint="default"/>
        <w:b w:val="0"/>
        <w:bCs w:val="0"/>
        <w:i w:val="0"/>
        <w:iCs w:val="0"/>
        <w:w w:val="100"/>
        <w:sz w:val="26"/>
        <w:szCs w:val="26"/>
        <w:lang w:val="en-US" w:eastAsia="zh-CN" w:bidi="ar-SA"/>
      </w:rPr>
    </w:lvl>
    <w:lvl w:ilvl="1">
      <w:start w:val="0"/>
      <w:numFmt w:val="bullet"/>
      <w:lvlText w:val="•"/>
      <w:lvlJc w:val="left"/>
      <w:pPr>
        <w:ind w:left="521" w:hanging="424"/>
      </w:pPr>
      <w:rPr>
        <w:rFonts w:hint="default"/>
        <w:lang w:val="en-US" w:eastAsia="zh-CN" w:bidi="ar-SA"/>
      </w:rPr>
    </w:lvl>
    <w:lvl w:ilvl="2">
      <w:start w:val="0"/>
      <w:numFmt w:val="bullet"/>
      <w:lvlText w:val="•"/>
      <w:lvlJc w:val="left"/>
      <w:pPr>
        <w:ind w:left="942" w:hanging="424"/>
      </w:pPr>
      <w:rPr>
        <w:rFonts w:hint="default"/>
        <w:lang w:val="en-US" w:eastAsia="zh-CN" w:bidi="ar-SA"/>
      </w:rPr>
    </w:lvl>
    <w:lvl w:ilvl="3">
      <w:start w:val="0"/>
      <w:numFmt w:val="bullet"/>
      <w:lvlText w:val="•"/>
      <w:lvlJc w:val="left"/>
      <w:pPr>
        <w:ind w:left="1363" w:hanging="424"/>
      </w:pPr>
      <w:rPr>
        <w:rFonts w:hint="default"/>
        <w:lang w:val="en-US" w:eastAsia="zh-CN" w:bidi="ar-SA"/>
      </w:rPr>
    </w:lvl>
    <w:lvl w:ilvl="4">
      <w:start w:val="0"/>
      <w:numFmt w:val="bullet"/>
      <w:lvlText w:val="•"/>
      <w:lvlJc w:val="left"/>
      <w:pPr>
        <w:ind w:left="1784" w:hanging="424"/>
      </w:pPr>
      <w:rPr>
        <w:rFonts w:hint="default"/>
        <w:lang w:val="en-US" w:eastAsia="zh-CN" w:bidi="ar-SA"/>
      </w:rPr>
    </w:lvl>
    <w:lvl w:ilvl="5">
      <w:start w:val="0"/>
      <w:numFmt w:val="bullet"/>
      <w:lvlText w:val="•"/>
      <w:lvlJc w:val="left"/>
      <w:pPr>
        <w:ind w:left="2205" w:hanging="424"/>
      </w:pPr>
      <w:rPr>
        <w:rFonts w:hint="default"/>
        <w:lang w:val="en-US" w:eastAsia="zh-CN" w:bidi="ar-SA"/>
      </w:rPr>
    </w:lvl>
    <w:lvl w:ilvl="6">
      <w:start w:val="0"/>
      <w:numFmt w:val="bullet"/>
      <w:lvlText w:val="•"/>
      <w:lvlJc w:val="left"/>
      <w:pPr>
        <w:ind w:left="2626" w:hanging="424"/>
      </w:pPr>
      <w:rPr>
        <w:rFonts w:hint="default"/>
        <w:lang w:val="en-US" w:eastAsia="zh-CN" w:bidi="ar-SA"/>
      </w:rPr>
    </w:lvl>
    <w:lvl w:ilvl="7">
      <w:start w:val="0"/>
      <w:numFmt w:val="bullet"/>
      <w:lvlText w:val="•"/>
      <w:lvlJc w:val="left"/>
      <w:pPr>
        <w:ind w:left="3047" w:hanging="424"/>
      </w:pPr>
      <w:rPr>
        <w:rFonts w:hint="default"/>
        <w:lang w:val="en-US" w:eastAsia="zh-CN" w:bidi="ar-SA"/>
      </w:rPr>
    </w:lvl>
    <w:lvl w:ilvl="8">
      <w:start w:val="0"/>
      <w:numFmt w:val="bullet"/>
      <w:lvlText w:val="•"/>
      <w:lvlJc w:val="left"/>
      <w:pPr>
        <w:ind w:left="3468" w:hanging="424"/>
      </w:pPr>
      <w:rPr>
        <w:rFonts w:hint="default"/>
        <w:lang w:val="en-US" w:eastAsia="zh-CN" w:bidi="ar-SA"/>
      </w:rPr>
    </w:lvl>
  </w:abstractNum>
  <w:abstractNum w:abstractNumId="7">
    <w:nsid w:val="4E6F3FDD"/>
    <w:multiLevelType w:val="hybridMultilevel"/>
    <w:tmpl w:val="00000000"/>
    <w:lvl w:ilvl="0">
      <w:start w:val="1"/>
      <w:numFmt w:val="decimal"/>
      <w:lvlText w:val="%1）"/>
      <w:lvlJc w:val="left"/>
      <w:pPr>
        <w:ind w:left="398" w:hanging="421"/>
        <w:jc w:val="left"/>
      </w:pPr>
      <w:rPr>
        <w:rFonts w:ascii="Times New Roman" w:eastAsia="Times New Roman" w:hAnsi="Times New Roman" w:cs="Times New Roman" w:hint="default"/>
        <w:b w:val="0"/>
        <w:bCs w:val="0"/>
        <w:i w:val="0"/>
        <w:iCs w:val="0"/>
        <w:spacing w:val="-9"/>
        <w:w w:val="100"/>
        <w:sz w:val="26"/>
        <w:szCs w:val="26"/>
        <w:lang w:val="en-US" w:eastAsia="zh-CN" w:bidi="ar-SA"/>
      </w:rPr>
    </w:lvl>
    <w:lvl w:ilvl="1">
      <w:start w:val="0"/>
      <w:numFmt w:val="bullet"/>
      <w:lvlText w:val="•"/>
      <w:lvlJc w:val="left"/>
      <w:pPr>
        <w:ind w:left="1384" w:hanging="421"/>
      </w:pPr>
      <w:rPr>
        <w:rFonts w:hint="default"/>
        <w:lang w:val="en-US" w:eastAsia="zh-CN" w:bidi="ar-SA"/>
      </w:rPr>
    </w:lvl>
    <w:lvl w:ilvl="2">
      <w:start w:val="0"/>
      <w:numFmt w:val="bullet"/>
      <w:lvlText w:val="•"/>
      <w:lvlJc w:val="left"/>
      <w:pPr>
        <w:ind w:left="2369" w:hanging="421"/>
      </w:pPr>
      <w:rPr>
        <w:rFonts w:hint="default"/>
        <w:lang w:val="en-US" w:eastAsia="zh-CN" w:bidi="ar-SA"/>
      </w:rPr>
    </w:lvl>
    <w:lvl w:ilvl="3">
      <w:start w:val="0"/>
      <w:numFmt w:val="bullet"/>
      <w:lvlText w:val="•"/>
      <w:lvlJc w:val="left"/>
      <w:pPr>
        <w:ind w:left="3353" w:hanging="421"/>
      </w:pPr>
      <w:rPr>
        <w:rFonts w:hint="default"/>
        <w:lang w:val="en-US" w:eastAsia="zh-CN" w:bidi="ar-SA"/>
      </w:rPr>
    </w:lvl>
    <w:lvl w:ilvl="4">
      <w:start w:val="0"/>
      <w:numFmt w:val="bullet"/>
      <w:lvlText w:val="•"/>
      <w:lvlJc w:val="left"/>
      <w:pPr>
        <w:ind w:left="4338" w:hanging="421"/>
      </w:pPr>
      <w:rPr>
        <w:rFonts w:hint="default"/>
        <w:lang w:val="en-US" w:eastAsia="zh-CN" w:bidi="ar-SA"/>
      </w:rPr>
    </w:lvl>
    <w:lvl w:ilvl="5">
      <w:start w:val="0"/>
      <w:numFmt w:val="bullet"/>
      <w:lvlText w:val="•"/>
      <w:lvlJc w:val="left"/>
      <w:pPr>
        <w:ind w:left="5323" w:hanging="421"/>
      </w:pPr>
      <w:rPr>
        <w:rFonts w:hint="default"/>
        <w:lang w:val="en-US" w:eastAsia="zh-CN" w:bidi="ar-SA"/>
      </w:rPr>
    </w:lvl>
    <w:lvl w:ilvl="6">
      <w:start w:val="0"/>
      <w:numFmt w:val="bullet"/>
      <w:lvlText w:val="•"/>
      <w:lvlJc w:val="left"/>
      <w:pPr>
        <w:ind w:left="6307" w:hanging="421"/>
      </w:pPr>
      <w:rPr>
        <w:rFonts w:hint="default"/>
        <w:lang w:val="en-US" w:eastAsia="zh-CN" w:bidi="ar-SA"/>
      </w:rPr>
    </w:lvl>
    <w:lvl w:ilvl="7">
      <w:start w:val="0"/>
      <w:numFmt w:val="bullet"/>
      <w:lvlText w:val="•"/>
      <w:lvlJc w:val="left"/>
      <w:pPr>
        <w:ind w:left="7292" w:hanging="421"/>
      </w:pPr>
      <w:rPr>
        <w:rFonts w:hint="default"/>
        <w:lang w:val="en-US" w:eastAsia="zh-CN" w:bidi="ar-SA"/>
      </w:rPr>
    </w:lvl>
    <w:lvl w:ilvl="8">
      <w:start w:val="0"/>
      <w:numFmt w:val="bullet"/>
      <w:lvlText w:val="•"/>
      <w:lvlJc w:val="left"/>
      <w:pPr>
        <w:ind w:left="8276" w:hanging="421"/>
      </w:pPr>
      <w:rPr>
        <w:rFonts w:hint="default"/>
        <w:lang w:val="en-US" w:eastAsia="zh-CN" w:bidi="ar-SA"/>
      </w:rPr>
    </w:lvl>
  </w:abstractNum>
  <w:abstractNum w:abstractNumId="8">
    <w:nsid w:val="532E153E"/>
    <w:multiLevelType w:val="hybridMultilevel"/>
    <w:tmpl w:val="00000000"/>
    <w:lvl w:ilvl="0">
      <w:start w:val="1"/>
      <w:numFmt w:val="decimal"/>
      <w:lvlText w:val="%1）"/>
      <w:lvlJc w:val="left"/>
      <w:pPr>
        <w:ind w:left="1378" w:hanging="421"/>
        <w:jc w:val="left"/>
      </w:pPr>
      <w:rPr>
        <w:rFonts w:ascii="宋体" w:eastAsia="宋体" w:hAnsi="宋体" w:cs="宋体" w:hint="default"/>
        <w:b w:val="0"/>
        <w:bCs w:val="0"/>
        <w:i w:val="0"/>
        <w:iCs w:val="0"/>
        <w:spacing w:val="-9"/>
        <w:w w:val="100"/>
        <w:sz w:val="26"/>
        <w:szCs w:val="26"/>
        <w:lang w:val="en-US" w:eastAsia="zh-CN" w:bidi="ar-SA"/>
      </w:rPr>
    </w:lvl>
    <w:lvl w:ilvl="1">
      <w:start w:val="0"/>
      <w:numFmt w:val="bullet"/>
      <w:lvlText w:val="•"/>
      <w:lvlJc w:val="left"/>
      <w:pPr>
        <w:ind w:left="2266" w:hanging="421"/>
      </w:pPr>
      <w:rPr>
        <w:rFonts w:hint="default"/>
        <w:lang w:val="en-US" w:eastAsia="zh-CN" w:bidi="ar-SA"/>
      </w:rPr>
    </w:lvl>
    <w:lvl w:ilvl="2">
      <w:start w:val="0"/>
      <w:numFmt w:val="bullet"/>
      <w:lvlText w:val="•"/>
      <w:lvlJc w:val="left"/>
      <w:pPr>
        <w:ind w:left="3153" w:hanging="421"/>
      </w:pPr>
      <w:rPr>
        <w:rFonts w:hint="default"/>
        <w:lang w:val="en-US" w:eastAsia="zh-CN" w:bidi="ar-SA"/>
      </w:rPr>
    </w:lvl>
    <w:lvl w:ilvl="3">
      <w:start w:val="0"/>
      <w:numFmt w:val="bullet"/>
      <w:lvlText w:val="•"/>
      <w:lvlJc w:val="left"/>
      <w:pPr>
        <w:ind w:left="4039" w:hanging="421"/>
      </w:pPr>
      <w:rPr>
        <w:rFonts w:hint="default"/>
        <w:lang w:val="en-US" w:eastAsia="zh-CN" w:bidi="ar-SA"/>
      </w:rPr>
    </w:lvl>
    <w:lvl w:ilvl="4">
      <w:start w:val="0"/>
      <w:numFmt w:val="bullet"/>
      <w:lvlText w:val="•"/>
      <w:lvlJc w:val="left"/>
      <w:pPr>
        <w:ind w:left="4926" w:hanging="421"/>
      </w:pPr>
      <w:rPr>
        <w:rFonts w:hint="default"/>
        <w:lang w:val="en-US" w:eastAsia="zh-CN" w:bidi="ar-SA"/>
      </w:rPr>
    </w:lvl>
    <w:lvl w:ilvl="5">
      <w:start w:val="0"/>
      <w:numFmt w:val="bullet"/>
      <w:lvlText w:val="•"/>
      <w:lvlJc w:val="left"/>
      <w:pPr>
        <w:ind w:left="5813" w:hanging="421"/>
      </w:pPr>
      <w:rPr>
        <w:rFonts w:hint="default"/>
        <w:lang w:val="en-US" w:eastAsia="zh-CN" w:bidi="ar-SA"/>
      </w:rPr>
    </w:lvl>
    <w:lvl w:ilvl="6">
      <w:start w:val="0"/>
      <w:numFmt w:val="bullet"/>
      <w:lvlText w:val="•"/>
      <w:lvlJc w:val="left"/>
      <w:pPr>
        <w:ind w:left="6699" w:hanging="421"/>
      </w:pPr>
      <w:rPr>
        <w:rFonts w:hint="default"/>
        <w:lang w:val="en-US" w:eastAsia="zh-CN" w:bidi="ar-SA"/>
      </w:rPr>
    </w:lvl>
    <w:lvl w:ilvl="7">
      <w:start w:val="0"/>
      <w:numFmt w:val="bullet"/>
      <w:lvlText w:val="•"/>
      <w:lvlJc w:val="left"/>
      <w:pPr>
        <w:ind w:left="7586" w:hanging="421"/>
      </w:pPr>
      <w:rPr>
        <w:rFonts w:hint="default"/>
        <w:lang w:val="en-US" w:eastAsia="zh-CN" w:bidi="ar-SA"/>
      </w:rPr>
    </w:lvl>
    <w:lvl w:ilvl="8">
      <w:start w:val="0"/>
      <w:numFmt w:val="bullet"/>
      <w:lvlText w:val="•"/>
      <w:lvlJc w:val="left"/>
      <w:pPr>
        <w:ind w:left="8472" w:hanging="421"/>
      </w:pPr>
      <w:rPr>
        <w:rFonts w:hint="default"/>
        <w:lang w:val="en-US" w:eastAsia="zh-CN" w:bidi="ar-SA"/>
      </w:rPr>
    </w:lvl>
  </w:abstractNum>
  <w:abstractNum w:abstractNumId="9">
    <w:nsid w:val="5443A85A"/>
    <w:multiLevelType w:val="hybridMultilevel"/>
    <w:tmpl w:val="00000000"/>
    <w:lvl w:ilvl="0">
      <w:start w:val="1"/>
      <w:numFmt w:val="decimal"/>
      <w:lvlText w:val="%1）"/>
      <w:lvlJc w:val="left"/>
      <w:pPr>
        <w:ind w:left="1378" w:hanging="421"/>
        <w:jc w:val="left"/>
      </w:pPr>
      <w:rPr>
        <w:rFonts w:ascii="宋体" w:eastAsia="宋体" w:hAnsi="宋体" w:cs="宋体" w:hint="default"/>
        <w:b w:val="0"/>
        <w:bCs w:val="0"/>
        <w:i w:val="0"/>
        <w:iCs w:val="0"/>
        <w:spacing w:val="-77"/>
        <w:w w:val="100"/>
        <w:sz w:val="26"/>
        <w:szCs w:val="26"/>
        <w:lang w:val="en-US" w:eastAsia="zh-CN" w:bidi="ar-SA"/>
      </w:rPr>
    </w:lvl>
    <w:lvl w:ilvl="1">
      <w:start w:val="0"/>
      <w:numFmt w:val="bullet"/>
      <w:lvlText w:val="•"/>
      <w:lvlJc w:val="left"/>
      <w:pPr>
        <w:ind w:left="2266" w:hanging="421"/>
      </w:pPr>
      <w:rPr>
        <w:rFonts w:hint="default"/>
        <w:lang w:val="en-US" w:eastAsia="zh-CN" w:bidi="ar-SA"/>
      </w:rPr>
    </w:lvl>
    <w:lvl w:ilvl="2">
      <w:start w:val="0"/>
      <w:numFmt w:val="bullet"/>
      <w:lvlText w:val="•"/>
      <w:lvlJc w:val="left"/>
      <w:pPr>
        <w:ind w:left="3153" w:hanging="421"/>
      </w:pPr>
      <w:rPr>
        <w:rFonts w:hint="default"/>
        <w:lang w:val="en-US" w:eastAsia="zh-CN" w:bidi="ar-SA"/>
      </w:rPr>
    </w:lvl>
    <w:lvl w:ilvl="3">
      <w:start w:val="0"/>
      <w:numFmt w:val="bullet"/>
      <w:lvlText w:val="•"/>
      <w:lvlJc w:val="left"/>
      <w:pPr>
        <w:ind w:left="4039" w:hanging="421"/>
      </w:pPr>
      <w:rPr>
        <w:rFonts w:hint="default"/>
        <w:lang w:val="en-US" w:eastAsia="zh-CN" w:bidi="ar-SA"/>
      </w:rPr>
    </w:lvl>
    <w:lvl w:ilvl="4">
      <w:start w:val="0"/>
      <w:numFmt w:val="bullet"/>
      <w:lvlText w:val="•"/>
      <w:lvlJc w:val="left"/>
      <w:pPr>
        <w:ind w:left="4926" w:hanging="421"/>
      </w:pPr>
      <w:rPr>
        <w:rFonts w:hint="default"/>
        <w:lang w:val="en-US" w:eastAsia="zh-CN" w:bidi="ar-SA"/>
      </w:rPr>
    </w:lvl>
    <w:lvl w:ilvl="5">
      <w:start w:val="0"/>
      <w:numFmt w:val="bullet"/>
      <w:lvlText w:val="•"/>
      <w:lvlJc w:val="left"/>
      <w:pPr>
        <w:ind w:left="5813" w:hanging="421"/>
      </w:pPr>
      <w:rPr>
        <w:rFonts w:hint="default"/>
        <w:lang w:val="en-US" w:eastAsia="zh-CN" w:bidi="ar-SA"/>
      </w:rPr>
    </w:lvl>
    <w:lvl w:ilvl="6">
      <w:start w:val="0"/>
      <w:numFmt w:val="bullet"/>
      <w:lvlText w:val="•"/>
      <w:lvlJc w:val="left"/>
      <w:pPr>
        <w:ind w:left="6699" w:hanging="421"/>
      </w:pPr>
      <w:rPr>
        <w:rFonts w:hint="default"/>
        <w:lang w:val="en-US" w:eastAsia="zh-CN" w:bidi="ar-SA"/>
      </w:rPr>
    </w:lvl>
    <w:lvl w:ilvl="7">
      <w:start w:val="0"/>
      <w:numFmt w:val="bullet"/>
      <w:lvlText w:val="•"/>
      <w:lvlJc w:val="left"/>
      <w:pPr>
        <w:ind w:left="7586" w:hanging="421"/>
      </w:pPr>
      <w:rPr>
        <w:rFonts w:hint="default"/>
        <w:lang w:val="en-US" w:eastAsia="zh-CN" w:bidi="ar-SA"/>
      </w:rPr>
    </w:lvl>
    <w:lvl w:ilvl="8">
      <w:start w:val="0"/>
      <w:numFmt w:val="bullet"/>
      <w:lvlText w:val="•"/>
      <w:lvlJc w:val="left"/>
      <w:pPr>
        <w:ind w:left="8472" w:hanging="421"/>
      </w:pPr>
      <w:rPr>
        <w:rFonts w:hint="default"/>
        <w:lang w:val="en-US" w:eastAsia="zh-CN" w:bidi="ar-SA"/>
      </w:rPr>
    </w:lvl>
  </w:abstractNum>
  <w:abstractNum w:abstractNumId="10">
    <w:nsid w:val="5CEB8015"/>
    <w:multiLevelType w:val="hybridMultilevel"/>
    <w:tmpl w:val="00000000"/>
    <w:lvl w:ilvl="0">
      <w:start w:val="1"/>
      <w:numFmt w:val="decimal"/>
      <w:lvlText w:val="%1"/>
      <w:lvlJc w:val="left"/>
      <w:pPr>
        <w:ind w:left="1309" w:hanging="351"/>
        <w:jc w:val="left"/>
      </w:pPr>
      <w:rPr>
        <w:rFonts w:hint="default"/>
        <w:lang w:val="en-US" w:eastAsia="zh-CN" w:bidi="ar-SA"/>
      </w:rPr>
    </w:lvl>
    <w:lvl w:ilvl="1">
      <w:start w:val="1"/>
      <w:numFmt w:val="decimal"/>
      <w:lvlText w:val="%1.%2"/>
      <w:lvlJc w:val="left"/>
      <w:pPr>
        <w:ind w:left="1309" w:hanging="351"/>
        <w:jc w:val="left"/>
      </w:pPr>
      <w:rPr>
        <w:rFonts w:ascii="Times New Roman" w:eastAsia="Times New Roman" w:hAnsi="Times New Roman" w:cs="Times New Roman" w:hint="default"/>
        <w:b w:val="0"/>
        <w:bCs w:val="0"/>
        <w:i w:val="0"/>
        <w:iCs w:val="0"/>
        <w:w w:val="100"/>
        <w:sz w:val="26"/>
        <w:szCs w:val="26"/>
        <w:lang w:val="en-US" w:eastAsia="zh-CN" w:bidi="ar-SA"/>
      </w:rPr>
    </w:lvl>
    <w:lvl w:ilvl="2">
      <w:start w:val="0"/>
      <w:numFmt w:val="bullet"/>
      <w:lvlText w:val="•"/>
      <w:lvlJc w:val="left"/>
      <w:pPr>
        <w:ind w:left="3089" w:hanging="351"/>
      </w:pPr>
      <w:rPr>
        <w:rFonts w:hint="default"/>
        <w:lang w:val="en-US" w:eastAsia="zh-CN" w:bidi="ar-SA"/>
      </w:rPr>
    </w:lvl>
    <w:lvl w:ilvl="3">
      <w:start w:val="0"/>
      <w:numFmt w:val="bullet"/>
      <w:lvlText w:val="•"/>
      <w:lvlJc w:val="left"/>
      <w:pPr>
        <w:ind w:left="3983" w:hanging="351"/>
      </w:pPr>
      <w:rPr>
        <w:rFonts w:hint="default"/>
        <w:lang w:val="en-US" w:eastAsia="zh-CN" w:bidi="ar-SA"/>
      </w:rPr>
    </w:lvl>
    <w:lvl w:ilvl="4">
      <w:start w:val="0"/>
      <w:numFmt w:val="bullet"/>
      <w:lvlText w:val="•"/>
      <w:lvlJc w:val="left"/>
      <w:pPr>
        <w:ind w:left="4878" w:hanging="351"/>
      </w:pPr>
      <w:rPr>
        <w:rFonts w:hint="default"/>
        <w:lang w:val="en-US" w:eastAsia="zh-CN" w:bidi="ar-SA"/>
      </w:rPr>
    </w:lvl>
    <w:lvl w:ilvl="5">
      <w:start w:val="0"/>
      <w:numFmt w:val="bullet"/>
      <w:lvlText w:val="•"/>
      <w:lvlJc w:val="left"/>
      <w:pPr>
        <w:ind w:left="5773" w:hanging="351"/>
      </w:pPr>
      <w:rPr>
        <w:rFonts w:hint="default"/>
        <w:lang w:val="en-US" w:eastAsia="zh-CN" w:bidi="ar-SA"/>
      </w:rPr>
    </w:lvl>
    <w:lvl w:ilvl="6">
      <w:start w:val="0"/>
      <w:numFmt w:val="bullet"/>
      <w:lvlText w:val="•"/>
      <w:lvlJc w:val="left"/>
      <w:pPr>
        <w:ind w:left="6667" w:hanging="351"/>
      </w:pPr>
      <w:rPr>
        <w:rFonts w:hint="default"/>
        <w:lang w:val="en-US" w:eastAsia="zh-CN" w:bidi="ar-SA"/>
      </w:rPr>
    </w:lvl>
    <w:lvl w:ilvl="7">
      <w:start w:val="0"/>
      <w:numFmt w:val="bullet"/>
      <w:lvlText w:val="•"/>
      <w:lvlJc w:val="left"/>
      <w:pPr>
        <w:ind w:left="7562" w:hanging="351"/>
      </w:pPr>
      <w:rPr>
        <w:rFonts w:hint="default"/>
        <w:lang w:val="en-US" w:eastAsia="zh-CN" w:bidi="ar-SA"/>
      </w:rPr>
    </w:lvl>
    <w:lvl w:ilvl="8">
      <w:start w:val="0"/>
      <w:numFmt w:val="bullet"/>
      <w:lvlText w:val="•"/>
      <w:lvlJc w:val="left"/>
      <w:pPr>
        <w:ind w:left="8456" w:hanging="351"/>
      </w:pPr>
      <w:rPr>
        <w:rFonts w:hint="default"/>
        <w:lang w:val="en-US" w:eastAsia="zh-CN" w:bidi="ar-SA"/>
      </w:rPr>
    </w:lvl>
  </w:abstractNum>
  <w:abstractNum w:abstractNumId="11">
    <w:nsid w:val="5F6DF464"/>
    <w:multiLevelType w:val="hybridMultilevel"/>
    <w:tmpl w:val="00000000"/>
    <w:lvl w:ilvl="0">
      <w:start w:val="1"/>
      <w:numFmt w:val="decimal"/>
      <w:lvlText w:val="%1）"/>
      <w:lvlJc w:val="left"/>
      <w:pPr>
        <w:ind w:left="108" w:hanging="424"/>
        <w:jc w:val="left"/>
      </w:pPr>
      <w:rPr>
        <w:rFonts w:ascii="Times New Roman" w:eastAsia="Times New Roman" w:hAnsi="Times New Roman" w:cs="Times New Roman" w:hint="default"/>
        <w:b w:val="0"/>
        <w:bCs w:val="0"/>
        <w:i w:val="0"/>
        <w:iCs w:val="0"/>
        <w:w w:val="100"/>
        <w:sz w:val="26"/>
        <w:szCs w:val="26"/>
        <w:lang w:val="en-US" w:eastAsia="zh-CN" w:bidi="ar-SA"/>
      </w:rPr>
    </w:lvl>
    <w:lvl w:ilvl="1">
      <w:start w:val="0"/>
      <w:numFmt w:val="bullet"/>
      <w:lvlText w:val="•"/>
      <w:lvlJc w:val="left"/>
      <w:pPr>
        <w:ind w:left="521" w:hanging="424"/>
      </w:pPr>
      <w:rPr>
        <w:rFonts w:hint="default"/>
        <w:lang w:val="en-US" w:eastAsia="zh-CN" w:bidi="ar-SA"/>
      </w:rPr>
    </w:lvl>
    <w:lvl w:ilvl="2">
      <w:start w:val="0"/>
      <w:numFmt w:val="bullet"/>
      <w:lvlText w:val="•"/>
      <w:lvlJc w:val="left"/>
      <w:pPr>
        <w:ind w:left="942" w:hanging="424"/>
      </w:pPr>
      <w:rPr>
        <w:rFonts w:hint="default"/>
        <w:lang w:val="en-US" w:eastAsia="zh-CN" w:bidi="ar-SA"/>
      </w:rPr>
    </w:lvl>
    <w:lvl w:ilvl="3">
      <w:start w:val="0"/>
      <w:numFmt w:val="bullet"/>
      <w:lvlText w:val="•"/>
      <w:lvlJc w:val="left"/>
      <w:pPr>
        <w:ind w:left="1363" w:hanging="424"/>
      </w:pPr>
      <w:rPr>
        <w:rFonts w:hint="default"/>
        <w:lang w:val="en-US" w:eastAsia="zh-CN" w:bidi="ar-SA"/>
      </w:rPr>
    </w:lvl>
    <w:lvl w:ilvl="4">
      <w:start w:val="0"/>
      <w:numFmt w:val="bullet"/>
      <w:lvlText w:val="•"/>
      <w:lvlJc w:val="left"/>
      <w:pPr>
        <w:ind w:left="1784" w:hanging="424"/>
      </w:pPr>
      <w:rPr>
        <w:rFonts w:hint="default"/>
        <w:lang w:val="en-US" w:eastAsia="zh-CN" w:bidi="ar-SA"/>
      </w:rPr>
    </w:lvl>
    <w:lvl w:ilvl="5">
      <w:start w:val="0"/>
      <w:numFmt w:val="bullet"/>
      <w:lvlText w:val="•"/>
      <w:lvlJc w:val="left"/>
      <w:pPr>
        <w:ind w:left="2205" w:hanging="424"/>
      </w:pPr>
      <w:rPr>
        <w:rFonts w:hint="default"/>
        <w:lang w:val="en-US" w:eastAsia="zh-CN" w:bidi="ar-SA"/>
      </w:rPr>
    </w:lvl>
    <w:lvl w:ilvl="6">
      <w:start w:val="0"/>
      <w:numFmt w:val="bullet"/>
      <w:lvlText w:val="•"/>
      <w:lvlJc w:val="left"/>
      <w:pPr>
        <w:ind w:left="2626" w:hanging="424"/>
      </w:pPr>
      <w:rPr>
        <w:rFonts w:hint="default"/>
        <w:lang w:val="en-US" w:eastAsia="zh-CN" w:bidi="ar-SA"/>
      </w:rPr>
    </w:lvl>
    <w:lvl w:ilvl="7">
      <w:start w:val="0"/>
      <w:numFmt w:val="bullet"/>
      <w:lvlText w:val="•"/>
      <w:lvlJc w:val="left"/>
      <w:pPr>
        <w:ind w:left="3047" w:hanging="424"/>
      </w:pPr>
      <w:rPr>
        <w:rFonts w:hint="default"/>
        <w:lang w:val="en-US" w:eastAsia="zh-CN" w:bidi="ar-SA"/>
      </w:rPr>
    </w:lvl>
    <w:lvl w:ilvl="8">
      <w:start w:val="0"/>
      <w:numFmt w:val="bullet"/>
      <w:lvlText w:val="•"/>
      <w:lvlJc w:val="left"/>
      <w:pPr>
        <w:ind w:left="3468" w:hanging="424"/>
      </w:pPr>
      <w:rPr>
        <w:rFonts w:hint="default"/>
        <w:lang w:val="en-US" w:eastAsia="zh-CN" w:bidi="ar-SA"/>
      </w:rPr>
    </w:lvl>
  </w:abstractNum>
  <w:abstractNum w:abstractNumId="12">
    <w:nsid w:val="63BFDEC7"/>
    <w:multiLevelType w:val="hybridMultilevel"/>
    <w:tmpl w:val="00000000"/>
    <w:lvl w:ilvl="0">
      <w:start w:val="1"/>
      <w:numFmt w:val="decimal"/>
      <w:lvlText w:val="%1）"/>
      <w:lvlJc w:val="left"/>
      <w:pPr>
        <w:ind w:left="398" w:hanging="421"/>
        <w:jc w:val="left"/>
      </w:pPr>
      <w:rPr>
        <w:rFonts w:ascii="Times New Roman" w:eastAsia="Times New Roman" w:hAnsi="Times New Roman" w:cs="Times New Roman" w:hint="default"/>
        <w:b w:val="0"/>
        <w:bCs w:val="0"/>
        <w:i w:val="0"/>
        <w:iCs w:val="0"/>
        <w:spacing w:val="-13"/>
        <w:w w:val="100"/>
        <w:sz w:val="26"/>
        <w:szCs w:val="26"/>
        <w:lang w:val="en-US" w:eastAsia="zh-CN" w:bidi="ar-SA"/>
      </w:rPr>
    </w:lvl>
    <w:lvl w:ilvl="1">
      <w:start w:val="0"/>
      <w:numFmt w:val="bullet"/>
      <w:lvlText w:val="•"/>
      <w:lvlJc w:val="left"/>
      <w:pPr>
        <w:ind w:left="1384" w:hanging="421"/>
      </w:pPr>
      <w:rPr>
        <w:rFonts w:hint="default"/>
        <w:lang w:val="en-US" w:eastAsia="zh-CN" w:bidi="ar-SA"/>
      </w:rPr>
    </w:lvl>
    <w:lvl w:ilvl="2">
      <w:start w:val="0"/>
      <w:numFmt w:val="bullet"/>
      <w:lvlText w:val="•"/>
      <w:lvlJc w:val="left"/>
      <w:pPr>
        <w:ind w:left="2369" w:hanging="421"/>
      </w:pPr>
      <w:rPr>
        <w:rFonts w:hint="default"/>
        <w:lang w:val="en-US" w:eastAsia="zh-CN" w:bidi="ar-SA"/>
      </w:rPr>
    </w:lvl>
    <w:lvl w:ilvl="3">
      <w:start w:val="0"/>
      <w:numFmt w:val="bullet"/>
      <w:lvlText w:val="•"/>
      <w:lvlJc w:val="left"/>
      <w:pPr>
        <w:ind w:left="3353" w:hanging="421"/>
      </w:pPr>
      <w:rPr>
        <w:rFonts w:hint="default"/>
        <w:lang w:val="en-US" w:eastAsia="zh-CN" w:bidi="ar-SA"/>
      </w:rPr>
    </w:lvl>
    <w:lvl w:ilvl="4">
      <w:start w:val="0"/>
      <w:numFmt w:val="bullet"/>
      <w:lvlText w:val="•"/>
      <w:lvlJc w:val="left"/>
      <w:pPr>
        <w:ind w:left="4338" w:hanging="421"/>
      </w:pPr>
      <w:rPr>
        <w:rFonts w:hint="default"/>
        <w:lang w:val="en-US" w:eastAsia="zh-CN" w:bidi="ar-SA"/>
      </w:rPr>
    </w:lvl>
    <w:lvl w:ilvl="5">
      <w:start w:val="0"/>
      <w:numFmt w:val="bullet"/>
      <w:lvlText w:val="•"/>
      <w:lvlJc w:val="left"/>
      <w:pPr>
        <w:ind w:left="5323" w:hanging="421"/>
      </w:pPr>
      <w:rPr>
        <w:rFonts w:hint="default"/>
        <w:lang w:val="en-US" w:eastAsia="zh-CN" w:bidi="ar-SA"/>
      </w:rPr>
    </w:lvl>
    <w:lvl w:ilvl="6">
      <w:start w:val="0"/>
      <w:numFmt w:val="bullet"/>
      <w:lvlText w:val="•"/>
      <w:lvlJc w:val="left"/>
      <w:pPr>
        <w:ind w:left="6307" w:hanging="421"/>
      </w:pPr>
      <w:rPr>
        <w:rFonts w:hint="default"/>
        <w:lang w:val="en-US" w:eastAsia="zh-CN" w:bidi="ar-SA"/>
      </w:rPr>
    </w:lvl>
    <w:lvl w:ilvl="7">
      <w:start w:val="0"/>
      <w:numFmt w:val="bullet"/>
      <w:lvlText w:val="•"/>
      <w:lvlJc w:val="left"/>
      <w:pPr>
        <w:ind w:left="7292" w:hanging="421"/>
      </w:pPr>
      <w:rPr>
        <w:rFonts w:hint="default"/>
        <w:lang w:val="en-US" w:eastAsia="zh-CN" w:bidi="ar-SA"/>
      </w:rPr>
    </w:lvl>
    <w:lvl w:ilvl="8">
      <w:start w:val="0"/>
      <w:numFmt w:val="bullet"/>
      <w:lvlText w:val="•"/>
      <w:lvlJc w:val="left"/>
      <w:pPr>
        <w:ind w:left="8276" w:hanging="421"/>
      </w:pPr>
      <w:rPr>
        <w:rFonts w:hint="default"/>
        <w:lang w:val="en-US" w:eastAsia="zh-CN" w:bidi="ar-SA"/>
      </w:rPr>
    </w:lvl>
  </w:abstractNum>
  <w:abstractNum w:abstractNumId="13">
    <w:nsid w:val="6A84B911"/>
    <w:multiLevelType w:val="hybridMultilevel"/>
    <w:tmpl w:val="00000000"/>
    <w:lvl w:ilvl="0">
      <w:start w:val="1"/>
      <w:numFmt w:val="decimal"/>
      <w:lvlText w:val="%1）"/>
      <w:lvlJc w:val="left"/>
      <w:pPr>
        <w:ind w:left="398" w:hanging="421"/>
        <w:jc w:val="left"/>
      </w:pPr>
      <w:rPr>
        <w:rFonts w:ascii="Times New Roman" w:eastAsia="Times New Roman" w:hAnsi="Times New Roman" w:cs="Times New Roman" w:hint="default"/>
        <w:b w:val="0"/>
        <w:bCs w:val="0"/>
        <w:i w:val="0"/>
        <w:iCs w:val="0"/>
        <w:spacing w:val="-7"/>
        <w:w w:val="100"/>
        <w:sz w:val="26"/>
        <w:szCs w:val="26"/>
        <w:lang w:val="en-US" w:eastAsia="zh-CN" w:bidi="ar-SA"/>
      </w:rPr>
    </w:lvl>
    <w:lvl w:ilvl="1">
      <w:start w:val="0"/>
      <w:numFmt w:val="bullet"/>
      <w:lvlText w:val="•"/>
      <w:lvlJc w:val="left"/>
      <w:pPr>
        <w:ind w:left="1384" w:hanging="421"/>
      </w:pPr>
      <w:rPr>
        <w:rFonts w:hint="default"/>
        <w:lang w:val="en-US" w:eastAsia="zh-CN" w:bidi="ar-SA"/>
      </w:rPr>
    </w:lvl>
    <w:lvl w:ilvl="2">
      <w:start w:val="0"/>
      <w:numFmt w:val="bullet"/>
      <w:lvlText w:val="•"/>
      <w:lvlJc w:val="left"/>
      <w:pPr>
        <w:ind w:left="2369" w:hanging="421"/>
      </w:pPr>
      <w:rPr>
        <w:rFonts w:hint="default"/>
        <w:lang w:val="en-US" w:eastAsia="zh-CN" w:bidi="ar-SA"/>
      </w:rPr>
    </w:lvl>
    <w:lvl w:ilvl="3">
      <w:start w:val="0"/>
      <w:numFmt w:val="bullet"/>
      <w:lvlText w:val="•"/>
      <w:lvlJc w:val="left"/>
      <w:pPr>
        <w:ind w:left="3353" w:hanging="421"/>
      </w:pPr>
      <w:rPr>
        <w:rFonts w:hint="default"/>
        <w:lang w:val="en-US" w:eastAsia="zh-CN" w:bidi="ar-SA"/>
      </w:rPr>
    </w:lvl>
    <w:lvl w:ilvl="4">
      <w:start w:val="0"/>
      <w:numFmt w:val="bullet"/>
      <w:lvlText w:val="•"/>
      <w:lvlJc w:val="left"/>
      <w:pPr>
        <w:ind w:left="4338" w:hanging="421"/>
      </w:pPr>
      <w:rPr>
        <w:rFonts w:hint="default"/>
        <w:lang w:val="en-US" w:eastAsia="zh-CN" w:bidi="ar-SA"/>
      </w:rPr>
    </w:lvl>
    <w:lvl w:ilvl="5">
      <w:start w:val="0"/>
      <w:numFmt w:val="bullet"/>
      <w:lvlText w:val="•"/>
      <w:lvlJc w:val="left"/>
      <w:pPr>
        <w:ind w:left="5323" w:hanging="421"/>
      </w:pPr>
      <w:rPr>
        <w:rFonts w:hint="default"/>
        <w:lang w:val="en-US" w:eastAsia="zh-CN" w:bidi="ar-SA"/>
      </w:rPr>
    </w:lvl>
    <w:lvl w:ilvl="6">
      <w:start w:val="0"/>
      <w:numFmt w:val="bullet"/>
      <w:lvlText w:val="•"/>
      <w:lvlJc w:val="left"/>
      <w:pPr>
        <w:ind w:left="6307" w:hanging="421"/>
      </w:pPr>
      <w:rPr>
        <w:rFonts w:hint="default"/>
        <w:lang w:val="en-US" w:eastAsia="zh-CN" w:bidi="ar-SA"/>
      </w:rPr>
    </w:lvl>
    <w:lvl w:ilvl="7">
      <w:start w:val="0"/>
      <w:numFmt w:val="bullet"/>
      <w:lvlText w:val="•"/>
      <w:lvlJc w:val="left"/>
      <w:pPr>
        <w:ind w:left="7292" w:hanging="421"/>
      </w:pPr>
      <w:rPr>
        <w:rFonts w:hint="default"/>
        <w:lang w:val="en-US" w:eastAsia="zh-CN" w:bidi="ar-SA"/>
      </w:rPr>
    </w:lvl>
    <w:lvl w:ilvl="8">
      <w:start w:val="0"/>
      <w:numFmt w:val="bullet"/>
      <w:lvlText w:val="•"/>
      <w:lvlJc w:val="left"/>
      <w:pPr>
        <w:ind w:left="8276" w:hanging="421"/>
      </w:pPr>
      <w:rPr>
        <w:rFonts w:hint="default"/>
        <w:lang w:val="en-US" w:eastAsia="zh-CN" w:bidi="ar-SA"/>
      </w:rPr>
    </w:lvl>
  </w:abstractNum>
  <w:abstractNum w:abstractNumId="14">
    <w:nsid w:val="6C65C8E0"/>
    <w:multiLevelType w:val="hybridMultilevel"/>
    <w:tmpl w:val="00000000"/>
    <w:lvl w:ilvl="0">
      <w:start w:val="1"/>
      <w:numFmt w:val="decimal"/>
      <w:lvlText w:val="（%1）"/>
      <w:lvlJc w:val="left"/>
      <w:pPr>
        <w:ind w:left="398" w:hanging="701"/>
        <w:jc w:val="left"/>
      </w:pPr>
      <w:rPr>
        <w:rFonts w:ascii="宋体" w:eastAsia="宋体" w:hAnsi="宋体" w:cs="宋体" w:hint="default"/>
        <w:b w:val="0"/>
        <w:bCs w:val="0"/>
        <w:i w:val="0"/>
        <w:iCs w:val="0"/>
        <w:w w:val="100"/>
        <w:sz w:val="26"/>
        <w:szCs w:val="26"/>
        <w:lang w:val="en-US" w:eastAsia="zh-CN" w:bidi="ar-SA"/>
      </w:rPr>
    </w:lvl>
    <w:lvl w:ilvl="1">
      <w:start w:val="0"/>
      <w:numFmt w:val="bullet"/>
      <w:lvlText w:val="•"/>
      <w:lvlJc w:val="left"/>
      <w:pPr>
        <w:ind w:left="1384" w:hanging="701"/>
      </w:pPr>
      <w:rPr>
        <w:rFonts w:hint="default"/>
        <w:lang w:val="en-US" w:eastAsia="zh-CN" w:bidi="ar-SA"/>
      </w:rPr>
    </w:lvl>
    <w:lvl w:ilvl="2">
      <w:start w:val="0"/>
      <w:numFmt w:val="bullet"/>
      <w:lvlText w:val="•"/>
      <w:lvlJc w:val="left"/>
      <w:pPr>
        <w:ind w:left="2369" w:hanging="701"/>
      </w:pPr>
      <w:rPr>
        <w:rFonts w:hint="default"/>
        <w:lang w:val="en-US" w:eastAsia="zh-CN" w:bidi="ar-SA"/>
      </w:rPr>
    </w:lvl>
    <w:lvl w:ilvl="3">
      <w:start w:val="0"/>
      <w:numFmt w:val="bullet"/>
      <w:lvlText w:val="•"/>
      <w:lvlJc w:val="left"/>
      <w:pPr>
        <w:ind w:left="3353" w:hanging="701"/>
      </w:pPr>
      <w:rPr>
        <w:rFonts w:hint="default"/>
        <w:lang w:val="en-US" w:eastAsia="zh-CN" w:bidi="ar-SA"/>
      </w:rPr>
    </w:lvl>
    <w:lvl w:ilvl="4">
      <w:start w:val="0"/>
      <w:numFmt w:val="bullet"/>
      <w:lvlText w:val="•"/>
      <w:lvlJc w:val="left"/>
      <w:pPr>
        <w:ind w:left="4338" w:hanging="701"/>
      </w:pPr>
      <w:rPr>
        <w:rFonts w:hint="default"/>
        <w:lang w:val="en-US" w:eastAsia="zh-CN" w:bidi="ar-SA"/>
      </w:rPr>
    </w:lvl>
    <w:lvl w:ilvl="5">
      <w:start w:val="0"/>
      <w:numFmt w:val="bullet"/>
      <w:lvlText w:val="•"/>
      <w:lvlJc w:val="left"/>
      <w:pPr>
        <w:ind w:left="5323" w:hanging="701"/>
      </w:pPr>
      <w:rPr>
        <w:rFonts w:hint="default"/>
        <w:lang w:val="en-US" w:eastAsia="zh-CN" w:bidi="ar-SA"/>
      </w:rPr>
    </w:lvl>
    <w:lvl w:ilvl="6">
      <w:start w:val="0"/>
      <w:numFmt w:val="bullet"/>
      <w:lvlText w:val="•"/>
      <w:lvlJc w:val="left"/>
      <w:pPr>
        <w:ind w:left="6307" w:hanging="701"/>
      </w:pPr>
      <w:rPr>
        <w:rFonts w:hint="default"/>
        <w:lang w:val="en-US" w:eastAsia="zh-CN" w:bidi="ar-SA"/>
      </w:rPr>
    </w:lvl>
    <w:lvl w:ilvl="7">
      <w:start w:val="0"/>
      <w:numFmt w:val="bullet"/>
      <w:lvlText w:val="•"/>
      <w:lvlJc w:val="left"/>
      <w:pPr>
        <w:ind w:left="7292" w:hanging="701"/>
      </w:pPr>
      <w:rPr>
        <w:rFonts w:hint="default"/>
        <w:lang w:val="en-US" w:eastAsia="zh-CN" w:bidi="ar-SA"/>
      </w:rPr>
    </w:lvl>
    <w:lvl w:ilvl="8">
      <w:start w:val="0"/>
      <w:numFmt w:val="bullet"/>
      <w:lvlText w:val="•"/>
      <w:lvlJc w:val="left"/>
      <w:pPr>
        <w:ind w:left="8276" w:hanging="701"/>
      </w:pPr>
      <w:rPr>
        <w:rFonts w:hint="default"/>
        <w:lang w:val="en-US" w:eastAsia="zh-CN" w:bidi="ar-SA"/>
      </w:rPr>
    </w:lvl>
  </w:abstractNum>
  <w:abstractNum w:abstractNumId="15">
    <w:nsid w:val="75269724"/>
    <w:multiLevelType w:val="hybridMultilevel"/>
    <w:tmpl w:val="00000000"/>
    <w:lvl w:ilvl="0">
      <w:start w:val="1"/>
      <w:numFmt w:val="decimal"/>
      <w:lvlText w:val="%1）"/>
      <w:lvlJc w:val="left"/>
      <w:pPr>
        <w:ind w:left="398" w:hanging="421"/>
        <w:jc w:val="left"/>
      </w:pPr>
      <w:rPr>
        <w:rFonts w:ascii="Times New Roman" w:eastAsia="Times New Roman" w:hAnsi="Times New Roman" w:cs="Times New Roman" w:hint="default"/>
        <w:b w:val="0"/>
        <w:bCs w:val="0"/>
        <w:i w:val="0"/>
        <w:iCs w:val="0"/>
        <w:spacing w:val="-7"/>
        <w:w w:val="100"/>
        <w:sz w:val="26"/>
        <w:szCs w:val="26"/>
        <w:lang w:val="en-US" w:eastAsia="zh-CN" w:bidi="ar-SA"/>
      </w:rPr>
    </w:lvl>
    <w:lvl w:ilvl="1">
      <w:start w:val="0"/>
      <w:numFmt w:val="bullet"/>
      <w:lvlText w:val="•"/>
      <w:lvlJc w:val="left"/>
      <w:pPr>
        <w:ind w:left="1384" w:hanging="421"/>
      </w:pPr>
      <w:rPr>
        <w:rFonts w:hint="default"/>
        <w:lang w:val="en-US" w:eastAsia="zh-CN" w:bidi="ar-SA"/>
      </w:rPr>
    </w:lvl>
    <w:lvl w:ilvl="2">
      <w:start w:val="0"/>
      <w:numFmt w:val="bullet"/>
      <w:lvlText w:val="•"/>
      <w:lvlJc w:val="left"/>
      <w:pPr>
        <w:ind w:left="2369" w:hanging="421"/>
      </w:pPr>
      <w:rPr>
        <w:rFonts w:hint="default"/>
        <w:lang w:val="en-US" w:eastAsia="zh-CN" w:bidi="ar-SA"/>
      </w:rPr>
    </w:lvl>
    <w:lvl w:ilvl="3">
      <w:start w:val="0"/>
      <w:numFmt w:val="bullet"/>
      <w:lvlText w:val="•"/>
      <w:lvlJc w:val="left"/>
      <w:pPr>
        <w:ind w:left="3353" w:hanging="421"/>
      </w:pPr>
      <w:rPr>
        <w:rFonts w:hint="default"/>
        <w:lang w:val="en-US" w:eastAsia="zh-CN" w:bidi="ar-SA"/>
      </w:rPr>
    </w:lvl>
    <w:lvl w:ilvl="4">
      <w:start w:val="0"/>
      <w:numFmt w:val="bullet"/>
      <w:lvlText w:val="•"/>
      <w:lvlJc w:val="left"/>
      <w:pPr>
        <w:ind w:left="4338" w:hanging="421"/>
      </w:pPr>
      <w:rPr>
        <w:rFonts w:hint="default"/>
        <w:lang w:val="en-US" w:eastAsia="zh-CN" w:bidi="ar-SA"/>
      </w:rPr>
    </w:lvl>
    <w:lvl w:ilvl="5">
      <w:start w:val="0"/>
      <w:numFmt w:val="bullet"/>
      <w:lvlText w:val="•"/>
      <w:lvlJc w:val="left"/>
      <w:pPr>
        <w:ind w:left="5323" w:hanging="421"/>
      </w:pPr>
      <w:rPr>
        <w:rFonts w:hint="default"/>
        <w:lang w:val="en-US" w:eastAsia="zh-CN" w:bidi="ar-SA"/>
      </w:rPr>
    </w:lvl>
    <w:lvl w:ilvl="6">
      <w:start w:val="0"/>
      <w:numFmt w:val="bullet"/>
      <w:lvlText w:val="•"/>
      <w:lvlJc w:val="left"/>
      <w:pPr>
        <w:ind w:left="6307" w:hanging="421"/>
      </w:pPr>
      <w:rPr>
        <w:rFonts w:hint="default"/>
        <w:lang w:val="en-US" w:eastAsia="zh-CN" w:bidi="ar-SA"/>
      </w:rPr>
    </w:lvl>
    <w:lvl w:ilvl="7">
      <w:start w:val="0"/>
      <w:numFmt w:val="bullet"/>
      <w:lvlText w:val="•"/>
      <w:lvlJc w:val="left"/>
      <w:pPr>
        <w:ind w:left="7292" w:hanging="421"/>
      </w:pPr>
      <w:rPr>
        <w:rFonts w:hint="default"/>
        <w:lang w:val="en-US" w:eastAsia="zh-CN" w:bidi="ar-SA"/>
      </w:rPr>
    </w:lvl>
    <w:lvl w:ilvl="8">
      <w:start w:val="0"/>
      <w:numFmt w:val="bullet"/>
      <w:lvlText w:val="•"/>
      <w:lvlJc w:val="left"/>
      <w:pPr>
        <w:ind w:left="8276" w:hanging="421"/>
      </w:pPr>
      <w:rPr>
        <w:rFonts w:hint="default"/>
        <w:lang w:val="en-US" w:eastAsia="zh-CN" w:bidi="ar-SA"/>
      </w:rPr>
    </w:lvl>
  </w:abstractNum>
  <w:abstractNum w:abstractNumId="16">
    <w:nsid w:val="768251FE"/>
    <w:multiLevelType w:val="hybridMultilevel"/>
    <w:tmpl w:val="00000000"/>
    <w:lvl w:ilvl="0">
      <w:start w:val="1"/>
      <w:numFmt w:val="decimal"/>
      <w:lvlText w:val="%1）"/>
      <w:lvlJc w:val="left"/>
      <w:pPr>
        <w:ind w:left="1299" w:hanging="421"/>
        <w:jc w:val="left"/>
      </w:pPr>
      <w:rPr>
        <w:rFonts w:ascii="宋体" w:eastAsia="宋体" w:hAnsi="宋体" w:cs="宋体" w:hint="default"/>
        <w:b w:val="0"/>
        <w:bCs w:val="0"/>
        <w:i w:val="0"/>
        <w:iCs w:val="0"/>
        <w:w w:val="100"/>
        <w:sz w:val="26"/>
        <w:szCs w:val="26"/>
        <w:lang w:val="en-US" w:eastAsia="zh-CN" w:bidi="ar-SA"/>
      </w:rPr>
    </w:lvl>
    <w:lvl w:ilvl="1">
      <w:start w:val="0"/>
      <w:numFmt w:val="bullet"/>
      <w:lvlText w:val="•"/>
      <w:lvlJc w:val="left"/>
      <w:pPr>
        <w:ind w:left="2194" w:hanging="421"/>
      </w:pPr>
      <w:rPr>
        <w:rFonts w:hint="default"/>
        <w:lang w:val="en-US" w:eastAsia="zh-CN" w:bidi="ar-SA"/>
      </w:rPr>
    </w:lvl>
    <w:lvl w:ilvl="2">
      <w:start w:val="0"/>
      <w:numFmt w:val="bullet"/>
      <w:lvlText w:val="•"/>
      <w:lvlJc w:val="left"/>
      <w:pPr>
        <w:ind w:left="3089" w:hanging="421"/>
      </w:pPr>
      <w:rPr>
        <w:rFonts w:hint="default"/>
        <w:lang w:val="en-US" w:eastAsia="zh-CN" w:bidi="ar-SA"/>
      </w:rPr>
    </w:lvl>
    <w:lvl w:ilvl="3">
      <w:start w:val="0"/>
      <w:numFmt w:val="bullet"/>
      <w:lvlText w:val="•"/>
      <w:lvlJc w:val="left"/>
      <w:pPr>
        <w:ind w:left="3983" w:hanging="421"/>
      </w:pPr>
      <w:rPr>
        <w:rFonts w:hint="default"/>
        <w:lang w:val="en-US" w:eastAsia="zh-CN" w:bidi="ar-SA"/>
      </w:rPr>
    </w:lvl>
    <w:lvl w:ilvl="4">
      <w:start w:val="0"/>
      <w:numFmt w:val="bullet"/>
      <w:lvlText w:val="•"/>
      <w:lvlJc w:val="left"/>
      <w:pPr>
        <w:ind w:left="4878" w:hanging="421"/>
      </w:pPr>
      <w:rPr>
        <w:rFonts w:hint="default"/>
        <w:lang w:val="en-US" w:eastAsia="zh-CN" w:bidi="ar-SA"/>
      </w:rPr>
    </w:lvl>
    <w:lvl w:ilvl="5">
      <w:start w:val="0"/>
      <w:numFmt w:val="bullet"/>
      <w:lvlText w:val="•"/>
      <w:lvlJc w:val="left"/>
      <w:pPr>
        <w:ind w:left="5773" w:hanging="421"/>
      </w:pPr>
      <w:rPr>
        <w:rFonts w:hint="default"/>
        <w:lang w:val="en-US" w:eastAsia="zh-CN" w:bidi="ar-SA"/>
      </w:rPr>
    </w:lvl>
    <w:lvl w:ilvl="6">
      <w:start w:val="0"/>
      <w:numFmt w:val="bullet"/>
      <w:lvlText w:val="•"/>
      <w:lvlJc w:val="left"/>
      <w:pPr>
        <w:ind w:left="6667" w:hanging="421"/>
      </w:pPr>
      <w:rPr>
        <w:rFonts w:hint="default"/>
        <w:lang w:val="en-US" w:eastAsia="zh-CN" w:bidi="ar-SA"/>
      </w:rPr>
    </w:lvl>
    <w:lvl w:ilvl="7">
      <w:start w:val="0"/>
      <w:numFmt w:val="bullet"/>
      <w:lvlText w:val="•"/>
      <w:lvlJc w:val="left"/>
      <w:pPr>
        <w:ind w:left="7562" w:hanging="421"/>
      </w:pPr>
      <w:rPr>
        <w:rFonts w:hint="default"/>
        <w:lang w:val="en-US" w:eastAsia="zh-CN" w:bidi="ar-SA"/>
      </w:rPr>
    </w:lvl>
    <w:lvl w:ilvl="8">
      <w:start w:val="0"/>
      <w:numFmt w:val="bullet"/>
      <w:lvlText w:val="•"/>
      <w:lvlJc w:val="left"/>
      <w:pPr>
        <w:ind w:left="8456" w:hanging="421"/>
      </w:pPr>
      <w:rPr>
        <w:rFonts w:hint="default"/>
        <w:lang w:val="en-US" w:eastAsia="zh-CN" w:bidi="ar-SA"/>
      </w:rPr>
    </w:lvl>
  </w:abstractNum>
  <w:num w:numId="1">
    <w:abstractNumId w:val="1"/>
  </w:num>
  <w:num w:numId="2">
    <w:abstractNumId w:val="8"/>
  </w:num>
  <w:num w:numId="3">
    <w:abstractNumId w:val="9"/>
  </w:num>
  <w:num w:numId="4">
    <w:abstractNumId w:val="16"/>
  </w:num>
  <w:num w:numId="5">
    <w:abstractNumId w:val="3"/>
  </w:num>
  <w:num w:numId="6">
    <w:abstractNumId w:val="4"/>
  </w:num>
  <w:num w:numId="7">
    <w:abstractNumId w:val="7"/>
  </w:num>
  <w:num w:numId="8">
    <w:abstractNumId w:val="13"/>
  </w:num>
  <w:num w:numId="9">
    <w:abstractNumId w:val="15"/>
  </w:num>
  <w:num w:numId="10">
    <w:abstractNumId w:val="12"/>
  </w:num>
  <w:num w:numId="11">
    <w:abstractNumId w:val="0"/>
  </w:num>
  <w:num w:numId="12">
    <w:abstractNumId w:val="5"/>
  </w:num>
  <w:num w:numId="13">
    <w:abstractNumId w:val="11"/>
  </w:num>
  <w:num w:numId="14">
    <w:abstractNumId w:val="6"/>
  </w:num>
  <w:num w:numId="15">
    <w:abstractNumId w:val="14"/>
  </w:num>
  <w:num w:numId="16">
    <w:abstractNumId w:val="2"/>
  </w:num>
  <w:num w:numId="1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drawingGridHorizontalSpacing w:val="110"/>
  <w:displayHorizontalDrawingGridEvery w:val="2"/>
  <w:characterSpacingControl w:val="doNotCompress"/>
  <w:compat>
    <w:ulTrailSpace/>
    <w:shapeLayoutLikeWW8/>
    <w:useFELayout/>
    <w:compatSetting w:name="compatibilityMode" w:uri="http://schemas.microsoft.com/office/word" w:val="14"/>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宋体" w:eastAsia="宋体" w:hAnsi="宋体" w:cs="宋体"/>
      <w:lang w:val="en-US" w:eastAsia="zh-CN" w:bidi="ar-SA"/>
    </w:rPr>
  </w:style>
  <w:style w:type="paragraph" w:styleId="Heading1">
    <w:name w:val="heading 1"/>
    <w:basedOn w:val="Normal"/>
    <w:uiPriority w:val="1"/>
    <w:qFormat/>
    <w:pPr>
      <w:ind w:left="382" w:hanging="482"/>
      <w:jc w:val="center"/>
      <w:outlineLvl w:val="0"/>
    </w:pPr>
    <w:rPr>
      <w:rFonts w:ascii="Microsoft JhengHei" w:eastAsia="Microsoft JhengHei" w:hAnsi="Microsoft JhengHei" w:cs="Microsoft JhengHei"/>
      <w:b/>
      <w:bCs/>
      <w:sz w:val="32"/>
      <w:szCs w:val="32"/>
      <w:lang w:val="en-US" w:eastAsia="zh-CN" w:bidi="ar-SA"/>
    </w:rPr>
  </w:style>
  <w:style w:type="paragraph" w:styleId="Heading2">
    <w:name w:val="heading 2"/>
    <w:basedOn w:val="Normal"/>
    <w:uiPriority w:val="1"/>
    <w:qFormat/>
    <w:pPr>
      <w:ind w:left="533"/>
      <w:outlineLvl w:val="1"/>
    </w:pPr>
    <w:rPr>
      <w:rFonts w:ascii="Microsoft JhengHei" w:eastAsia="Microsoft JhengHei" w:hAnsi="Microsoft JhengHei" w:cs="Microsoft JhengHei"/>
      <w:b/>
      <w:bCs/>
      <w:sz w:val="28"/>
      <w:szCs w:val="28"/>
      <w:lang w:val="en-US" w:eastAsia="zh-CN" w:bidi="ar-SA"/>
    </w:rPr>
  </w:style>
  <w:style w:type="character" w:default="1" w:styleId="DefaultParagraphFont">
    <w:name w:val="Default Paragraph Font"/>
    <w:uiPriority w:val="1"/>
    <w:semiHidden/>
    <w:unhideWhenUsed/>
  </w:style>
  <w:style w:type="numbering" w:default="1" w:styleId="NoLi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OC1">
    <w:name w:val="toc 1"/>
    <w:basedOn w:val="Normal"/>
    <w:uiPriority w:val="1"/>
    <w:qFormat/>
    <w:pPr>
      <w:spacing w:before="173"/>
      <w:ind w:right="95"/>
      <w:jc w:val="center"/>
    </w:pPr>
    <w:rPr>
      <w:rFonts w:ascii="Microsoft JhengHei" w:eastAsia="Microsoft JhengHei" w:hAnsi="Microsoft JhengHei" w:cs="Microsoft JhengHei"/>
      <w:b/>
      <w:bCs/>
      <w:sz w:val="28"/>
      <w:szCs w:val="28"/>
      <w:lang w:val="en-US" w:eastAsia="zh-CN" w:bidi="ar-SA"/>
    </w:rPr>
  </w:style>
  <w:style w:type="paragraph" w:styleId="TOC2">
    <w:name w:val="toc 2"/>
    <w:basedOn w:val="Normal"/>
    <w:uiPriority w:val="1"/>
    <w:qFormat/>
    <w:pPr>
      <w:spacing w:before="265"/>
      <w:ind w:left="958"/>
    </w:pPr>
    <w:rPr>
      <w:rFonts w:ascii="宋体" w:eastAsia="宋体" w:hAnsi="宋体" w:cs="宋体"/>
      <w:sz w:val="28"/>
      <w:szCs w:val="28"/>
      <w:lang w:val="en-US" w:eastAsia="zh-CN" w:bidi="ar-SA"/>
    </w:rPr>
  </w:style>
  <w:style w:type="paragraph" w:styleId="BodyText">
    <w:name w:val="Body Text"/>
    <w:basedOn w:val="Normal"/>
    <w:uiPriority w:val="1"/>
    <w:qFormat/>
    <w:rPr>
      <w:rFonts w:ascii="宋体" w:eastAsia="宋体" w:hAnsi="宋体" w:cs="宋体"/>
      <w:sz w:val="28"/>
      <w:szCs w:val="28"/>
      <w:lang w:val="en-US" w:eastAsia="zh-CN" w:bidi="ar-SA"/>
    </w:rPr>
  </w:style>
  <w:style w:type="paragraph" w:styleId="Title">
    <w:name w:val="Title"/>
    <w:basedOn w:val="Normal"/>
    <w:uiPriority w:val="1"/>
    <w:qFormat/>
    <w:pPr>
      <w:ind w:left="192" w:right="95"/>
      <w:jc w:val="center"/>
    </w:pPr>
    <w:rPr>
      <w:rFonts w:ascii="Microsoft JhengHei" w:eastAsia="Microsoft JhengHei" w:hAnsi="Microsoft JhengHei" w:cs="Microsoft JhengHei"/>
      <w:b/>
      <w:bCs/>
      <w:sz w:val="56"/>
      <w:szCs w:val="56"/>
      <w:lang w:val="en-US" w:eastAsia="zh-CN" w:bidi="ar-SA"/>
    </w:rPr>
  </w:style>
  <w:style w:type="paragraph" w:styleId="ListParagraph">
    <w:name w:val="List Paragraph"/>
    <w:basedOn w:val="Normal"/>
    <w:uiPriority w:val="1"/>
    <w:qFormat/>
    <w:pPr>
      <w:ind w:left="1378" w:hanging="420"/>
    </w:pPr>
    <w:rPr>
      <w:rFonts w:ascii="宋体" w:eastAsia="宋体" w:hAnsi="宋体" w:cs="宋体"/>
      <w:lang w:val="en-US" w:eastAsia="zh-CN" w:bidi="ar-SA"/>
    </w:rPr>
  </w:style>
  <w:style w:type="paragraph" w:customStyle="1" w:styleId="TableParagraph">
    <w:name w:val="Table Paragraph"/>
    <w:basedOn w:val="Normal"/>
    <w:uiPriority w:val="1"/>
    <w:qFormat/>
    <w:rPr>
      <w:rFonts w:ascii="宋体" w:eastAsia="宋体" w:hAnsi="宋体" w:cs="宋体"/>
      <w:lang w:val="en-US" w:eastAsia="zh-CN" w:bidi="ar-SA"/>
    </w:rPr>
  </w:style>
  <w:style w:type="table" w:customStyle="1" w:styleId="TableNormal0">
    <w:name w:val="Table Normal_0"/>
    <w:uiPriority w:val="2"/>
    <w:semiHidden/>
    <w:unhideWhenUsed/>
    <w:qFormat/>
    <w:tblPr>
      <w:tblInd w:w="0" w:type="dxa"/>
      <w:tblCellMar>
        <w:top w:w="0" w:type="dxa"/>
        <w:left w:w="0" w:type="dxa"/>
        <w:bottom w:w="0" w:type="dxa"/>
        <w:right w:w="0" w:type="dxa"/>
      </w:tblCellMar>
    </w:tblPr>
  </w:style>
  <w:style w:type="table" w:customStyle="1" w:styleId="TableNormal1">
    <w:name w:val="Table Normal_1"/>
    <w:uiPriority w:val="2"/>
    <w:semiHidden/>
    <w:unhideWhenUsed/>
    <w:qFormat/>
    <w:tblPr>
      <w:tblInd w:w="0" w:type="dxa"/>
      <w:tblCellMar>
        <w:top w:w="0" w:type="dxa"/>
        <w:left w:w="0" w:type="dxa"/>
        <w:bottom w:w="0" w:type="dxa"/>
        <w:right w:w="0" w:type="dxa"/>
      </w:tblCellMar>
    </w:tblPr>
  </w:style>
  <w:style w:type="table" w:customStyle="1" w:styleId="TableNormal2">
    <w:name w:val="Table Normal_2"/>
    <w:uiPriority w:val="2"/>
    <w:semiHidden/>
    <w:unhideWhenUsed/>
    <w:qFormat/>
    <w:tblPr>
      <w:tblInd w:w="0" w:type="dxa"/>
      <w:tblCellMar>
        <w:top w:w="0" w:type="dxa"/>
        <w:left w:w="0" w:type="dxa"/>
        <w:bottom w:w="0" w:type="dxa"/>
        <w:right w:w="0" w:type="dxa"/>
      </w:tblCellMar>
    </w:tblPr>
  </w:style>
  <w:style w:type="table" w:customStyle="1" w:styleId="TableNormal3">
    <w:name w:val="Table Normal_3"/>
    <w:uiPriority w:val="2"/>
    <w:semiHidden/>
    <w:unhideWhenUsed/>
    <w:qFormat/>
    <w:tblPr>
      <w:tblInd w:w="0" w:type="dxa"/>
      <w:tblCellMar>
        <w:top w:w="0" w:type="dxa"/>
        <w:left w:w="0" w:type="dxa"/>
        <w:bottom w:w="0" w:type="dxa"/>
        <w:right w:w="0" w:type="dxa"/>
      </w:tblCellMar>
    </w:tblPr>
  </w:style>
  <w:style w:type="table" w:customStyle="1" w:styleId="TableNormal4">
    <w:name w:val="Table Normal_4"/>
    <w:uiPriority w:val="2"/>
    <w:semiHidden/>
    <w:unhideWhenUsed/>
    <w:qFormat/>
    <w:tblPr>
      <w:tblInd w:w="0" w:type="dxa"/>
      <w:tblCellMar>
        <w:top w:w="0" w:type="dxa"/>
        <w:left w:w="0" w:type="dxa"/>
        <w:bottom w:w="0" w:type="dxa"/>
        <w:right w:w="0" w:type="dxa"/>
      </w:tblCellMar>
    </w:tblPr>
  </w:style>
  <w:style w:type="table" w:customStyle="1" w:styleId="TableNormal5">
    <w:name w:val="Table Normal_5"/>
    <w:uiPriority w:val="2"/>
    <w:semiHidden/>
    <w:unhideWhenUsed/>
    <w:qFormat/>
    <w:tblPr>
      <w:tblInd w:w="0" w:type="dxa"/>
      <w:tblCellMar>
        <w:top w:w="0" w:type="dxa"/>
        <w:left w:w="0" w:type="dxa"/>
        <w:bottom w:w="0" w:type="dxa"/>
        <w:right w:w="0" w:type="dxa"/>
      </w:tblCellMar>
    </w:tblPr>
  </w:style>
  <w:style w:type="table" w:customStyle="1" w:styleId="TableNormal6">
    <w:name w:val="Table Normal_6"/>
    <w:uiPriority w:val="2"/>
    <w:semiHidden/>
    <w:unhideWhenUsed/>
    <w:qFormat/>
    <w:tblPr>
      <w:tblInd w:w="0" w:type="dxa"/>
      <w:tblCellMar>
        <w:top w:w="0" w:type="dxa"/>
        <w:left w:w="0" w:type="dxa"/>
        <w:bottom w:w="0" w:type="dxa"/>
        <w:right w:w="0" w:type="dxa"/>
      </w:tblCellMar>
    </w:tblPr>
  </w:style>
  <w:style w:type="table" w:customStyle="1" w:styleId="TableNormal7">
    <w:name w:val="Table Normal_7"/>
    <w:uiPriority w:val="2"/>
    <w:semiHidden/>
    <w:unhideWhenUsed/>
    <w:qFormat/>
    <w:tblPr>
      <w:tblInd w:w="0" w:type="dxa"/>
      <w:tblCellMar>
        <w:top w:w="0" w:type="dxa"/>
        <w:left w:w="0" w:type="dxa"/>
        <w:bottom w:w="0" w:type="dxa"/>
        <w:right w:w="0" w:type="dxa"/>
      </w:tblCellMar>
    </w:tblPr>
  </w:style>
  <w:style w:type="table" w:customStyle="1" w:styleId="TableNormal8">
    <w:name w:val="Table Normal_8"/>
    <w:uiPriority w:val="2"/>
    <w:semiHidden/>
    <w:unhideWhenUsed/>
    <w:qFormat/>
    <w:tblPr>
      <w:tblInd w:w="0" w:type="dxa"/>
      <w:tblCellMar>
        <w:top w:w="0" w:type="dxa"/>
        <w:left w:w="0" w:type="dxa"/>
        <w:bottom w:w="0" w:type="dxa"/>
        <w:right w:w="0" w:type="dxa"/>
      </w:tblCellMar>
    </w:tblPr>
  </w:style>
  <w:style w:type="table" w:customStyle="1" w:styleId="TableNormal9">
    <w:name w:val="Table Normal_9"/>
    <w:uiPriority w:val="2"/>
    <w:semiHidden/>
    <w:unhideWhenUsed/>
    <w:qFormat/>
    <w:tblPr>
      <w:tblInd w:w="0" w:type="dxa"/>
      <w:tblCellMar>
        <w:top w:w="0" w:type="dxa"/>
        <w:left w:w="0" w:type="dxa"/>
        <w:bottom w:w="0" w:type="dxa"/>
        <w:right w:w="0" w:type="dxa"/>
      </w:tblCellMar>
    </w:tblPr>
  </w:style>
  <w:style w:type="table" w:customStyle="1" w:styleId="TableNormal10">
    <w:name w:val="Table Normal_10"/>
    <w:uiPriority w:val="2"/>
    <w:semiHidden/>
    <w:unhideWhenUsed/>
    <w:qFormat/>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yperlink" Target="https://d.book118.com/295314023202011114" TargetMode="External" /><Relationship Id="rId47" Type="http://schemas.openxmlformats.org/officeDocument/2006/relationships/header" Target="header22.xml" /><Relationship Id="rId48" Type="http://schemas.openxmlformats.org/officeDocument/2006/relationships/footer" Target="footer22.xml" /><Relationship Id="rId49" Type="http://schemas.openxmlformats.org/officeDocument/2006/relationships/theme" Target="theme/theme1.xml" /><Relationship Id="rId5" Type="http://schemas.openxmlformats.org/officeDocument/2006/relationships/footer" Target="footer1.xml" /><Relationship Id="rId50" Type="http://schemas.openxmlformats.org/officeDocument/2006/relationships/numbering" Target="numbering.xml" /><Relationship Id="rId51" Type="http://schemas.openxmlformats.org/officeDocument/2006/relationships/styles" Target="styles.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2024-03-01T16:06:37Z</dcterms:created>
  <dcterms:modified xsi:type="dcterms:W3CDTF">2024-03-01T16:06:37Z</dcterms:modified>
</cp:coreProperties>
</file>