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0" w:line="235" w:lineRule="auto"/>
        <w:ind w:left="7010"/>
        <w:rPr>
          <w:sz w:val="19"/>
          <w:szCs w:val="19"/>
        </w:rPr>
      </w:pPr>
      <w:r>
        <w:rPr>
          <w:spacing w:val="7"/>
          <w:sz w:val="19"/>
          <w:szCs w:val="19"/>
        </w:rPr>
        <w:t>T/</w:t>
      </w:r>
      <w:r>
        <w:rPr>
          <w:sz w:val="19"/>
          <w:szCs w:val="19"/>
        </w:rPr>
        <w:t>FDSA</w:t>
      </w:r>
      <w:r>
        <w:rPr>
          <w:spacing w:val="95"/>
          <w:sz w:val="19"/>
          <w:szCs w:val="19"/>
        </w:rPr>
        <w:t xml:space="preserve"> </w:t>
      </w:r>
      <w:r>
        <w:rPr>
          <w:spacing w:val="7"/>
          <w:sz w:val="19"/>
          <w:szCs w:val="19"/>
        </w:rPr>
        <w:t>×××—2024</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line="389" w:lineRule="exact"/>
        <w:ind w:firstLine="2319"/>
      </w:pPr>
      <w:r>
        <w:rPr>
          <w:position w:val="-7"/>
        </w:rPr>
        <w:drawing>
          <wp:inline distT="0" distB="0" distL="0" distR="0">
            <wp:extent cx="2733725" cy="24673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733725" cy="246735"/>
                    </a:xfrm>
                    <a:prstGeom prst="rect">
                      <a:avLst/>
                    </a:prstGeom>
                  </pic:spPr>
                </pic:pic>
              </a:graphicData>
            </a:graphic>
          </wp:inline>
        </w:drawing>
      </w: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78" w:line="223" w:lineRule="auto"/>
        <w:ind w:left="14"/>
      </w:pPr>
      <w:r>
        <w:rPr>
          <w:spacing w:val="-19"/>
        </w:rPr>
        <w:t>1</w:t>
      </w:r>
      <w:r>
        <w:rPr>
          <w:spacing w:val="27"/>
        </w:rPr>
        <w:t xml:space="preserve"> </w:t>
      </w:r>
      <w:r>
        <w:rPr>
          <w:spacing w:val="-19"/>
        </w:rPr>
        <w:t>范围</w:t>
      </w:r>
    </w:p>
    <w:p>
      <w:pPr>
        <w:pStyle w:val="BodyText"/>
        <w:spacing w:before="168" w:line="461" w:lineRule="exact"/>
        <w:ind w:left="485"/>
      </w:pPr>
      <w:r>
        <w:rPr>
          <w:spacing w:val="-1"/>
          <w:position w:val="16"/>
        </w:rPr>
        <w:t>本文件界定了智慧健康食堂、建设基础设施、智慧化管理与服务、等级评定的术</w:t>
      </w:r>
    </w:p>
    <w:p>
      <w:pPr>
        <w:pStyle w:val="BodyText"/>
        <w:spacing w:line="223" w:lineRule="auto"/>
        <w:ind w:left="3"/>
      </w:pPr>
      <w:r>
        <w:rPr>
          <w:spacing w:val="-4"/>
        </w:rPr>
        <w:t>语和定义。</w:t>
      </w:r>
    </w:p>
    <w:p>
      <w:pPr>
        <w:pStyle w:val="BodyText"/>
        <w:spacing w:before="170" w:line="459" w:lineRule="exact"/>
        <w:ind w:left="485"/>
      </w:pPr>
      <w:r>
        <w:rPr>
          <w:spacing w:val="-1"/>
          <w:position w:val="16"/>
        </w:rPr>
        <w:t>本文件适用于食堂在智慧与健康方面进行新建、改建、扩建项目的规范指导。</w:t>
      </w:r>
    </w:p>
    <w:p>
      <w:pPr>
        <w:pStyle w:val="BodyText"/>
        <w:spacing w:line="220" w:lineRule="auto"/>
      </w:pPr>
      <w:r>
        <w:rPr>
          <w:spacing w:val="-3"/>
        </w:rPr>
        <w:t>2</w:t>
      </w:r>
      <w:r>
        <w:rPr>
          <w:spacing w:val="-3"/>
        </w:rPr>
        <w:t xml:space="preserve"> </w:t>
      </w:r>
      <w:r>
        <w:rPr>
          <w:spacing w:val="-3"/>
        </w:rPr>
        <w:t>规范性引用文件</w:t>
      </w:r>
    </w:p>
    <w:p>
      <w:pPr>
        <w:pStyle w:val="BodyText"/>
        <w:spacing w:before="173" w:line="354" w:lineRule="auto"/>
        <w:ind w:left="4" w:right="141" w:firstLine="511"/>
        <w:jc w:val="both"/>
      </w:pPr>
      <w:r>
        <w:rPr>
          <w:spacing w:val="7"/>
        </w:rPr>
        <w:t>文件中的内容通过文中的规范性引用而构成本文件必不可少的条款。其中注日</w:t>
      </w:r>
      <w:r>
        <w:rPr>
          <w:spacing w:val="8"/>
        </w:rPr>
        <w:t xml:space="preserve"> </w:t>
      </w:r>
      <w:r>
        <w:rPr>
          <w:spacing w:val="7"/>
        </w:rPr>
        <w:t>期的引用文件，仅该日期对应的版本适用于本文件；不注日期的引用文件，其最新</w:t>
      </w:r>
    </w:p>
    <w:p>
      <w:pPr>
        <w:pStyle w:val="BodyText"/>
        <w:spacing w:before="1" w:line="220" w:lineRule="auto"/>
      </w:pPr>
      <w:r>
        <w:rPr>
          <w:spacing w:val="5"/>
        </w:rPr>
        <w:t>版本（包括所有的修改单）适用于本文件。</w:t>
      </w:r>
    </w:p>
    <w:p>
      <w:pPr>
        <w:pStyle w:val="BodyText"/>
        <w:spacing w:before="173" w:line="461" w:lineRule="exact"/>
        <w:ind w:left="474"/>
      </w:pPr>
      <w:r>
        <w:rPr>
          <w:position w:val="16"/>
        </w:rPr>
        <w:t>GB/T</w:t>
      </w:r>
      <w:r>
        <w:rPr>
          <w:position w:val="16"/>
        </w:rPr>
        <w:t xml:space="preserve"> </w:t>
      </w:r>
      <w:r>
        <w:rPr>
          <w:position w:val="16"/>
        </w:rPr>
        <w:t>39725—2020</w:t>
      </w:r>
      <w:r>
        <w:rPr>
          <w:position w:val="16"/>
        </w:rPr>
        <w:t xml:space="preserve"> </w:t>
      </w:r>
      <w:r>
        <w:rPr>
          <w:position w:val="16"/>
        </w:rPr>
        <w:t>信息安全技术</w:t>
      </w:r>
      <w:r>
        <w:rPr>
          <w:position w:val="16"/>
        </w:rPr>
        <w:t xml:space="preserve"> </w:t>
      </w:r>
      <w:r>
        <w:rPr>
          <w:position w:val="16"/>
        </w:rPr>
        <w:t>健康医</w:t>
      </w:r>
      <w:r>
        <w:rPr>
          <w:spacing w:val="-1"/>
          <w:position w:val="16"/>
        </w:rPr>
        <w:t>疗数据安全指南</w:t>
      </w:r>
    </w:p>
    <w:p>
      <w:pPr>
        <w:pStyle w:val="BodyText"/>
        <w:spacing w:before="1" w:line="222" w:lineRule="auto"/>
        <w:ind w:left="1"/>
      </w:pPr>
      <w:r>
        <w:rPr>
          <w:spacing w:val="-6"/>
        </w:rPr>
        <w:t>3</w:t>
      </w:r>
      <w:r>
        <w:rPr>
          <w:spacing w:val="19"/>
        </w:rPr>
        <w:t xml:space="preserve"> </w:t>
      </w:r>
      <w:r>
        <w:rPr>
          <w:spacing w:val="-6"/>
        </w:rPr>
        <w:t>术语和定义</w:t>
      </w:r>
    </w:p>
    <w:p>
      <w:pPr>
        <w:pStyle w:val="BodyText"/>
        <w:spacing w:before="169" w:line="501" w:lineRule="exact"/>
        <w:ind w:left="489"/>
      </w:pPr>
      <w:r>
        <w:rPr>
          <w:spacing w:val="-2"/>
          <w:position w:val="19"/>
        </w:rPr>
        <w:t>下列术语和定义适用于本文件。</w:t>
      </w:r>
    </w:p>
    <w:p>
      <w:pPr>
        <w:pStyle w:val="BodyText"/>
        <w:spacing w:before="1" w:line="180" w:lineRule="auto"/>
        <w:ind w:left="1"/>
      </w:pPr>
      <w:r>
        <w:rPr>
          <w:spacing w:val="-6"/>
        </w:rPr>
        <w:t>3.1</w:t>
      </w:r>
    </w:p>
    <w:p>
      <w:pPr>
        <w:pStyle w:val="BodyText"/>
        <w:spacing w:before="186" w:line="215" w:lineRule="auto"/>
        <w:ind w:left="472"/>
      </w:pPr>
      <w:r>
        <w:rPr>
          <w:b/>
          <w:bCs/>
          <w:spacing w:val="-4"/>
        </w:rPr>
        <w:t>智慧健康食堂</w:t>
      </w:r>
      <w:r>
        <w:rPr>
          <w:spacing w:val="-4"/>
        </w:rPr>
        <w:t xml:space="preserve"> </w:t>
      </w:r>
      <w:r>
        <w:rPr>
          <w:b/>
          <w:bCs/>
          <w:spacing w:val="-4"/>
        </w:rPr>
        <w:t>smart</w:t>
      </w:r>
      <w:r>
        <w:rPr>
          <w:spacing w:val="-4"/>
        </w:rPr>
        <w:t xml:space="preserve"> </w:t>
      </w:r>
      <w:r>
        <w:rPr>
          <w:b/>
          <w:bCs/>
          <w:spacing w:val="-4"/>
        </w:rPr>
        <w:t>and</w:t>
      </w:r>
      <w:r>
        <w:rPr>
          <w:spacing w:val="-4"/>
        </w:rPr>
        <w:t xml:space="preserve"> </w:t>
      </w:r>
      <w:r>
        <w:rPr>
          <w:b/>
          <w:bCs/>
          <w:spacing w:val="-4"/>
        </w:rPr>
        <w:t>Hea</w:t>
      </w:r>
      <w:r>
        <w:rPr>
          <w:b/>
          <w:bCs/>
          <w:spacing w:val="-5"/>
        </w:rPr>
        <w:t>lthy</w:t>
      </w:r>
      <w:r>
        <w:rPr>
          <w:spacing w:val="-5"/>
        </w:rPr>
        <w:t xml:space="preserve"> </w:t>
      </w:r>
      <w:r>
        <w:rPr>
          <w:b/>
          <w:bCs/>
          <w:spacing w:val="-5"/>
        </w:rPr>
        <w:t>canteen</w:t>
      </w:r>
      <w:r>
        <w:rPr>
          <w:spacing w:val="-5"/>
        </w:rPr>
        <w:t xml:space="preserve"> </w:t>
      </w:r>
      <w:r>
        <w:rPr>
          <w:b/>
          <w:bCs/>
          <w:spacing w:val="-5"/>
        </w:rPr>
        <w:t>dining</w:t>
      </w:r>
      <w:r>
        <w:rPr>
          <w:spacing w:val="-5"/>
        </w:rPr>
        <w:t xml:space="preserve"> </w:t>
      </w:r>
      <w:r>
        <w:rPr>
          <w:b/>
          <w:bCs/>
          <w:spacing w:val="-5"/>
        </w:rPr>
        <w:t>hall</w:t>
      </w:r>
    </w:p>
    <w:p>
      <w:pPr>
        <w:pStyle w:val="BodyText"/>
        <w:spacing w:before="178" w:line="221" w:lineRule="auto"/>
        <w:ind w:left="486"/>
      </w:pPr>
      <w:r>
        <w:rPr>
          <w:spacing w:val="-1"/>
        </w:rPr>
        <w:t>运用云计算、大数据、物联网、移动互联等先进的科技手段和创新的管理模式，</w:t>
      </w:r>
    </w:p>
    <w:p>
      <w:pPr>
        <w:pStyle w:val="BodyText"/>
        <w:spacing w:before="174" w:line="461" w:lineRule="exact"/>
        <w:jc w:val="right"/>
      </w:pPr>
      <w:r>
        <w:rPr>
          <w:spacing w:val="-2"/>
          <w:position w:val="16"/>
        </w:rPr>
        <w:t>以提供健康、营养、安全的饮食服务为目标的食堂，其通过整合信</w:t>
      </w:r>
      <w:r>
        <w:rPr>
          <w:spacing w:val="-3"/>
          <w:position w:val="16"/>
        </w:rPr>
        <w:t>息技术、数据分析、</w:t>
      </w:r>
    </w:p>
    <w:p>
      <w:pPr>
        <w:pStyle w:val="BodyText"/>
        <w:spacing w:line="220" w:lineRule="auto"/>
        <w:ind w:left="4"/>
      </w:pPr>
      <w:r>
        <w:rPr>
          <w:spacing w:val="-1"/>
        </w:rPr>
        <w:t>智慧设备等，提供个性化的饮食方案和服务，以满足消费者的差异化需求。</w:t>
      </w:r>
    </w:p>
    <w:p>
      <w:pPr>
        <w:pStyle w:val="BodyText"/>
        <w:spacing w:before="214" w:line="180" w:lineRule="auto"/>
        <w:ind w:left="1"/>
      </w:pPr>
      <w:r>
        <w:rPr>
          <w:spacing w:val="-5"/>
        </w:rPr>
        <w:t>3.2</w:t>
      </w:r>
    </w:p>
    <w:p>
      <w:pPr>
        <w:pStyle w:val="BodyText"/>
        <w:spacing w:before="185" w:line="215" w:lineRule="auto"/>
        <w:ind w:left="479"/>
      </w:pPr>
      <w:r>
        <w:rPr>
          <w:b/>
          <w:bCs/>
          <w:spacing w:val="-3"/>
        </w:rPr>
        <w:t>建设基础设施</w:t>
      </w:r>
      <w:r>
        <w:rPr>
          <w:spacing w:val="-3"/>
        </w:rPr>
        <w:t xml:space="preserve"> </w:t>
      </w:r>
      <w:r>
        <w:rPr>
          <w:b/>
          <w:bCs/>
          <w:spacing w:val="-3"/>
        </w:rPr>
        <w:t>building</w:t>
      </w:r>
      <w:r>
        <w:rPr>
          <w:spacing w:val="-3"/>
        </w:rPr>
        <w:t xml:space="preserve"> </w:t>
      </w:r>
      <w:r>
        <w:rPr>
          <w:b/>
          <w:bCs/>
          <w:spacing w:val="-3"/>
        </w:rPr>
        <w:t>infrastructure</w:t>
      </w:r>
    </w:p>
    <w:p>
      <w:pPr>
        <w:pStyle w:val="BodyText"/>
        <w:spacing w:before="181" w:line="221" w:lineRule="auto"/>
        <w:ind w:left="485"/>
        <w:sectPr>
          <w:footerReference w:type="default" r:id="rId5"/>
          <w:pgSz w:w="11905" w:h="16839"/>
          <w:pgMar w:top="1003" w:right="1376" w:bottom="674" w:left="1463" w:header="0" w:footer="505" w:gutter="0"/>
          <w:cols w:space="708"/>
        </w:sectPr>
      </w:pPr>
      <w:r>
        <w:rPr>
          <w:spacing w:val="-2"/>
        </w:rPr>
        <w:t>体现智慧功能的硬件设施总称。</w:t>
      </w:r>
    </w:p>
    <w:p>
      <w:pPr>
        <w:pStyle w:val="BodyText"/>
        <w:spacing w:before="171" w:line="503" w:lineRule="exact"/>
        <w:ind w:left="491"/>
      </w:pPr>
      <w:r>
        <w:rPr>
          <w:spacing w:val="-1"/>
          <w:position w:val="20"/>
        </w:rPr>
        <w:t>注：包括前厅与后厨两部分，后厨分为加工与进存两类。</w:t>
      </w:r>
    </w:p>
    <w:p>
      <w:pPr>
        <w:pStyle w:val="BodyText"/>
        <w:spacing w:line="180" w:lineRule="auto"/>
        <w:ind w:left="1"/>
      </w:pPr>
      <w:r>
        <w:rPr>
          <w:spacing w:val="-5"/>
        </w:rPr>
        <w:t>3.3</w:t>
      </w:r>
    </w:p>
    <w:p>
      <w:pPr>
        <w:pStyle w:val="BodyText"/>
        <w:spacing w:before="185" w:line="215" w:lineRule="auto"/>
        <w:ind w:left="479"/>
      </w:pPr>
      <w:r>
        <w:rPr>
          <w:b/>
          <w:bCs/>
          <w:spacing w:val="-3"/>
        </w:rPr>
        <w:t>智慧化管理与服务</w:t>
      </w:r>
      <w:r>
        <w:rPr>
          <w:spacing w:val="-3"/>
        </w:rPr>
        <w:t xml:space="preserve"> </w:t>
      </w:r>
      <w:r>
        <w:rPr>
          <w:b/>
          <w:bCs/>
          <w:spacing w:val="-3"/>
        </w:rPr>
        <w:t>intelligent</w:t>
      </w:r>
      <w:r>
        <w:rPr>
          <w:spacing w:val="-3"/>
        </w:rPr>
        <w:t xml:space="preserve"> </w:t>
      </w:r>
      <w:r>
        <w:rPr>
          <w:b/>
          <w:bCs/>
          <w:spacing w:val="-3"/>
        </w:rPr>
        <w:t>management</w:t>
      </w:r>
      <w:r>
        <w:rPr>
          <w:spacing w:val="-3"/>
        </w:rPr>
        <w:t xml:space="preserve"> </w:t>
      </w:r>
      <w:r>
        <w:rPr>
          <w:b/>
          <w:bCs/>
          <w:spacing w:val="-3"/>
        </w:rPr>
        <w:t>and</w:t>
      </w:r>
      <w:r>
        <w:rPr>
          <w:spacing w:val="-3"/>
        </w:rPr>
        <w:t xml:space="preserve"> </w:t>
      </w:r>
      <w:r>
        <w:rPr>
          <w:b/>
          <w:bCs/>
          <w:spacing w:val="-3"/>
        </w:rPr>
        <w:t>services</w:t>
      </w:r>
    </w:p>
    <w:p>
      <w:pPr>
        <w:pStyle w:val="BodyText"/>
        <w:spacing w:before="179" w:line="221" w:lineRule="auto"/>
        <w:ind w:left="489"/>
      </w:pPr>
      <w:r>
        <w:rPr>
          <w:spacing w:val="-1"/>
        </w:rPr>
        <w:t>实现智慧功能的信息化管理软件与智能化服务的总称。</w:t>
      </w:r>
    </w:p>
    <w:p>
      <w:pPr>
        <w:pStyle w:val="BodyText"/>
        <w:spacing w:before="173" w:line="461" w:lineRule="exact"/>
        <w:ind w:left="491"/>
      </w:pPr>
      <w:r>
        <w:rPr>
          <w:spacing w:val="-1"/>
          <w:position w:val="16"/>
        </w:rPr>
        <w:t>注：包括智慧食安、智慧运营、个性化营养健康、个性化消费与供餐服务、智慧</w:t>
      </w:r>
    </w:p>
    <w:p>
      <w:pPr>
        <w:pStyle w:val="BodyText"/>
        <w:spacing w:before="1" w:line="221" w:lineRule="auto"/>
        <w:ind w:left="3"/>
      </w:pPr>
      <w:r>
        <w:rPr>
          <w:spacing w:val="-2"/>
        </w:rPr>
        <w:t>健康宣传和前厅智慧环境六部分。</w:t>
      </w:r>
    </w:p>
    <w:p>
      <w:pPr>
        <w:pStyle w:val="BodyText"/>
        <w:spacing w:before="212" w:line="180" w:lineRule="auto"/>
        <w:ind w:left="1"/>
      </w:pPr>
      <w:r>
        <w:rPr>
          <w:spacing w:val="-5"/>
        </w:rPr>
        <w:t>3.4</w:t>
      </w:r>
    </w:p>
    <w:p>
      <w:pPr>
        <w:spacing w:line="180" w:lineRule="auto"/>
        <w:sectPr>
          <w:footerReference w:type="default" r:id="rId6"/>
          <w:type w:val="nextPage"/>
          <w:pgSz w:w="11905" w:h="16839"/>
          <w:pgMar w:top="1003" w:right="1376" w:bottom="674" w:left="1463" w:header="0" w:footer="505" w:gutter="0"/>
          <w:pgNumType w:start="2"/>
          <w:cols w:space="708"/>
          <w:titlePg w:val="0"/>
        </w:sectPr>
      </w:pPr>
    </w:p>
    <w:p>
      <w:pPr>
        <w:pStyle w:val="BodyText"/>
        <w:spacing w:before="49" w:line="215" w:lineRule="auto"/>
        <w:ind w:left="477"/>
      </w:pPr>
      <w:r>
        <w:rPr>
          <w:b/>
          <w:bCs/>
          <w:spacing w:val="-3"/>
        </w:rPr>
        <w:t>智慧化食品安全管理</w:t>
      </w:r>
      <w:r>
        <w:rPr>
          <w:spacing w:val="-3"/>
        </w:rPr>
        <w:t xml:space="preserve"> </w:t>
      </w:r>
      <w:r>
        <w:rPr>
          <w:b/>
          <w:bCs/>
          <w:spacing w:val="-3"/>
        </w:rPr>
        <w:t>intelligent</w:t>
      </w:r>
      <w:r>
        <w:rPr>
          <w:spacing w:val="-3"/>
        </w:rPr>
        <w:t xml:space="preserve"> </w:t>
      </w:r>
      <w:r>
        <w:rPr>
          <w:b/>
          <w:bCs/>
          <w:spacing w:val="-3"/>
        </w:rPr>
        <w:t>food</w:t>
      </w:r>
      <w:r>
        <w:rPr>
          <w:spacing w:val="-3"/>
        </w:rPr>
        <w:t xml:space="preserve"> </w:t>
      </w:r>
      <w:r>
        <w:rPr>
          <w:b/>
          <w:bCs/>
          <w:spacing w:val="-3"/>
        </w:rPr>
        <w:t>safety</w:t>
      </w:r>
      <w:r>
        <w:rPr>
          <w:spacing w:val="6"/>
        </w:rPr>
        <w:t xml:space="preserve"> </w:t>
      </w:r>
      <w:r>
        <w:rPr>
          <w:b/>
          <w:bCs/>
          <w:spacing w:val="-3"/>
        </w:rPr>
        <w:t>management</w:t>
      </w:r>
    </w:p>
    <w:p>
      <w:pPr>
        <w:pStyle w:val="BodyText"/>
        <w:spacing w:before="181" w:line="458" w:lineRule="exact"/>
        <w:ind w:left="487"/>
      </w:pPr>
      <w:r>
        <w:rPr>
          <w:spacing w:val="-1"/>
          <w:position w:val="16"/>
        </w:rPr>
        <w:t>通过数字赋能，建设“数字食安</w:t>
      </w:r>
      <w:r>
        <w:rPr>
          <w:spacing w:val="-86"/>
          <w:position w:val="16"/>
        </w:rPr>
        <w:t xml:space="preserve"> </w:t>
      </w:r>
      <w:r>
        <w:rPr>
          <w:spacing w:val="-1"/>
          <w:position w:val="16"/>
        </w:rPr>
        <w:t>”生态圈，以数字化为核心，建成源头可溯、全</w:t>
      </w:r>
    </w:p>
    <w:p>
      <w:pPr>
        <w:pStyle w:val="BodyText"/>
        <w:spacing w:line="221" w:lineRule="auto"/>
        <w:ind w:left="4"/>
      </w:pPr>
      <w:r>
        <w:rPr>
          <w:spacing w:val="-1"/>
        </w:rPr>
        <w:t>程可控、风险可防、闭环管理的全链条食品安全治理体系。</w:t>
      </w:r>
    </w:p>
    <w:p>
      <w:pPr>
        <w:pStyle w:val="BodyText"/>
        <w:spacing w:before="214" w:line="180" w:lineRule="auto"/>
      </w:pPr>
      <w:r>
        <w:rPr>
          <w:spacing w:val="-5"/>
        </w:rPr>
        <w:t>3.5</w:t>
      </w:r>
    </w:p>
    <w:p>
      <w:pPr>
        <w:pStyle w:val="BodyText"/>
        <w:spacing w:before="185" w:line="215" w:lineRule="auto"/>
        <w:ind w:left="477"/>
      </w:pPr>
      <w:r>
        <w:rPr>
          <w:b/>
          <w:bCs/>
          <w:spacing w:val="-3"/>
        </w:rPr>
        <w:t>智慧运营管理</w:t>
      </w:r>
      <w:r>
        <w:rPr>
          <w:spacing w:val="-3"/>
        </w:rPr>
        <w:t xml:space="preserve"> </w:t>
      </w:r>
      <w:r>
        <w:rPr>
          <w:b/>
          <w:bCs/>
          <w:spacing w:val="-3"/>
        </w:rPr>
        <w:t>intelligent</w:t>
      </w:r>
      <w:r>
        <w:rPr>
          <w:spacing w:val="-3"/>
        </w:rPr>
        <w:t xml:space="preserve"> </w:t>
      </w:r>
      <w:r>
        <w:rPr>
          <w:b/>
          <w:bCs/>
          <w:spacing w:val="-3"/>
        </w:rPr>
        <w:t>operations</w:t>
      </w:r>
      <w:r>
        <w:rPr>
          <w:spacing w:val="-3"/>
        </w:rPr>
        <w:t xml:space="preserve"> </w:t>
      </w:r>
      <w:r>
        <w:rPr>
          <w:b/>
          <w:bCs/>
          <w:spacing w:val="-3"/>
        </w:rPr>
        <w:t>management</w:t>
      </w:r>
    </w:p>
    <w:p>
      <w:pPr>
        <w:pStyle w:val="BodyText"/>
        <w:spacing w:before="180" w:line="354" w:lineRule="auto"/>
        <w:ind w:left="11" w:right="232" w:firstLine="465"/>
        <w:jc w:val="both"/>
      </w:pPr>
      <w:r>
        <w:rPr>
          <w:spacing w:val="-1"/>
        </w:rPr>
        <w:t>利用大数据、云计算、物联网等信息技术手段</w:t>
      </w:r>
      <w:r>
        <w:rPr>
          <w:spacing w:val="-2"/>
        </w:rPr>
        <w:t>，通过智能化系统，进行全面的数</w:t>
      </w:r>
      <w:r>
        <w:t xml:space="preserve"> </w:t>
      </w:r>
      <w:r>
        <w:rPr>
          <w:spacing w:val="-3"/>
        </w:rPr>
        <w:t>字化、</w:t>
      </w:r>
      <w:r>
        <w:rPr>
          <w:spacing w:val="-59"/>
        </w:rPr>
        <w:t xml:space="preserve"> </w:t>
      </w:r>
      <w:r>
        <w:rPr>
          <w:spacing w:val="-3"/>
        </w:rPr>
        <w:t>自动化和智能化运营管理，涵盖了数据采集、传</w:t>
      </w:r>
      <w:r>
        <w:rPr>
          <w:spacing w:val="-4"/>
        </w:rPr>
        <w:t>输、存储、数据分析、模型建</w:t>
      </w:r>
    </w:p>
    <w:p>
      <w:pPr>
        <w:pStyle w:val="BodyText"/>
        <w:spacing w:line="222" w:lineRule="auto"/>
        <w:ind w:left="8"/>
      </w:pPr>
      <w:r>
        <w:rPr>
          <w:spacing w:val="-3"/>
        </w:rPr>
        <w:t>立和决策支持的全过程。</w:t>
      </w:r>
    </w:p>
    <w:p>
      <w:pPr>
        <w:pStyle w:val="BodyText"/>
        <w:spacing w:before="211" w:line="180" w:lineRule="auto"/>
      </w:pPr>
      <w:r>
        <w:rPr>
          <w:spacing w:val="-5"/>
        </w:rPr>
        <w:t>3.6</w:t>
      </w:r>
    </w:p>
    <w:p>
      <w:pPr>
        <w:pStyle w:val="BodyText"/>
        <w:spacing w:before="185" w:line="215" w:lineRule="auto"/>
        <w:ind w:left="477"/>
      </w:pPr>
      <w:r>
        <w:rPr>
          <w:b/>
          <w:bCs/>
          <w:spacing w:val="-3"/>
        </w:rPr>
        <w:t>智慧健康管理云平台</w:t>
      </w:r>
      <w:r>
        <w:rPr>
          <w:spacing w:val="-3"/>
        </w:rPr>
        <w:t xml:space="preserve"> </w:t>
      </w:r>
      <w:r>
        <w:rPr>
          <w:b/>
          <w:bCs/>
          <w:spacing w:val="-3"/>
        </w:rPr>
        <w:t>intelligent</w:t>
      </w:r>
      <w:r>
        <w:rPr>
          <w:spacing w:val="-3"/>
        </w:rPr>
        <w:t xml:space="preserve"> </w:t>
      </w:r>
      <w:r>
        <w:rPr>
          <w:b/>
          <w:bCs/>
          <w:spacing w:val="-3"/>
        </w:rPr>
        <w:t>health</w:t>
      </w:r>
      <w:r>
        <w:rPr>
          <w:spacing w:val="-3"/>
        </w:rPr>
        <w:t xml:space="preserve"> </w:t>
      </w:r>
      <w:r>
        <w:rPr>
          <w:b/>
          <w:bCs/>
          <w:spacing w:val="-3"/>
        </w:rPr>
        <w:t>management</w:t>
      </w:r>
      <w:r>
        <w:rPr>
          <w:spacing w:val="-3"/>
        </w:rPr>
        <w:t xml:space="preserve"> </w:t>
      </w:r>
      <w:r>
        <w:rPr>
          <w:b/>
          <w:bCs/>
          <w:spacing w:val="-3"/>
        </w:rPr>
        <w:t>cloud</w:t>
      </w:r>
      <w:r>
        <w:rPr>
          <w:spacing w:val="-3"/>
        </w:rPr>
        <w:t xml:space="preserve"> </w:t>
      </w:r>
      <w:r>
        <w:rPr>
          <w:b/>
          <w:bCs/>
          <w:spacing w:val="-3"/>
        </w:rPr>
        <w:t>platform</w:t>
      </w:r>
    </w:p>
    <w:p>
      <w:pPr>
        <w:pStyle w:val="BodyText"/>
        <w:spacing w:before="182" w:line="500" w:lineRule="exact"/>
        <w:ind w:left="487"/>
      </w:pPr>
      <w:r>
        <w:rPr>
          <w:spacing w:val="-1"/>
          <w:position w:val="19"/>
        </w:rPr>
        <w:t>通过用户健康管理APP/小程序/H5等进行搭建的应用程序。</w:t>
      </w:r>
    </w:p>
    <w:p>
      <w:pPr>
        <w:pStyle w:val="BodyText"/>
        <w:spacing w:line="180" w:lineRule="auto"/>
      </w:pPr>
      <w:r>
        <w:rPr>
          <w:spacing w:val="-5"/>
        </w:rPr>
        <w:t>3.7</w:t>
      </w:r>
    </w:p>
    <w:p>
      <w:pPr>
        <w:pStyle w:val="BodyText"/>
        <w:spacing w:before="185" w:line="221" w:lineRule="auto"/>
        <w:ind w:left="489"/>
      </w:pPr>
      <w:r>
        <w:rPr>
          <w:b/>
          <w:bCs/>
          <w:spacing w:val="-5"/>
        </w:rPr>
        <w:t>营养标识</w:t>
      </w:r>
      <w:r>
        <w:rPr>
          <w:spacing w:val="-5"/>
        </w:rPr>
        <w:t xml:space="preserve"> </w:t>
      </w:r>
      <w:r>
        <w:rPr>
          <w:b/>
          <w:bCs/>
          <w:spacing w:val="-5"/>
        </w:rPr>
        <w:t>nutrition</w:t>
      </w:r>
      <w:r>
        <w:rPr>
          <w:spacing w:val="-5"/>
        </w:rPr>
        <w:t xml:space="preserve"> </w:t>
      </w:r>
      <w:r>
        <w:rPr>
          <w:b/>
          <w:bCs/>
          <w:spacing w:val="-5"/>
        </w:rPr>
        <w:t>label</w:t>
      </w:r>
    </w:p>
    <w:p>
      <w:pPr>
        <w:pStyle w:val="BodyText"/>
        <w:spacing w:before="173" w:line="221" w:lineRule="auto"/>
        <w:ind w:left="484"/>
      </w:pPr>
      <w:r>
        <w:rPr>
          <w:spacing w:val="-2"/>
        </w:rPr>
        <w:t>提供食品营养成分和营养信息的标识。</w:t>
      </w:r>
    </w:p>
    <w:p>
      <w:pPr>
        <w:pStyle w:val="BodyText"/>
        <w:spacing w:before="171" w:line="461" w:lineRule="exact"/>
        <w:ind w:left="489"/>
      </w:pPr>
      <w:r>
        <w:rPr>
          <w:position w:val="16"/>
        </w:rPr>
        <w:t>注：包括但不限于食品中能量、蛋白质、脂肪、碳水化合物、</w:t>
      </w:r>
      <w:r>
        <w:rPr>
          <w:spacing w:val="-1"/>
          <w:position w:val="16"/>
        </w:rPr>
        <w:t>纤维、维生素、矿</w:t>
      </w:r>
    </w:p>
    <w:p>
      <w:pPr>
        <w:pStyle w:val="BodyText"/>
        <w:spacing w:before="1" w:line="220" w:lineRule="auto"/>
        <w:ind w:left="3"/>
      </w:pPr>
      <w:r>
        <w:rPr>
          <w:spacing w:val="-2"/>
        </w:rPr>
        <w:t>物质等营养成分的信息。</w:t>
      </w:r>
    </w:p>
    <w:p>
      <w:pPr>
        <w:pStyle w:val="BodyText"/>
        <w:spacing w:before="216" w:line="180" w:lineRule="auto"/>
      </w:pPr>
      <w:r>
        <w:rPr>
          <w:spacing w:val="-5"/>
        </w:rPr>
        <w:t>3.8</w:t>
      </w:r>
    </w:p>
    <w:p>
      <w:pPr>
        <w:pStyle w:val="BodyText"/>
        <w:spacing w:before="183" w:line="215" w:lineRule="auto"/>
        <w:ind w:left="481"/>
      </w:pPr>
      <w:r>
        <w:rPr>
          <w:b/>
          <w:bCs/>
          <w:spacing w:val="-4"/>
        </w:rPr>
        <w:t>健康营养食谱</w:t>
      </w:r>
      <w:r>
        <w:rPr>
          <w:spacing w:val="-4"/>
        </w:rPr>
        <w:t xml:space="preserve"> </w:t>
      </w:r>
      <w:r>
        <w:rPr>
          <w:b/>
          <w:bCs/>
          <w:spacing w:val="-4"/>
        </w:rPr>
        <w:t>healthy</w:t>
      </w:r>
      <w:r>
        <w:rPr>
          <w:spacing w:val="-4"/>
        </w:rPr>
        <w:t xml:space="preserve"> </w:t>
      </w:r>
      <w:r>
        <w:rPr>
          <w:b/>
          <w:bCs/>
          <w:spacing w:val="-4"/>
        </w:rPr>
        <w:t>and</w:t>
      </w:r>
      <w:r>
        <w:rPr>
          <w:spacing w:val="-4"/>
        </w:rPr>
        <w:t xml:space="preserve"> </w:t>
      </w:r>
      <w:r>
        <w:rPr>
          <w:b/>
          <w:bCs/>
          <w:spacing w:val="-4"/>
        </w:rPr>
        <w:t>nutrition</w:t>
      </w:r>
      <w:r>
        <w:rPr>
          <w:spacing w:val="-4"/>
        </w:rPr>
        <w:t xml:space="preserve"> </w:t>
      </w:r>
      <w:r>
        <w:rPr>
          <w:b/>
          <w:bCs/>
          <w:spacing w:val="-4"/>
        </w:rPr>
        <w:t>r</w:t>
      </w:r>
      <w:r>
        <w:rPr>
          <w:b/>
          <w:bCs/>
          <w:spacing w:val="-5"/>
        </w:rPr>
        <w:t>ecipes</w:t>
      </w:r>
    </w:p>
    <w:p>
      <w:pPr>
        <w:pStyle w:val="BodyText"/>
        <w:spacing w:before="179" w:line="354" w:lineRule="auto"/>
        <w:ind w:left="6" w:right="196" w:firstLine="480"/>
        <w:jc w:val="both"/>
      </w:pPr>
      <w:r>
        <w:rPr>
          <w:spacing w:val="-1"/>
        </w:rPr>
        <w:t>通过合理搭配食物和菜品，综合考虑人体健康和正常功能的营养需求、食物营养</w:t>
      </w:r>
      <w:r>
        <w:rPr>
          <w:spacing w:val="13"/>
        </w:rPr>
        <w:t xml:space="preserve"> </w:t>
      </w:r>
      <w:r>
        <w:rPr>
          <w:spacing w:val="-1"/>
        </w:rPr>
        <w:t>成分、烹饪方式和个体特殊情况，由营养学专家、医生或健康机构根据科学研究、营</w:t>
      </w:r>
    </w:p>
    <w:p>
      <w:pPr>
        <w:pStyle w:val="BodyText"/>
        <w:spacing w:before="2" w:line="220" w:lineRule="auto"/>
        <w:ind w:left="2"/>
      </w:pPr>
      <w:r>
        <w:rPr>
          <w:spacing w:val="-1"/>
        </w:rPr>
        <w:t>养指南和个体需求制定的食物组合和食用方法。</w:t>
      </w:r>
    </w:p>
    <w:p>
      <w:pPr>
        <w:pStyle w:val="BodyText"/>
        <w:spacing w:before="215" w:line="180" w:lineRule="auto"/>
      </w:pPr>
      <w:r>
        <w:rPr>
          <w:spacing w:val="-5"/>
        </w:rPr>
        <w:t>3.9</w:t>
      </w:r>
    </w:p>
    <w:p>
      <w:pPr>
        <w:pStyle w:val="BodyText"/>
        <w:spacing w:before="185" w:line="215" w:lineRule="auto"/>
        <w:ind w:left="481"/>
      </w:pPr>
      <w:r>
        <w:rPr>
          <w:b/>
          <w:bCs/>
          <w:spacing w:val="-3"/>
        </w:rPr>
        <w:t>健康指导</w:t>
      </w:r>
      <w:r>
        <w:rPr>
          <w:spacing w:val="-3"/>
        </w:rPr>
        <w:t xml:space="preserve"> </w:t>
      </w:r>
      <w:r>
        <w:rPr>
          <w:b/>
          <w:bCs/>
          <w:spacing w:val="-3"/>
        </w:rPr>
        <w:t>health</w:t>
      </w:r>
      <w:r>
        <w:rPr>
          <w:spacing w:val="-3"/>
        </w:rPr>
        <w:t xml:space="preserve"> </w:t>
      </w:r>
      <w:r>
        <w:rPr>
          <w:b/>
          <w:bCs/>
          <w:spacing w:val="-3"/>
        </w:rPr>
        <w:t>guidance</w:t>
      </w:r>
    </w:p>
    <w:p>
      <w:pPr>
        <w:pStyle w:val="BodyText"/>
        <w:spacing w:before="179" w:line="461" w:lineRule="exact"/>
        <w:jc w:val="right"/>
      </w:pPr>
      <w:r>
        <w:rPr>
          <w:spacing w:val="-2"/>
          <w:position w:val="16"/>
        </w:rPr>
        <w:t>通过提供专业的建议、信息和支持，帮助个人获得健康饮食方式、改善健康状况、</w:t>
      </w:r>
    </w:p>
    <w:p>
      <w:pPr>
        <w:pStyle w:val="BodyText"/>
        <w:spacing w:before="1" w:line="221" w:lineRule="auto"/>
        <w:ind w:left="4"/>
      </w:pPr>
      <w:r>
        <w:rPr>
          <w:spacing w:val="-1"/>
        </w:rPr>
        <w:t>预防疾病和提高生活质量、实现和维持个人身体和心理健康的过程。</w:t>
      </w:r>
    </w:p>
    <w:p>
      <w:pPr>
        <w:pStyle w:val="BodyText"/>
        <w:spacing w:before="213" w:line="181" w:lineRule="auto"/>
      </w:pPr>
      <w:r>
        <w:rPr>
          <w:spacing w:val="-4"/>
        </w:rPr>
        <w:t>3.10</w:t>
      </w:r>
    </w:p>
    <w:p>
      <w:pPr>
        <w:pStyle w:val="BodyText"/>
        <w:spacing w:before="183" w:line="215" w:lineRule="auto"/>
        <w:ind w:left="481"/>
      </w:pPr>
      <w:r>
        <w:rPr>
          <w:b/>
          <w:bCs/>
          <w:spacing w:val="-3"/>
        </w:rPr>
        <w:t>健康管理</w:t>
      </w:r>
      <w:r>
        <w:rPr>
          <w:spacing w:val="-3"/>
        </w:rPr>
        <w:t xml:space="preserve"> </w:t>
      </w:r>
      <w:r>
        <w:rPr>
          <w:b/>
          <w:bCs/>
          <w:spacing w:val="-3"/>
        </w:rPr>
        <w:t>health—management</w:t>
      </w:r>
    </w:p>
    <w:p>
      <w:pPr>
        <w:pStyle w:val="BodyText"/>
        <w:spacing w:before="180" w:line="354" w:lineRule="auto"/>
        <w:ind w:left="2" w:right="196" w:firstLine="504"/>
        <w:jc w:val="both"/>
        <w:sectPr>
          <w:footerReference w:type="default" r:id="rId7"/>
          <w:pgSz w:w="11905" w:h="16839"/>
          <w:pgMar w:top="969" w:right="1376" w:bottom="674" w:left="1465" w:header="0" w:footer="505" w:gutter="0"/>
          <w:pgNumType w:start="3"/>
          <w:cols w:space="708"/>
        </w:sectPr>
      </w:pPr>
      <w:r>
        <w:rPr>
          <w:spacing w:val="-1"/>
        </w:rPr>
        <w:t>以现代健康概念（生理、心理和社会适应能力）和新的医学模式</w:t>
      </w:r>
      <w:r>
        <w:rPr>
          <w:spacing w:val="-2"/>
        </w:rPr>
        <w:t>（生理—心理—</w:t>
      </w:r>
      <w:r>
        <w:t xml:space="preserve"> </w:t>
      </w:r>
      <w:r>
        <w:t>社会）以及中医治未病指导，通过采用现代医</w:t>
      </w:r>
      <w:r>
        <w:rPr>
          <w:spacing w:val="-1"/>
        </w:rPr>
        <w:t>学和现代管理学的理论、技术、方法和</w:t>
      </w:r>
      <w:r>
        <w:t xml:space="preserve"> </w:t>
      </w:r>
      <w:r>
        <w:t>手段，对个体或群体整体健康状况及其影响健</w:t>
      </w:r>
      <w:r>
        <w:rPr>
          <w:spacing w:val="-1"/>
        </w:rPr>
        <w:t>康的危险因素进行全面检测、评估、有</w:t>
      </w:r>
    </w:p>
    <w:p>
      <w:pPr>
        <w:pStyle w:val="BodyText"/>
        <w:spacing w:before="1" w:line="220" w:lineRule="auto"/>
        <w:ind w:left="6"/>
      </w:pPr>
      <w:r>
        <w:rPr>
          <w:spacing w:val="-2"/>
        </w:rPr>
        <w:t>效干预与连续跟踪服务的医学行为及过程。</w:t>
      </w:r>
    </w:p>
    <w:p>
      <w:pPr>
        <w:pStyle w:val="BodyText"/>
        <w:spacing w:before="214" w:line="181" w:lineRule="auto"/>
      </w:pPr>
      <w:r>
        <w:rPr>
          <w:spacing w:val="-4"/>
        </w:rPr>
        <w:t>3.11</w:t>
      </w:r>
    </w:p>
    <w:p>
      <w:pPr>
        <w:pStyle w:val="BodyText"/>
        <w:spacing w:before="183" w:line="221" w:lineRule="auto"/>
        <w:ind w:left="489"/>
      </w:pPr>
      <w:r>
        <w:rPr>
          <w:b/>
          <w:bCs/>
          <w:spacing w:val="-2"/>
        </w:rPr>
        <w:t>营养健康教育</w:t>
      </w:r>
      <w:r>
        <w:rPr>
          <w:spacing w:val="-2"/>
        </w:rPr>
        <w:t xml:space="preserve"> </w:t>
      </w:r>
      <w:r>
        <w:rPr>
          <w:b/>
          <w:bCs/>
          <w:spacing w:val="-2"/>
        </w:rPr>
        <w:t>health</w:t>
      </w:r>
      <w:r>
        <w:rPr>
          <w:spacing w:val="-2"/>
        </w:rPr>
        <w:t xml:space="preserve"> </w:t>
      </w:r>
      <w:r>
        <w:rPr>
          <w:b/>
          <w:bCs/>
          <w:spacing w:val="-2"/>
        </w:rPr>
        <w:t>nutrition</w:t>
      </w:r>
      <w:r>
        <w:rPr>
          <w:spacing w:val="-2"/>
        </w:rPr>
        <w:t xml:space="preserve"> </w:t>
      </w:r>
      <w:r>
        <w:rPr>
          <w:b/>
          <w:bCs/>
          <w:spacing w:val="-2"/>
        </w:rPr>
        <w:t>educ</w:t>
      </w:r>
      <w:r>
        <w:rPr>
          <w:b/>
          <w:bCs/>
          <w:spacing w:val="-3"/>
        </w:rPr>
        <w:t>ation</w:t>
      </w:r>
    </w:p>
    <w:p>
      <w:pPr>
        <w:spacing w:line="221" w:lineRule="auto"/>
        <w:sectPr>
          <w:footerReference w:type="default" r:id="rId8"/>
          <w:type w:val="nextPage"/>
          <w:pgSz w:w="11905" w:h="16839"/>
          <w:pgMar w:top="969" w:right="1376" w:bottom="674" w:left="1465" w:header="0" w:footer="505" w:gutter="0"/>
          <w:pgNumType w:start="4"/>
          <w:cols w:space="708"/>
          <w:titlePg w:val="0"/>
        </w:sectPr>
      </w:pPr>
    </w:p>
    <w:p>
      <w:pPr>
        <w:pStyle w:val="BodyText"/>
        <w:spacing w:before="48" w:line="354" w:lineRule="auto"/>
        <w:ind w:left="17" w:right="203" w:firstLine="469"/>
      </w:pPr>
      <w:r>
        <w:rPr>
          <w:spacing w:val="-1"/>
        </w:rPr>
        <w:t>针对个体或群体所面临的具体营养健康问题，通过普及营养与健康知识，采用信</w:t>
      </w:r>
      <w:r>
        <w:rPr>
          <w:spacing w:val="18"/>
        </w:rPr>
        <w:t xml:space="preserve"> </w:t>
      </w:r>
      <w:r>
        <w:rPr>
          <w:spacing w:val="-1"/>
        </w:rPr>
        <w:t>息传播、教育、行为干预等方法，帮助个体或群体树立营养健康观念，提高营养健康</w:t>
      </w:r>
      <w:r>
        <w:rPr>
          <w:spacing w:val="10"/>
        </w:rPr>
        <w:t xml:space="preserve"> </w:t>
      </w:r>
      <w:r>
        <w:rPr>
          <w:spacing w:val="-1"/>
        </w:rPr>
        <w:t>意识，掌握营养健康知识与技能，改变与营养有关的不健康的饮食行为和生活方式，</w:t>
      </w:r>
    </w:p>
    <w:p>
      <w:pPr>
        <w:pStyle w:val="BodyText"/>
        <w:spacing w:before="1" w:line="220" w:lineRule="auto"/>
        <w:ind w:left="11"/>
      </w:pPr>
      <w:r>
        <w:rPr>
          <w:spacing w:val="-1"/>
        </w:rPr>
        <w:t>达到改善其营养与健康状况、预防营养相关疾病目的而开展的一系列活动及过程。</w:t>
      </w:r>
    </w:p>
    <w:p>
      <w:pPr>
        <w:pStyle w:val="BodyText"/>
        <w:spacing w:before="214" w:line="181" w:lineRule="auto"/>
        <w:ind w:left="5"/>
      </w:pPr>
      <w:r>
        <w:rPr>
          <w:spacing w:val="-4"/>
        </w:rPr>
        <w:t>3.12</w:t>
      </w:r>
    </w:p>
    <w:p>
      <w:pPr>
        <w:pStyle w:val="BodyText"/>
        <w:spacing w:before="182" w:line="216" w:lineRule="auto"/>
        <w:ind w:left="489"/>
      </w:pPr>
      <w:r>
        <w:rPr>
          <w:b/>
          <w:bCs/>
          <w:spacing w:val="-2"/>
        </w:rPr>
        <w:t>个人健康画像</w:t>
      </w:r>
      <w:r>
        <w:rPr>
          <w:spacing w:val="-2"/>
        </w:rPr>
        <w:t xml:space="preserve"> </w:t>
      </w:r>
      <w:r>
        <w:rPr>
          <w:b/>
          <w:bCs/>
          <w:spacing w:val="-2"/>
        </w:rPr>
        <w:t>personal</w:t>
      </w:r>
      <w:r>
        <w:rPr>
          <w:spacing w:val="-2"/>
        </w:rPr>
        <w:t xml:space="preserve"> </w:t>
      </w:r>
      <w:r>
        <w:rPr>
          <w:b/>
          <w:bCs/>
          <w:spacing w:val="-2"/>
        </w:rPr>
        <w:t>health</w:t>
      </w:r>
      <w:r>
        <w:rPr>
          <w:spacing w:val="-2"/>
        </w:rPr>
        <w:t xml:space="preserve"> </w:t>
      </w:r>
      <w:r>
        <w:rPr>
          <w:b/>
          <w:bCs/>
          <w:spacing w:val="-2"/>
        </w:rPr>
        <w:t>portrait</w:t>
      </w:r>
    </w:p>
    <w:p>
      <w:pPr>
        <w:pStyle w:val="BodyText"/>
        <w:spacing w:before="180" w:line="461" w:lineRule="exact"/>
        <w:ind w:left="493"/>
      </w:pPr>
      <w:r>
        <w:rPr>
          <w:spacing w:val="-1"/>
          <w:position w:val="16"/>
        </w:rPr>
        <w:t>通过收集和处理用户个人基本信息（性别、年龄、BMI、基础代谢等）、医疗相关</w:t>
      </w:r>
    </w:p>
    <w:p>
      <w:pPr>
        <w:pStyle w:val="BodyText"/>
        <w:spacing w:line="221" w:lineRule="auto"/>
        <w:jc w:val="right"/>
      </w:pPr>
      <w:r>
        <w:rPr>
          <w:spacing w:val="-1"/>
        </w:rPr>
        <w:t>数据（现病史、过敏史、疾病风险等）信息，以相</w:t>
      </w:r>
      <w:r>
        <w:rPr>
          <w:spacing w:val="-2"/>
        </w:rPr>
        <w:t>关健康指标为维度构建的数据模型。</w:t>
      </w:r>
    </w:p>
    <w:p>
      <w:pPr>
        <w:pStyle w:val="BodyText"/>
        <w:spacing w:before="170" w:line="501" w:lineRule="exact"/>
        <w:ind w:left="495"/>
      </w:pPr>
      <w:r>
        <w:rPr>
          <w:spacing w:val="-2"/>
          <w:position w:val="19"/>
        </w:rPr>
        <w:t>注：主要用于辅助个人健康管理和疾病防治。</w:t>
      </w:r>
    </w:p>
    <w:p>
      <w:pPr>
        <w:pStyle w:val="BodyText"/>
        <w:spacing w:before="1" w:line="180" w:lineRule="auto"/>
        <w:ind w:left="5"/>
      </w:pPr>
      <w:r>
        <w:rPr>
          <w:spacing w:val="-4"/>
        </w:rPr>
        <w:t>3.13</w:t>
      </w:r>
    </w:p>
    <w:p>
      <w:pPr>
        <w:pStyle w:val="BodyText"/>
        <w:spacing w:before="186" w:line="215" w:lineRule="auto"/>
        <w:ind w:left="488"/>
      </w:pPr>
      <w:r>
        <w:rPr>
          <w:b/>
          <w:bCs/>
          <w:spacing w:val="-3"/>
        </w:rPr>
        <w:t>智慧化</w:t>
      </w:r>
      <w:r>
        <w:rPr>
          <w:spacing w:val="-3"/>
        </w:rPr>
        <w:t xml:space="preserve"> </w:t>
      </w:r>
      <w:r>
        <w:rPr>
          <w:b/>
          <w:bCs/>
          <w:spacing w:val="-3"/>
        </w:rPr>
        <w:t>intelligentization</w:t>
      </w:r>
    </w:p>
    <w:p>
      <w:pPr>
        <w:pStyle w:val="BodyText"/>
        <w:spacing w:before="180" w:line="354" w:lineRule="auto"/>
        <w:ind w:left="15" w:right="203" w:firstLine="478"/>
        <w:jc w:val="both"/>
      </w:pPr>
      <w:r>
        <w:rPr>
          <w:spacing w:val="-2"/>
        </w:rPr>
        <w:t>通过物联网、人工智能、大数据分析、</w:t>
      </w:r>
      <w:r>
        <w:rPr>
          <w:spacing w:val="-59"/>
        </w:rPr>
        <w:t xml:space="preserve"> </w:t>
      </w:r>
      <w:r>
        <w:rPr>
          <w:spacing w:val="-2"/>
        </w:rPr>
        <w:t>自动化等技</w:t>
      </w:r>
      <w:r>
        <w:rPr>
          <w:spacing w:val="-3"/>
        </w:rPr>
        <w:t>术应用，将设备、系统与管理</w:t>
      </w:r>
      <w:r>
        <w:t xml:space="preserve"> </w:t>
      </w:r>
      <w:r>
        <w:rPr>
          <w:spacing w:val="-1"/>
        </w:rPr>
        <w:t>融合成食堂生态系统，提升食堂功能、效率和用户体验，以实现更高效、智能和便利</w:t>
      </w:r>
    </w:p>
    <w:p>
      <w:pPr>
        <w:pStyle w:val="BodyText"/>
        <w:spacing w:line="220" w:lineRule="auto"/>
        <w:ind w:left="22"/>
      </w:pPr>
      <w:r>
        <w:rPr>
          <w:spacing w:val="-5"/>
        </w:rPr>
        <w:t>的运作和服务。</w:t>
      </w:r>
    </w:p>
    <w:p>
      <w:pPr>
        <w:pStyle w:val="BodyText"/>
        <w:spacing w:before="212" w:line="181" w:lineRule="auto"/>
        <w:ind w:left="5"/>
      </w:pPr>
      <w:r>
        <w:rPr>
          <w:spacing w:val="-4"/>
        </w:rPr>
        <w:t>3.14</w:t>
      </w:r>
    </w:p>
    <w:p>
      <w:pPr>
        <w:pStyle w:val="BodyText"/>
        <w:spacing w:before="186" w:line="215" w:lineRule="auto"/>
        <w:ind w:left="497"/>
      </w:pPr>
      <w:r>
        <w:rPr>
          <w:b/>
          <w:bCs/>
          <w:spacing w:val="-3"/>
        </w:rPr>
        <w:t>等级评定</w:t>
      </w:r>
      <w:r>
        <w:rPr>
          <w:spacing w:val="-3"/>
        </w:rPr>
        <w:t xml:space="preserve"> </w:t>
      </w:r>
      <w:r>
        <w:rPr>
          <w:b/>
          <w:bCs/>
          <w:spacing w:val="-3"/>
        </w:rPr>
        <w:t>grade</w:t>
      </w:r>
      <w:r>
        <w:rPr>
          <w:spacing w:val="-3"/>
        </w:rPr>
        <w:t xml:space="preserve"> </w:t>
      </w:r>
      <w:r>
        <w:rPr>
          <w:b/>
          <w:bCs/>
          <w:spacing w:val="-3"/>
        </w:rPr>
        <w:t>assessment</w:t>
      </w:r>
    </w:p>
    <w:p>
      <w:pPr>
        <w:pStyle w:val="BodyText"/>
        <w:spacing w:before="181" w:line="458" w:lineRule="exact"/>
        <w:ind w:left="489"/>
      </w:pPr>
      <w:r>
        <w:rPr>
          <w:spacing w:val="-1"/>
          <w:position w:val="16"/>
        </w:rPr>
        <w:t>根据一定的标准和方法对智慧健康食堂进行等级划分并进行评级的过程。</w:t>
      </w:r>
    </w:p>
    <w:p>
      <w:pPr>
        <w:pStyle w:val="BodyText"/>
        <w:spacing w:before="1" w:line="221" w:lineRule="auto"/>
      </w:pPr>
      <w:r>
        <w:rPr>
          <w:spacing w:val="-7"/>
        </w:rPr>
        <w:t>4</w:t>
      </w:r>
      <w:r>
        <w:rPr>
          <w:spacing w:val="12"/>
        </w:rPr>
        <w:t xml:space="preserve"> </w:t>
      </w:r>
      <w:r>
        <w:rPr>
          <w:spacing w:val="-7"/>
        </w:rPr>
        <w:t>缩略语</w:t>
      </w:r>
    </w:p>
    <w:p>
      <w:pPr>
        <w:pStyle w:val="BodyText"/>
        <w:spacing w:before="172" w:line="222" w:lineRule="auto"/>
        <w:ind w:left="483"/>
      </w:pPr>
      <w:r>
        <w:rPr>
          <w:spacing w:val="-4"/>
        </w:rPr>
        <w:t>下列缩略语适用于本文件。</w:t>
      </w:r>
    </w:p>
    <w:p>
      <w:pPr>
        <w:pStyle w:val="BodyText"/>
        <w:spacing w:before="173" w:line="216" w:lineRule="auto"/>
        <w:ind w:left="473"/>
      </w:pPr>
      <w:r>
        <w:t>APP：应用程序（Applicatio</w:t>
      </w:r>
      <w:r>
        <w:rPr>
          <w:spacing w:val="-1"/>
        </w:rPr>
        <w:t>n）</w:t>
      </w:r>
    </w:p>
    <w:p>
      <w:pPr>
        <w:pStyle w:val="BodyText"/>
        <w:spacing w:before="177" w:line="461" w:lineRule="exact"/>
        <w:ind w:left="475"/>
      </w:pPr>
      <w:r>
        <w:rPr>
          <w:position w:val="16"/>
        </w:rPr>
        <w:t>H5：第5代超文本标记语言（Hypertext</w:t>
      </w:r>
      <w:r>
        <w:rPr>
          <w:position w:val="16"/>
        </w:rPr>
        <w:t xml:space="preserve"> </w:t>
      </w:r>
      <w:r>
        <w:rPr>
          <w:position w:val="16"/>
        </w:rPr>
        <w:t>Markup</w:t>
      </w:r>
      <w:r>
        <w:rPr>
          <w:position w:val="16"/>
        </w:rPr>
        <w:t xml:space="preserve"> </w:t>
      </w:r>
      <w:r>
        <w:rPr>
          <w:position w:val="16"/>
        </w:rPr>
        <w:t>Languag</w:t>
      </w:r>
      <w:r>
        <w:rPr>
          <w:spacing w:val="-1"/>
          <w:position w:val="16"/>
        </w:rPr>
        <w:t>e</w:t>
      </w:r>
      <w:r>
        <w:rPr>
          <w:spacing w:val="-1"/>
          <w:position w:val="16"/>
        </w:rPr>
        <w:t xml:space="preserve"> </w:t>
      </w:r>
      <w:r>
        <w:rPr>
          <w:spacing w:val="-1"/>
          <w:position w:val="16"/>
        </w:rPr>
        <w:t>5）</w:t>
      </w:r>
    </w:p>
    <w:p>
      <w:pPr>
        <w:pStyle w:val="BodyText"/>
        <w:spacing w:line="215" w:lineRule="auto"/>
        <w:ind w:left="475"/>
      </w:pPr>
      <w:r>
        <w:t>BMI：身体质量指数（Body</w:t>
      </w:r>
      <w:r>
        <w:t xml:space="preserve"> </w:t>
      </w:r>
      <w:r>
        <w:t>Mass</w:t>
      </w:r>
      <w:r>
        <w:t xml:space="preserve"> </w:t>
      </w:r>
      <w:r>
        <w:t>In</w:t>
      </w:r>
      <w:r>
        <w:rPr>
          <w:spacing w:val="-1"/>
        </w:rPr>
        <w:t>dex）</w:t>
      </w:r>
    </w:p>
    <w:p>
      <w:pPr>
        <w:pStyle w:val="BodyText"/>
        <w:spacing w:before="182" w:line="458" w:lineRule="exact"/>
        <w:ind w:left="478"/>
      </w:pPr>
      <w:r>
        <w:rPr>
          <w:position w:val="16"/>
        </w:rPr>
        <w:t>TCP：传输控制协议（Transmission</w:t>
      </w:r>
      <w:r>
        <w:rPr>
          <w:position w:val="16"/>
        </w:rPr>
        <w:t xml:space="preserve"> </w:t>
      </w:r>
      <w:r>
        <w:rPr>
          <w:position w:val="16"/>
        </w:rPr>
        <w:t>Control</w:t>
      </w:r>
      <w:r>
        <w:rPr>
          <w:position w:val="16"/>
        </w:rPr>
        <w:t xml:space="preserve"> </w:t>
      </w:r>
      <w:r>
        <w:rPr>
          <w:position w:val="16"/>
        </w:rPr>
        <w:t>Pr</w:t>
      </w:r>
      <w:r>
        <w:rPr>
          <w:spacing w:val="-1"/>
          <w:position w:val="16"/>
        </w:rPr>
        <w:t>otocol）</w:t>
      </w:r>
    </w:p>
    <w:p>
      <w:pPr>
        <w:pStyle w:val="BodyText"/>
        <w:spacing w:line="215" w:lineRule="auto"/>
        <w:ind w:left="475"/>
      </w:pPr>
      <w:r>
        <w:t>HTTP：超文本传输协议（Hypertext</w:t>
      </w:r>
      <w:r>
        <w:t xml:space="preserve"> </w:t>
      </w:r>
      <w:r>
        <w:t>Transfer</w:t>
      </w:r>
      <w:r>
        <w:t xml:space="preserve"> </w:t>
      </w:r>
      <w:r>
        <w:t>Proto</w:t>
      </w:r>
      <w:r>
        <w:rPr>
          <w:spacing w:val="-1"/>
        </w:rPr>
        <w:t>col）</w:t>
      </w:r>
    </w:p>
    <w:p>
      <w:pPr>
        <w:pStyle w:val="BodyText"/>
        <w:spacing w:before="181" w:line="461" w:lineRule="exact"/>
        <w:ind w:left="479"/>
      </w:pPr>
      <w:r>
        <w:rPr>
          <w:position w:val="16"/>
        </w:rPr>
        <w:t>RJ45：注册接口45（Registered</w:t>
      </w:r>
      <w:r>
        <w:rPr>
          <w:position w:val="16"/>
        </w:rPr>
        <w:t xml:space="preserve"> </w:t>
      </w:r>
      <w:r>
        <w:rPr>
          <w:spacing w:val="-1"/>
          <w:position w:val="16"/>
        </w:rPr>
        <w:t>Jack</w:t>
      </w:r>
      <w:r>
        <w:rPr>
          <w:spacing w:val="-1"/>
          <w:position w:val="16"/>
        </w:rPr>
        <w:t xml:space="preserve"> </w:t>
      </w:r>
      <w:r>
        <w:rPr>
          <w:spacing w:val="-1"/>
          <w:position w:val="16"/>
        </w:rPr>
        <w:t>45）</w:t>
      </w:r>
    </w:p>
    <w:p>
      <w:pPr>
        <w:pStyle w:val="BodyText"/>
        <w:spacing w:line="215" w:lineRule="auto"/>
        <w:ind w:left="473"/>
      </w:pPr>
      <w:r>
        <w:t>WI-FI：无线网络（Wireless</w:t>
      </w:r>
      <w:r>
        <w:t xml:space="preserve"> </w:t>
      </w:r>
      <w:r>
        <w:t>Fidelit</w:t>
      </w:r>
      <w:r>
        <w:rPr>
          <w:spacing w:val="-1"/>
        </w:rPr>
        <w:t>y）</w:t>
      </w:r>
    </w:p>
    <w:p>
      <w:pPr>
        <w:pStyle w:val="BodyText"/>
        <w:spacing w:before="179" w:line="461" w:lineRule="exact"/>
        <w:ind w:left="480"/>
      </w:pPr>
      <w:r>
        <w:rPr>
          <w:position w:val="16"/>
        </w:rPr>
        <w:t>4G：第四代移动通信技术（Fourth</w:t>
      </w:r>
      <w:r>
        <w:rPr>
          <w:position w:val="16"/>
        </w:rPr>
        <w:t xml:space="preserve"> </w:t>
      </w:r>
      <w:r>
        <w:rPr>
          <w:position w:val="16"/>
        </w:rPr>
        <w:t>Ge</w:t>
      </w:r>
      <w:r>
        <w:rPr>
          <w:spacing w:val="-1"/>
          <w:position w:val="16"/>
        </w:rPr>
        <w:t>neration）</w:t>
      </w:r>
    </w:p>
    <w:p>
      <w:pPr>
        <w:pStyle w:val="BodyText"/>
        <w:spacing w:line="221" w:lineRule="auto"/>
        <w:ind w:left="485"/>
      </w:pPr>
      <w:r>
        <w:rPr>
          <w:spacing w:val="-1"/>
        </w:rPr>
        <w:t>5G：第五代移动通信技术（Fifth</w:t>
      </w:r>
      <w:r>
        <w:rPr>
          <w:spacing w:val="-1"/>
        </w:rPr>
        <w:t xml:space="preserve"> </w:t>
      </w:r>
      <w:r>
        <w:rPr>
          <w:spacing w:val="-1"/>
        </w:rPr>
        <w:t>Generation）</w:t>
      </w:r>
    </w:p>
    <w:p>
      <w:pPr>
        <w:pStyle w:val="BodyText"/>
        <w:spacing w:before="173" w:line="459" w:lineRule="exact"/>
        <w:ind w:left="479"/>
        <w:sectPr>
          <w:footerReference w:type="default" r:id="rId9"/>
          <w:pgSz w:w="11905" w:h="16839"/>
          <w:pgMar w:top="969" w:right="1369" w:bottom="672" w:left="1459" w:header="0" w:footer="505" w:gutter="0"/>
          <w:pgNumType w:start="5"/>
          <w:cols w:space="708"/>
        </w:sectPr>
      </w:pPr>
      <w:r>
        <w:rPr>
          <w:position w:val="16"/>
        </w:rPr>
        <w:t>RFID：射频识别（Radio</w:t>
      </w:r>
      <w:r>
        <w:rPr>
          <w:position w:val="16"/>
        </w:rPr>
        <w:t xml:space="preserve"> </w:t>
      </w:r>
      <w:r>
        <w:rPr>
          <w:position w:val="16"/>
        </w:rPr>
        <w:t>Frequency</w:t>
      </w:r>
      <w:r>
        <w:rPr>
          <w:position w:val="16"/>
        </w:rPr>
        <w:t xml:space="preserve"> </w:t>
      </w:r>
      <w:r>
        <w:rPr>
          <w:position w:val="16"/>
        </w:rPr>
        <w:t>Identif</w:t>
      </w:r>
      <w:r>
        <w:rPr>
          <w:spacing w:val="-1"/>
          <w:position w:val="16"/>
        </w:rPr>
        <w:t>ication）</w:t>
      </w:r>
    </w:p>
    <w:p>
      <w:pPr>
        <w:pStyle w:val="BodyText"/>
        <w:spacing w:line="215" w:lineRule="auto"/>
        <w:ind w:left="473"/>
      </w:pPr>
      <w:r>
        <w:t>AI：人工智能（Artificial</w:t>
      </w:r>
      <w:r>
        <w:t xml:space="preserve"> </w:t>
      </w:r>
      <w:r>
        <w:t>Intelligenc</w:t>
      </w:r>
      <w:r>
        <w:rPr>
          <w:spacing w:val="-1"/>
        </w:rPr>
        <w:t>e）</w:t>
      </w:r>
    </w:p>
    <w:p>
      <w:pPr>
        <w:pStyle w:val="BodyText"/>
        <w:spacing w:before="180" w:line="222" w:lineRule="auto"/>
        <w:ind w:left="475"/>
      </w:pPr>
      <w:r>
        <w:rPr>
          <w:spacing w:val="-1"/>
        </w:rPr>
        <w:t>VC：维生素C（Vitamin</w:t>
      </w:r>
      <w:r>
        <w:rPr>
          <w:spacing w:val="-1"/>
        </w:rPr>
        <w:t xml:space="preserve"> </w:t>
      </w:r>
      <w:r>
        <w:rPr>
          <w:spacing w:val="-1"/>
        </w:rPr>
        <w:t>C）</w:t>
      </w:r>
    </w:p>
    <w:p>
      <w:pPr>
        <w:pStyle w:val="BodyText"/>
        <w:spacing w:before="173" w:line="221" w:lineRule="auto"/>
        <w:ind w:left="473"/>
      </w:pPr>
      <w:r>
        <w:t>NRV：营养素参考值（Nutrient</w:t>
      </w:r>
      <w:r>
        <w:t xml:space="preserve"> </w:t>
      </w:r>
      <w:r>
        <w:t>Reference</w:t>
      </w:r>
      <w:r>
        <w:t xml:space="preserve"> </w:t>
      </w:r>
      <w:r>
        <w:t>Valu</w:t>
      </w:r>
      <w:r>
        <w:rPr>
          <w:spacing w:val="-1"/>
        </w:rPr>
        <w:t>e）</w:t>
      </w:r>
    </w:p>
    <w:p>
      <w:pPr>
        <w:pStyle w:val="BodyText"/>
        <w:spacing w:before="171" w:line="215" w:lineRule="auto"/>
        <w:ind w:left="478"/>
      </w:pPr>
      <w:r>
        <w:t>ERP：企业资源计划（Enterprise</w:t>
      </w:r>
      <w:r>
        <w:t xml:space="preserve"> </w:t>
      </w:r>
      <w:r>
        <w:t>Resource</w:t>
      </w:r>
      <w:r>
        <w:t xml:space="preserve"> </w:t>
      </w:r>
      <w:r>
        <w:t>Pl</w:t>
      </w:r>
      <w:r>
        <w:rPr>
          <w:spacing w:val="-1"/>
        </w:rPr>
        <w:t>anning）</w:t>
      </w:r>
    </w:p>
    <w:p>
      <w:pPr>
        <w:spacing w:line="215" w:lineRule="auto"/>
        <w:sectPr>
          <w:footerReference w:type="default" r:id="rId10"/>
          <w:type w:val="nextPage"/>
          <w:pgSz w:w="11905" w:h="16839"/>
          <w:pgMar w:top="969" w:right="1369" w:bottom="672" w:left="1459" w:header="0" w:footer="505" w:gutter="0"/>
          <w:pgNumType w:start="6"/>
          <w:cols w:space="708"/>
          <w:titlePg w:val="0"/>
        </w:sectPr>
      </w:pPr>
    </w:p>
    <w:p>
      <w:pPr>
        <w:pStyle w:val="BodyText"/>
        <w:spacing w:before="49" w:line="460" w:lineRule="exact"/>
      </w:pPr>
      <w:r>
        <w:rPr>
          <w:spacing w:val="-3"/>
          <w:position w:val="16"/>
        </w:rPr>
        <w:t>5</w:t>
      </w:r>
      <w:r>
        <w:rPr>
          <w:spacing w:val="-3"/>
          <w:position w:val="16"/>
        </w:rPr>
        <w:t xml:space="preserve">  </w:t>
      </w:r>
      <w:r>
        <w:rPr>
          <w:spacing w:val="-3"/>
          <w:position w:val="16"/>
        </w:rPr>
        <w:t>智慧健康食堂建设</w:t>
      </w:r>
    </w:p>
    <w:p>
      <w:pPr>
        <w:pStyle w:val="BodyText"/>
        <w:spacing w:line="223" w:lineRule="auto"/>
      </w:pPr>
      <w:r>
        <w:rPr>
          <w:spacing w:val="-7"/>
        </w:rPr>
        <w:t>5.1</w:t>
      </w:r>
      <w:r>
        <w:rPr>
          <w:spacing w:val="16"/>
        </w:rPr>
        <w:t xml:space="preserve"> </w:t>
      </w:r>
      <w:r>
        <w:rPr>
          <w:spacing w:val="-7"/>
        </w:rPr>
        <w:t>分类</w:t>
      </w:r>
    </w:p>
    <w:p>
      <w:pPr>
        <w:pStyle w:val="BodyText"/>
        <w:spacing w:before="167" w:line="461" w:lineRule="exact"/>
        <w:jc w:val="right"/>
      </w:pPr>
      <w:r>
        <w:rPr>
          <w:spacing w:val="-2"/>
          <w:position w:val="16"/>
        </w:rPr>
        <w:t>根据食堂建设基础设施与智慧化管理与服务的智慧程度可分为一级、二级、三级，</w:t>
      </w:r>
    </w:p>
    <w:p>
      <w:pPr>
        <w:pStyle w:val="BodyText"/>
        <w:spacing w:line="222" w:lineRule="auto"/>
        <w:ind w:left="4"/>
      </w:pPr>
      <w:r>
        <w:rPr>
          <w:spacing w:val="-2"/>
        </w:rPr>
        <w:t>其评分细则见附录A。</w:t>
      </w:r>
    </w:p>
    <w:p>
      <w:pPr>
        <w:pStyle w:val="BodyText"/>
        <w:spacing w:before="172" w:line="223" w:lineRule="auto"/>
      </w:pPr>
      <w:r>
        <w:rPr>
          <w:spacing w:val="-5"/>
        </w:rPr>
        <w:t>5.2</w:t>
      </w:r>
      <w:r>
        <w:rPr>
          <w:spacing w:val="18"/>
        </w:rPr>
        <w:t xml:space="preserve"> </w:t>
      </w:r>
      <w:r>
        <w:rPr>
          <w:spacing w:val="-5"/>
        </w:rPr>
        <w:t>建设原则</w:t>
      </w:r>
    </w:p>
    <w:p>
      <w:pPr>
        <w:pStyle w:val="BodyText"/>
        <w:spacing w:before="169" w:line="222" w:lineRule="auto"/>
      </w:pPr>
      <w:r>
        <w:rPr>
          <w:spacing w:val="-3"/>
        </w:rPr>
        <w:t>5.2.1总体设计原则</w:t>
      </w:r>
    </w:p>
    <w:p>
      <w:pPr>
        <w:pStyle w:val="BodyText"/>
        <w:spacing w:before="171" w:line="354" w:lineRule="auto"/>
        <w:ind w:left="6" w:right="185" w:firstLine="477"/>
        <w:jc w:val="both"/>
      </w:pPr>
      <w:r>
        <w:rPr>
          <w:spacing w:val="-1"/>
        </w:rPr>
        <w:t>根据食堂的规模和功能需求，统筹设计智能化设备和管理系统，并采取符合环境</w:t>
      </w:r>
      <w:r>
        <w:rPr>
          <w:spacing w:val="17"/>
        </w:rPr>
        <w:t xml:space="preserve"> </w:t>
      </w:r>
      <w:r>
        <w:rPr>
          <w:spacing w:val="-1"/>
        </w:rPr>
        <w:t>卫生与安全标准的设计方案，其建筑、附属设施、设备、服务项目和运营管理应符合</w:t>
      </w:r>
      <w:r>
        <w:rPr>
          <w:spacing w:val="16"/>
        </w:rPr>
        <w:t xml:space="preserve"> </w:t>
      </w:r>
      <w:r>
        <w:rPr>
          <w:spacing w:val="-1"/>
        </w:rPr>
        <w:t>国家现行的建筑、安全、食安、卫生、环保、消防、公共信息标志等有关食堂的一切</w:t>
      </w:r>
    </w:p>
    <w:p>
      <w:pPr>
        <w:pStyle w:val="BodyText"/>
        <w:spacing w:line="222" w:lineRule="auto"/>
        <w:ind w:left="10"/>
      </w:pPr>
      <w:r>
        <w:rPr>
          <w:spacing w:val="-2"/>
        </w:rPr>
        <w:t>法律法规及标准的规定与要求。</w:t>
      </w:r>
    </w:p>
    <w:p>
      <w:pPr>
        <w:pStyle w:val="BodyText"/>
        <w:spacing w:before="173" w:line="222" w:lineRule="auto"/>
      </w:pPr>
      <w:r>
        <w:rPr>
          <w:spacing w:val="-2"/>
        </w:rPr>
        <w:t>5.2.2</w:t>
      </w:r>
      <w:r>
        <w:rPr>
          <w:spacing w:val="-2"/>
        </w:rPr>
        <w:t xml:space="preserve"> </w:t>
      </w:r>
      <w:r>
        <w:rPr>
          <w:spacing w:val="-2"/>
        </w:rPr>
        <w:t>建设基础设施选型设计原则</w:t>
      </w:r>
    </w:p>
    <w:p>
      <w:pPr>
        <w:pStyle w:val="BodyText"/>
        <w:spacing w:before="169" w:line="354" w:lineRule="auto"/>
        <w:ind w:left="2" w:right="185" w:firstLine="480"/>
      </w:pPr>
      <w:r>
        <w:rPr>
          <w:spacing w:val="-1"/>
        </w:rPr>
        <w:t>根据食堂的具体需求和功能进行选择，不盲目追求技术的先进性；各项设备和系</w:t>
      </w:r>
      <w:r>
        <w:rPr>
          <w:spacing w:val="17"/>
        </w:rPr>
        <w:t xml:space="preserve"> </w:t>
      </w:r>
      <w:r>
        <w:t>统能够进行数据集成、互联互通、信息共享和</w:t>
      </w:r>
      <w:r>
        <w:rPr>
          <w:spacing w:val="-1"/>
        </w:rPr>
        <w:t>协同工作；人机互动性高，设备界面设</w:t>
      </w:r>
      <w:r>
        <w:t xml:space="preserve"> </w:t>
      </w:r>
      <w:r>
        <w:t>计和操作方式简单易懂；数据管理具有高级别</w:t>
      </w:r>
      <w:r>
        <w:rPr>
          <w:spacing w:val="-1"/>
        </w:rPr>
        <w:t>的安全和隐私保护措施；设备接口具备</w:t>
      </w:r>
      <w:r>
        <w:t xml:space="preserve"> </w:t>
      </w:r>
      <w:r>
        <w:t>可扩展性和灵活性，支持模块化设计；设备具</w:t>
      </w:r>
      <w:r>
        <w:rPr>
          <w:spacing w:val="-1"/>
        </w:rPr>
        <w:t>有高品质稳定性、长期运行可靠性和低</w:t>
      </w:r>
    </w:p>
    <w:p>
      <w:pPr>
        <w:pStyle w:val="BodyText"/>
        <w:spacing w:line="220" w:lineRule="auto"/>
        <w:ind w:left="3"/>
      </w:pPr>
      <w:r>
        <w:rPr>
          <w:spacing w:val="-1"/>
        </w:rPr>
        <w:t>故障率，应具备远程控制、故障预警、异常操作告警、使用能耗监控的智能功能。</w:t>
      </w:r>
    </w:p>
    <w:p>
      <w:pPr>
        <w:pStyle w:val="BodyText"/>
        <w:spacing w:before="175" w:line="222" w:lineRule="auto"/>
      </w:pPr>
      <w:r>
        <w:rPr>
          <w:spacing w:val="-5"/>
        </w:rPr>
        <w:t>5.2.3</w:t>
      </w:r>
      <w:r>
        <w:rPr>
          <w:spacing w:val="28"/>
        </w:rPr>
        <w:t xml:space="preserve"> </w:t>
      </w:r>
      <w:r>
        <w:rPr>
          <w:spacing w:val="-5"/>
        </w:rPr>
        <w:t>系统设计原则</w:t>
      </w:r>
    </w:p>
    <w:p>
      <w:pPr>
        <w:pStyle w:val="BodyText"/>
        <w:spacing w:before="170" w:line="222" w:lineRule="auto"/>
        <w:ind w:left="482"/>
      </w:pPr>
      <w:r>
        <w:rPr>
          <w:spacing w:val="-1"/>
        </w:rPr>
        <w:t>建设基础设施与智慧化管理与服务的系统设计均需要遵循以下原则：</w:t>
      </w:r>
    </w:p>
    <w:p>
      <w:pPr>
        <w:pStyle w:val="BodyText"/>
        <w:spacing w:before="172" w:line="461" w:lineRule="exact"/>
        <w:ind w:left="416"/>
      </w:pPr>
      <w:r>
        <w:rPr>
          <w:position w:val="16"/>
        </w:rPr>
        <w:t>a）系统性：系统代码统一，设计规范标准，传递语言一</w:t>
      </w:r>
      <w:r>
        <w:rPr>
          <w:spacing w:val="-1"/>
          <w:position w:val="16"/>
        </w:rPr>
        <w:t>致，系统数据来源一致，</w:t>
      </w:r>
    </w:p>
    <w:p>
      <w:pPr>
        <w:pStyle w:val="BodyText"/>
        <w:spacing w:line="222" w:lineRule="auto"/>
        <w:ind w:left="428"/>
      </w:pPr>
      <w:r>
        <w:rPr>
          <w:spacing w:val="-2"/>
        </w:rPr>
        <w:t>全局共享，一次输入，多次利用；</w:t>
      </w:r>
    </w:p>
    <w:p>
      <w:pPr>
        <w:pStyle w:val="BodyText"/>
        <w:spacing w:before="169" w:line="461" w:lineRule="exact"/>
        <w:ind w:left="411"/>
      </w:pPr>
      <w:r>
        <w:rPr>
          <w:position w:val="16"/>
        </w:rPr>
        <w:t>b）灵活性：系统具有开放性和结构可变性，采用模块化结构，各模</w:t>
      </w:r>
      <w:r>
        <w:rPr>
          <w:spacing w:val="-1"/>
          <w:position w:val="16"/>
        </w:rPr>
        <w:t>块独立，减少</w:t>
      </w:r>
    </w:p>
    <w:p>
      <w:pPr>
        <w:pStyle w:val="BodyText"/>
        <w:spacing w:before="1" w:line="220" w:lineRule="auto"/>
        <w:ind w:left="421"/>
      </w:pPr>
      <w:r>
        <w:rPr>
          <w:spacing w:val="-1"/>
        </w:rPr>
        <w:t>模块间数据偶合，使各子系统间的数据依赖减至最低限度；</w:t>
      </w:r>
    </w:p>
    <w:p>
      <w:pPr>
        <w:pStyle w:val="BodyText"/>
        <w:spacing w:before="174" w:line="458" w:lineRule="exact"/>
        <w:ind w:left="420"/>
      </w:pPr>
      <w:r>
        <w:rPr>
          <w:position w:val="16"/>
        </w:rPr>
        <w:t>c）可靠性：系统宜具有较高的抵御外界干扰</w:t>
      </w:r>
      <w:r>
        <w:rPr>
          <w:spacing w:val="-1"/>
          <w:position w:val="16"/>
        </w:rPr>
        <w:t>能力及受外界干扰时的恢复能力；</w:t>
      </w:r>
    </w:p>
    <w:p>
      <w:pPr>
        <w:pStyle w:val="BodyText"/>
        <w:spacing w:before="1" w:line="220" w:lineRule="auto"/>
        <w:ind w:left="420"/>
      </w:pPr>
      <w:r>
        <w:rPr>
          <w:spacing w:val="-1"/>
        </w:rPr>
        <w:t>d）经济性：系统避免复杂化，缩短处理流程，减少处理费用；</w:t>
      </w:r>
    </w:p>
    <w:p>
      <w:pPr>
        <w:pStyle w:val="BodyText"/>
        <w:spacing w:before="174" w:line="461" w:lineRule="exact"/>
        <w:ind w:left="420"/>
      </w:pPr>
      <w:r>
        <w:rPr>
          <w:position w:val="16"/>
        </w:rPr>
        <w:t>e）易用性：串行通信协议下宜能通过简单的</w:t>
      </w:r>
      <w:r>
        <w:rPr>
          <w:spacing w:val="-1"/>
          <w:position w:val="16"/>
        </w:rPr>
        <w:t>填写设备地址、寄存器地址、数据类</w:t>
      </w:r>
    </w:p>
    <w:p>
      <w:pPr>
        <w:pStyle w:val="BodyText"/>
        <w:spacing w:before="1" w:line="220" w:lineRule="auto"/>
        <w:ind w:left="433"/>
      </w:pPr>
      <w:r>
        <w:rPr>
          <w:spacing w:val="-2"/>
        </w:rPr>
        <w:t>型、数据长度和数据名称即可完成设备部署；</w:t>
      </w:r>
    </w:p>
    <w:p>
      <w:pPr>
        <w:pStyle w:val="BodyText"/>
        <w:spacing w:before="172" w:line="219" w:lineRule="auto"/>
        <w:ind w:left="419"/>
      </w:pPr>
      <w:r>
        <w:t>f）扩展性：支持海量数据库、历史数据进行低频</w:t>
      </w:r>
      <w:r>
        <w:rPr>
          <w:spacing w:val="-1"/>
        </w:rPr>
        <w:t>存储，减少服务器资源且能无缝</w:t>
      </w:r>
    </w:p>
    <w:p>
      <w:pPr>
        <w:pStyle w:val="BodyText"/>
        <w:spacing w:before="176" w:line="460" w:lineRule="exact"/>
        <w:ind w:left="422"/>
      </w:pPr>
      <w:r>
        <w:rPr>
          <w:spacing w:val="-1"/>
          <w:position w:val="16"/>
        </w:rPr>
        <w:t>扩容，系统应支持云端和本地私有化两种部署，支持超大规模设备接入系统。</w:t>
      </w:r>
    </w:p>
    <w:p>
      <w:pPr>
        <w:pStyle w:val="BodyText"/>
        <w:spacing w:before="1" w:line="222" w:lineRule="auto"/>
      </w:pPr>
      <w:r>
        <w:rPr>
          <w:spacing w:val="-3"/>
        </w:rPr>
        <w:t>5.2.4</w:t>
      </w:r>
      <w:r>
        <w:rPr>
          <w:spacing w:val="-3"/>
        </w:rPr>
        <w:t xml:space="preserve"> </w:t>
      </w:r>
      <w:r>
        <w:rPr>
          <w:spacing w:val="-3"/>
        </w:rPr>
        <w:t>联网设计模式</w:t>
      </w:r>
    </w:p>
    <w:p>
      <w:pPr>
        <w:pStyle w:val="BodyText"/>
        <w:spacing w:before="170" w:line="222" w:lineRule="auto"/>
        <w:ind w:left="482"/>
        <w:sectPr>
          <w:footerReference w:type="default" r:id="rId11"/>
          <w:pgSz w:w="11905" w:h="16839"/>
          <w:pgMar w:top="969" w:right="1387" w:bottom="674" w:left="1465" w:header="0" w:footer="505" w:gutter="0"/>
          <w:pgNumType w:start="7"/>
          <w:cols w:space="708"/>
        </w:sectPr>
      </w:pPr>
      <w:r>
        <w:rPr>
          <w:spacing w:val="-1"/>
        </w:rPr>
        <w:t>建设基础设施与智慧化管理与服务的联网设计均需要遵循以下原则：</w:t>
      </w:r>
    </w:p>
    <w:p>
      <w:pPr>
        <w:pStyle w:val="BodyText"/>
        <w:spacing w:before="171" w:line="461" w:lineRule="exact"/>
        <w:ind w:left="416"/>
      </w:pPr>
      <w:r>
        <w:rPr>
          <w:position w:val="16"/>
        </w:rPr>
        <w:t>a）物联网协议：串行通信协议、TCP、HTTP、MQTT、蓝</w:t>
      </w:r>
      <w:r>
        <w:rPr>
          <w:spacing w:val="-1"/>
          <w:position w:val="16"/>
        </w:rPr>
        <w:t>牙无线通信技术应支持至</w:t>
      </w:r>
    </w:p>
    <w:p>
      <w:pPr>
        <w:pStyle w:val="BodyText"/>
        <w:spacing w:before="1" w:line="220" w:lineRule="auto"/>
        <w:ind w:left="422"/>
      </w:pPr>
      <w:r>
        <w:rPr>
          <w:spacing w:val="-3"/>
        </w:rPr>
        <w:t>少1种协议。</w:t>
      </w:r>
    </w:p>
    <w:p>
      <w:pPr>
        <w:pStyle w:val="BodyText"/>
        <w:spacing w:before="172" w:line="220" w:lineRule="auto"/>
        <w:ind w:left="411"/>
      </w:pPr>
      <w:r>
        <w:t>b）传输模式：根据设备和现场情况可自行选择RJ45、WI-FI、4G、5</w:t>
      </w:r>
      <w:r>
        <w:rPr>
          <w:spacing w:val="-1"/>
        </w:rPr>
        <w:t>G、无线射频</w:t>
      </w:r>
    </w:p>
    <w:p>
      <w:pPr>
        <w:spacing w:line="220" w:lineRule="auto"/>
        <w:sectPr>
          <w:footerReference w:type="default" r:id="rId12"/>
          <w:type w:val="nextPage"/>
          <w:pgSz w:w="11905" w:h="16839"/>
          <w:pgMar w:top="969" w:right="1387" w:bottom="674" w:left="1465" w:header="0" w:footer="505" w:gutter="0"/>
          <w:pgNumType w:start="8"/>
          <w:cols w:space="708"/>
          <w:titlePg w:val="0"/>
        </w:sectPr>
      </w:pPr>
    </w:p>
    <w:p>
      <w:pPr>
        <w:pStyle w:val="BodyText"/>
        <w:spacing w:before="49" w:line="223" w:lineRule="auto"/>
        <w:ind w:left="434"/>
      </w:pPr>
      <w:r>
        <w:rPr>
          <w:spacing w:val="-5"/>
        </w:rPr>
        <w:t>等传输模式。</w:t>
      </w:r>
    </w:p>
    <w:p>
      <w:pPr>
        <w:pStyle w:val="BodyText"/>
        <w:spacing w:before="170" w:line="459" w:lineRule="exact"/>
      </w:pPr>
      <w:r>
        <w:rPr>
          <w:spacing w:val="-2"/>
          <w:position w:val="16"/>
        </w:rPr>
        <w:t>6</w:t>
      </w:r>
      <w:r>
        <w:rPr>
          <w:spacing w:val="-2"/>
          <w:position w:val="16"/>
        </w:rPr>
        <w:t xml:space="preserve"> </w:t>
      </w:r>
      <w:r>
        <w:rPr>
          <w:spacing w:val="-2"/>
          <w:position w:val="16"/>
        </w:rPr>
        <w:t>智慧化食品安全管理</w:t>
      </w:r>
    </w:p>
    <w:p>
      <w:pPr>
        <w:pStyle w:val="BodyText"/>
        <w:spacing w:line="222" w:lineRule="auto"/>
      </w:pPr>
      <w:r>
        <w:rPr>
          <w:spacing w:val="-2"/>
        </w:rPr>
        <w:t>6.1食品采购管理</w:t>
      </w:r>
    </w:p>
    <w:p>
      <w:pPr>
        <w:pStyle w:val="BodyText"/>
        <w:spacing w:before="171" w:line="354" w:lineRule="auto"/>
        <w:ind w:left="6" w:firstLine="483"/>
        <w:jc w:val="both"/>
      </w:pPr>
      <w:r>
        <w:rPr>
          <w:spacing w:val="-2"/>
        </w:rPr>
        <w:t>通过数字化管理方法，实现对整个采购过程的安全和可追溯性监控，确保原材料</w:t>
      </w:r>
      <w:r>
        <w:rPr>
          <w:spacing w:val="-2"/>
        </w:rPr>
        <w:t xml:space="preserve">  </w:t>
      </w:r>
      <w:r>
        <w:rPr>
          <w:spacing w:val="-1"/>
        </w:rPr>
        <w:t>的产地、供应商的合法性与食品质量等方面的条件符合相</w:t>
      </w:r>
      <w:r>
        <w:rPr>
          <w:spacing w:val="-2"/>
        </w:rPr>
        <w:t>关要求，同时根据实时食品</w:t>
      </w:r>
      <w:r>
        <w:rPr>
          <w:spacing w:val="-2"/>
        </w:rPr>
        <w:t xml:space="preserve">  </w:t>
      </w:r>
      <w:r>
        <w:rPr>
          <w:spacing w:val="-2"/>
        </w:rPr>
        <w:t>使用情况，进行合理库存管理，减少采购的浪费，进一步强化食品供应链监督和管理，</w:t>
      </w:r>
    </w:p>
    <w:p>
      <w:pPr>
        <w:pStyle w:val="BodyText"/>
        <w:spacing w:before="1" w:line="220" w:lineRule="auto"/>
        <w:ind w:left="2"/>
      </w:pPr>
      <w:r>
        <w:rPr>
          <w:spacing w:val="-2"/>
        </w:rPr>
        <w:t>有效提升食品安全保障水平。</w:t>
      </w:r>
    </w:p>
    <w:p>
      <w:pPr>
        <w:pStyle w:val="BodyText"/>
        <w:spacing w:before="174" w:line="219" w:lineRule="auto"/>
      </w:pPr>
      <w:r>
        <w:rPr>
          <w:spacing w:val="-2"/>
        </w:rPr>
        <w:t>6.2储存和保鲜要求</w:t>
      </w:r>
    </w:p>
    <w:p>
      <w:pPr>
        <w:pStyle w:val="BodyText"/>
        <w:spacing w:before="173" w:line="460" w:lineRule="exact"/>
        <w:ind w:left="484"/>
      </w:pPr>
      <w:r>
        <w:rPr>
          <w:spacing w:val="-1"/>
          <w:position w:val="16"/>
        </w:rPr>
        <w:t>利用传感器技术监控食品储存和保鲜的实时状况，保障食品安全和质量。</w:t>
      </w:r>
    </w:p>
    <w:p>
      <w:pPr>
        <w:pStyle w:val="BodyText"/>
        <w:spacing w:line="220" w:lineRule="auto"/>
      </w:pPr>
      <w:r>
        <w:rPr>
          <w:spacing w:val="-2"/>
        </w:rPr>
        <w:t>6.3食品加工和制作规范</w:t>
      </w:r>
    </w:p>
    <w:p>
      <w:pPr>
        <w:pStyle w:val="BodyText"/>
        <w:spacing w:before="175" w:line="219" w:lineRule="auto"/>
        <w:ind w:left="485"/>
      </w:pPr>
      <w:r>
        <w:rPr>
          <w:spacing w:val="-1"/>
        </w:rPr>
        <w:t>食品经过智慧加工才能真正实现品质稳定，助力食安。具体如下：</w:t>
      </w:r>
    </w:p>
    <w:p>
      <w:pPr>
        <w:pStyle w:val="BodyText"/>
        <w:spacing w:before="173" w:line="461" w:lineRule="exact"/>
        <w:ind w:left="419"/>
      </w:pPr>
      <w:r>
        <w:rPr>
          <w:position w:val="16"/>
        </w:rPr>
        <w:t>a）采用智能切菜机、智能洗菜机等设备，实现菜品前处</w:t>
      </w:r>
      <w:r>
        <w:rPr>
          <w:spacing w:val="-1"/>
          <w:position w:val="16"/>
        </w:rPr>
        <w:t>理工艺流程和清洁卫生系</w:t>
      </w:r>
    </w:p>
    <w:p>
      <w:pPr>
        <w:pStyle w:val="BodyText"/>
        <w:spacing w:before="1" w:line="222" w:lineRule="auto"/>
        <w:ind w:left="430"/>
      </w:pPr>
      <w:r>
        <w:rPr>
          <w:spacing w:val="-5"/>
        </w:rPr>
        <w:t>统化管理；</w:t>
      </w:r>
    </w:p>
    <w:p>
      <w:pPr>
        <w:pStyle w:val="BodyText"/>
        <w:spacing w:before="171" w:line="459" w:lineRule="exact"/>
        <w:ind w:left="414"/>
      </w:pPr>
      <w:r>
        <w:rPr>
          <w:position w:val="16"/>
        </w:rPr>
        <w:t>b）采用智能炒菜机、智能蒸烤箱、智能油炸机、智能煮面炉等烹饪</w:t>
      </w:r>
      <w:r>
        <w:rPr>
          <w:spacing w:val="-1"/>
          <w:position w:val="16"/>
        </w:rPr>
        <w:t>设备，基于标</w:t>
      </w:r>
    </w:p>
    <w:p>
      <w:pPr>
        <w:pStyle w:val="BodyText"/>
        <w:spacing w:before="1" w:line="217" w:lineRule="auto"/>
        <w:ind w:left="428"/>
      </w:pPr>
      <w:r>
        <w:rPr>
          <w:spacing w:val="-3"/>
        </w:rPr>
        <w:t>准化菜谱流程烹饪，实现用料准确、加工精准、</w:t>
      </w:r>
      <w:r>
        <w:rPr>
          <w:spacing w:val="-61"/>
        </w:rPr>
        <w:t xml:space="preserve"> </w:t>
      </w:r>
      <w:r>
        <w:rPr>
          <w:spacing w:val="-3"/>
        </w:rPr>
        <w:t>口感稳定；</w:t>
      </w:r>
    </w:p>
    <w:p>
      <w:pPr>
        <w:pStyle w:val="BodyText"/>
        <w:spacing w:before="177" w:line="461" w:lineRule="exact"/>
        <w:ind w:left="422"/>
      </w:pPr>
      <w:r>
        <w:rPr>
          <w:spacing w:val="-1"/>
          <w:position w:val="16"/>
        </w:rPr>
        <w:t>c）通过数字化为明厨亮灶赋能，助力食品安全与卫生管理。</w:t>
      </w:r>
    </w:p>
    <w:p>
      <w:pPr>
        <w:pStyle w:val="BodyText"/>
        <w:spacing w:before="1" w:line="219" w:lineRule="auto"/>
      </w:pPr>
      <w:r>
        <w:rPr>
          <w:spacing w:val="-4"/>
        </w:rPr>
        <w:t>6.4食品留样</w:t>
      </w:r>
    </w:p>
    <w:p>
      <w:pPr>
        <w:pStyle w:val="BodyText"/>
        <w:spacing w:before="173" w:line="461" w:lineRule="exact"/>
        <w:ind w:left="485"/>
      </w:pPr>
      <w:r>
        <w:rPr>
          <w:spacing w:val="-1"/>
          <w:position w:val="16"/>
        </w:rPr>
        <w:t>食品留样分为留样、处理、记录、监管流程，上传采集的留样信息，通过二维码</w:t>
      </w:r>
    </w:p>
    <w:p>
      <w:pPr>
        <w:pStyle w:val="BodyText"/>
        <w:spacing w:before="1" w:line="220" w:lineRule="auto"/>
        <w:ind w:left="6"/>
      </w:pPr>
      <w:r>
        <w:rPr>
          <w:spacing w:val="-1"/>
        </w:rPr>
        <w:t>便可进行信息统计查询，随时可查，快速精准，一码到底。</w:t>
      </w:r>
    </w:p>
    <w:p>
      <w:pPr>
        <w:pStyle w:val="BodyText"/>
        <w:spacing w:before="174" w:line="222" w:lineRule="auto"/>
      </w:pPr>
      <w:r>
        <w:rPr>
          <w:spacing w:val="-2"/>
        </w:rPr>
        <w:t>6.5食品取餐</w:t>
      </w:r>
    </w:p>
    <w:p>
      <w:pPr>
        <w:pStyle w:val="BodyText"/>
        <w:spacing w:before="169" w:line="461" w:lineRule="exact"/>
        <w:ind w:left="490"/>
      </w:pPr>
      <w:r>
        <w:rPr>
          <w:spacing w:val="-1"/>
          <w:position w:val="16"/>
        </w:rPr>
        <w:t>通过RFID智盘结算台、智慧称重餐台、AI视觉餐台、数字智能取餐柜等取餐结算</w:t>
      </w:r>
    </w:p>
    <w:p>
      <w:pPr>
        <w:pStyle w:val="BodyText"/>
        <w:spacing w:before="1" w:line="222" w:lineRule="auto"/>
        <w:ind w:left="4"/>
      </w:pPr>
      <w:r>
        <w:rPr>
          <w:spacing w:val="-2"/>
        </w:rPr>
        <w:t>设备，实现无接触取餐。</w:t>
      </w:r>
    </w:p>
    <w:p>
      <w:pPr>
        <w:pStyle w:val="BodyText"/>
        <w:spacing w:before="171" w:line="223" w:lineRule="auto"/>
      </w:pPr>
      <w:r>
        <w:rPr>
          <w:spacing w:val="-2"/>
        </w:rPr>
        <w:t>6.6餐盘回收</w:t>
      </w:r>
    </w:p>
    <w:p>
      <w:pPr>
        <w:pStyle w:val="BodyText"/>
        <w:spacing w:before="169" w:line="461" w:lineRule="exact"/>
        <w:ind w:left="484"/>
      </w:pPr>
      <w:r>
        <w:rPr>
          <w:spacing w:val="-1"/>
          <w:position w:val="16"/>
        </w:rPr>
        <w:t>设置垃圾分类区域和智能投放装置，利用智能感知技术，实现自动化垃圾分类和</w:t>
      </w:r>
    </w:p>
    <w:p>
      <w:pPr>
        <w:pStyle w:val="BodyText"/>
        <w:spacing w:line="222" w:lineRule="auto"/>
        <w:ind w:left="8"/>
      </w:pPr>
      <w:r>
        <w:rPr>
          <w:spacing w:val="-7"/>
        </w:rPr>
        <w:t>清理。</w:t>
      </w:r>
    </w:p>
    <w:p>
      <w:pPr>
        <w:pStyle w:val="BodyText"/>
        <w:spacing w:before="172" w:line="223" w:lineRule="auto"/>
      </w:pPr>
      <w:r>
        <w:rPr>
          <w:spacing w:val="-2"/>
        </w:rPr>
        <w:t>6.7明厨亮灶</w:t>
      </w:r>
    </w:p>
    <w:p>
      <w:pPr>
        <w:pStyle w:val="BodyText"/>
        <w:spacing w:before="168" w:line="461" w:lineRule="exact"/>
        <w:ind w:left="490"/>
      </w:pPr>
      <w:r>
        <w:rPr>
          <w:spacing w:val="-1"/>
          <w:position w:val="16"/>
        </w:rPr>
        <w:t>通过供云管端一体化视频监控系统、AI识别的视频监控系统等实现厨房可视可感</w:t>
      </w:r>
    </w:p>
    <w:p>
      <w:pPr>
        <w:pStyle w:val="BodyText"/>
        <w:spacing w:line="223" w:lineRule="auto"/>
        <w:ind w:left="9"/>
      </w:pPr>
      <w:r>
        <w:rPr>
          <w:spacing w:val="-7"/>
        </w:rPr>
        <w:t>可知。</w:t>
      </w:r>
    </w:p>
    <w:p>
      <w:pPr>
        <w:pStyle w:val="BodyText"/>
        <w:spacing w:before="171" w:line="224" w:lineRule="auto"/>
        <w:sectPr>
          <w:footerReference w:type="default" r:id="rId13"/>
          <w:pgSz w:w="11905" w:h="16839"/>
          <w:pgMar w:top="969" w:right="1387" w:bottom="672" w:left="1462" w:header="0" w:footer="505" w:gutter="0"/>
          <w:pgNumType w:start="9"/>
          <w:cols w:space="708"/>
        </w:sectPr>
      </w:pPr>
      <w:r>
        <w:rPr>
          <w:spacing w:val="-2"/>
        </w:rPr>
        <w:t>6.8食品溯源</w:t>
      </w:r>
    </w:p>
    <w:p>
      <w:pPr>
        <w:pStyle w:val="BodyText"/>
        <w:spacing w:before="168" w:line="354" w:lineRule="auto"/>
        <w:ind w:left="8" w:right="185" w:firstLine="476"/>
      </w:pPr>
      <w:r>
        <w:rPr>
          <w:spacing w:val="-1"/>
        </w:rPr>
        <w:t>利用物联网、大数据、云计算等技术手段，从食品的采购、运输、储存到消费全</w:t>
      </w:r>
      <w:r>
        <w:rPr>
          <w:spacing w:val="18"/>
        </w:rPr>
        <w:t xml:space="preserve"> </w:t>
      </w:r>
      <w:r>
        <w:t>过程的信息化管理。通过每个产品分配唯一</w:t>
      </w:r>
      <w:r>
        <w:rPr>
          <w:spacing w:val="-1"/>
        </w:rPr>
        <w:t>的RFID或二维码（涵盖产品的生产日期、</w:t>
      </w:r>
    </w:p>
    <w:p>
      <w:pPr>
        <w:pStyle w:val="BodyText"/>
        <w:spacing w:before="1" w:line="220" w:lineRule="auto"/>
        <w:ind w:left="10"/>
      </w:pPr>
      <w:r>
        <w:rPr>
          <w:spacing w:val="-2"/>
        </w:rPr>
        <w:t>原料、产地、质检报告等信息</w:t>
      </w:r>
      <w:r>
        <w:rPr>
          <w:spacing w:val="15"/>
        </w:rPr>
        <w:t>），</w:t>
      </w:r>
      <w:r>
        <w:rPr>
          <w:spacing w:val="-2"/>
        </w:rPr>
        <w:t>从而实现对食品的全程追溯。</w:t>
      </w:r>
    </w:p>
    <w:p>
      <w:pPr>
        <w:pStyle w:val="BodyText"/>
        <w:spacing w:before="172" w:line="221" w:lineRule="auto"/>
        <w:ind w:left="3"/>
      </w:pPr>
      <w:r>
        <w:rPr>
          <w:spacing w:val="-3"/>
        </w:rPr>
        <w:t>7</w:t>
      </w:r>
      <w:r>
        <w:rPr>
          <w:spacing w:val="-3"/>
        </w:rPr>
        <w:t xml:space="preserve">  </w:t>
      </w:r>
      <w:r>
        <w:rPr>
          <w:spacing w:val="-3"/>
        </w:rPr>
        <w:t>营养平衡与健康指导</w:t>
      </w:r>
    </w:p>
    <w:p>
      <w:pPr>
        <w:spacing w:line="221" w:lineRule="auto"/>
        <w:sectPr>
          <w:footerReference w:type="default" r:id="rId14"/>
          <w:type w:val="nextPage"/>
          <w:pgSz w:w="11905" w:h="16839"/>
          <w:pgMar w:top="969" w:right="1387" w:bottom="672" w:left="1462" w:header="0" w:footer="505" w:gutter="0"/>
          <w:pgNumType w:start="10"/>
          <w:cols w:space="708"/>
          <w:titlePg w:val="0"/>
        </w:sectPr>
      </w:pPr>
    </w:p>
    <w:p>
      <w:pPr>
        <w:pStyle w:val="BodyText"/>
        <w:spacing w:before="48" w:line="221" w:lineRule="auto"/>
        <w:ind w:left="338"/>
      </w:pPr>
      <w:r>
        <w:rPr>
          <w:spacing w:val="-4"/>
        </w:rPr>
        <w:t>7.1营养配餐</w:t>
      </w:r>
    </w:p>
    <w:p>
      <w:pPr>
        <w:pStyle w:val="BodyText"/>
        <w:spacing w:before="173" w:line="223" w:lineRule="auto"/>
        <w:ind w:left="338"/>
      </w:pPr>
      <w:r>
        <w:rPr>
          <w:spacing w:val="-3"/>
        </w:rPr>
        <w:t>7.1.1配餐原则</w:t>
      </w:r>
    </w:p>
    <w:p>
      <w:pPr>
        <w:pStyle w:val="BodyText"/>
        <w:spacing w:before="168" w:line="461" w:lineRule="exact"/>
        <w:ind w:left="818"/>
      </w:pPr>
      <w:r>
        <w:rPr>
          <w:position w:val="16"/>
        </w:rPr>
        <w:t>遵循多样化、均衡、适量、合理搭配以及营</w:t>
      </w:r>
      <w:r>
        <w:rPr>
          <w:spacing w:val="-1"/>
          <w:position w:val="16"/>
        </w:rPr>
        <w:t>养平衡原则，控制总热量，丰富蔬菜</w:t>
      </w:r>
    </w:p>
    <w:p>
      <w:pPr>
        <w:pStyle w:val="BodyText"/>
        <w:spacing w:before="1" w:line="220" w:lineRule="auto"/>
        <w:ind w:left="340"/>
      </w:pPr>
      <w:r>
        <w:t>和水果种类，提供全谷类食品，特殊行业考虑特殊营养需求。见表1.</w:t>
      </w:r>
    </w:p>
    <w:p>
      <w:pPr>
        <w:pStyle w:val="BodyText"/>
        <w:spacing w:before="284" w:line="222" w:lineRule="auto"/>
        <w:ind w:left="820"/>
      </w:pPr>
      <w:r>
        <w:rPr>
          <w:spacing w:val="4"/>
        </w:rPr>
        <w:t>盐、油和糖使用量宜逐年下降或同比持平(</w:t>
      </w:r>
      <w:r>
        <w:rPr>
          <w:spacing w:val="3"/>
        </w:rPr>
        <w:t>±0.5%以内）。</w:t>
      </w:r>
    </w:p>
    <w:p>
      <w:pPr>
        <w:spacing w:line="241" w:lineRule="auto"/>
        <w:rPr>
          <w:rFonts w:ascii="Arial"/>
          <w:sz w:val="21"/>
        </w:rPr>
      </w:pPr>
    </w:p>
    <w:p>
      <w:pPr>
        <w:pStyle w:val="BodyText"/>
        <w:spacing w:before="79" w:line="198" w:lineRule="auto"/>
        <w:ind w:left="844"/>
      </w:pPr>
      <w:r>
        <w:rPr>
          <w:spacing w:val="-6"/>
        </w:rPr>
        <w:t>同比下降率计算方法：</w:t>
      </w:r>
    </w:p>
    <w:p>
      <w:pPr>
        <w:pStyle w:val="BodyText"/>
        <w:ind w:left="844"/>
        <w:rPr>
          <w:rFonts w:ascii="Arial" w:eastAsia="Arial" w:hAnsi="Arial" w:cs="Arial"/>
        </w:rPr>
      </w:pPr>
      <w:r>
        <w:rPr>
          <w:spacing w:val="-2"/>
          <w:position w:val="-4"/>
        </w:rPr>
        <w:t>同比下降率=</w:t>
      </w:r>
      <w:r>
        <w:rPr>
          <w:rFonts w:ascii="SimSun" w:eastAsia="SimSun" w:hAnsi="SimSun" w:cs="SimSun"/>
          <w:i/>
          <w:iCs/>
          <w:spacing w:val="-2"/>
          <w:position w:val="9"/>
          <w:sz w:val="17"/>
          <w:szCs w:val="17"/>
        </w:rPr>
        <w:t>每公斤餐品去</w:t>
      </w:r>
      <w:r>
        <w:rPr>
          <w:position w:val="-19"/>
          <w:sz w:val="17"/>
          <w:szCs w:val="17"/>
        </w:rPr>
        <w:drawing>
          <wp:inline distT="0" distB="0" distL="0" distR="0">
            <wp:extent cx="1475219" cy="33929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1475219" cy="339293"/>
                    </a:xfrm>
                    <a:prstGeom prst="rect">
                      <a:avLst/>
                    </a:prstGeom>
                  </pic:spPr>
                </pic:pic>
              </a:graphicData>
            </a:graphic>
          </wp:inline>
        </w:drawing>
      </w:r>
      <w:r>
        <w:rPr>
          <w:rFonts w:ascii="SimSun" w:eastAsia="SimSun" w:hAnsi="SimSun" w:cs="SimSun"/>
          <w:i/>
          <w:iCs/>
          <w:spacing w:val="-2"/>
          <w:position w:val="9"/>
          <w:sz w:val="17"/>
          <w:szCs w:val="17"/>
        </w:rPr>
        <w:t>年当月用盐量</w:t>
      </w:r>
      <w:r>
        <w:rPr>
          <w:rFonts w:ascii="Cambria Math" w:eastAsia="Cambria Math" w:hAnsi="Cambria Math" w:cs="Cambria Math"/>
          <w:spacing w:val="-2"/>
          <w:position w:val="-4"/>
        </w:rPr>
        <w:t>×</w:t>
      </w:r>
      <w:r>
        <w:rPr>
          <w:rFonts w:ascii="Cambria Math" w:eastAsia="Cambria Math" w:hAnsi="Cambria Math" w:cs="Cambria Math"/>
          <w:spacing w:val="37"/>
          <w:w w:val="101"/>
          <w:position w:val="-4"/>
        </w:rPr>
        <w:t xml:space="preserve"> </w:t>
      </w:r>
      <w:r>
        <w:rPr>
          <w:rFonts w:ascii="Cambria Math" w:eastAsia="Cambria Math" w:hAnsi="Cambria Math" w:cs="Cambria Math"/>
          <w:spacing w:val="-2"/>
          <w:position w:val="-4"/>
        </w:rPr>
        <w:t>1</w:t>
      </w:r>
      <w:r>
        <w:rPr>
          <w:rFonts w:ascii="Arial" w:eastAsia="Arial" w:hAnsi="Arial" w:cs="Arial"/>
          <w:i/>
          <w:iCs/>
          <w:spacing w:val="-2"/>
          <w:position w:val="-4"/>
        </w:rPr>
        <w:t>00%</w:t>
      </w:r>
    </w:p>
    <w:p>
      <w:pPr>
        <w:pStyle w:val="BodyText"/>
        <w:spacing w:before="188" w:line="222" w:lineRule="auto"/>
        <w:ind w:left="2394"/>
      </w:pPr>
      <w:r>
        <w:rPr>
          <w:spacing w:val="-2"/>
        </w:rPr>
        <w:t>表1</w:t>
      </w:r>
      <w:r>
        <w:rPr>
          <w:spacing w:val="-2"/>
        </w:rPr>
        <w:t xml:space="preserve"> </w:t>
      </w:r>
      <w:r>
        <w:rPr>
          <w:spacing w:val="-2"/>
        </w:rPr>
        <w:t>配餐推荐指标表（三餐能量餐次比3/4/3）</w:t>
      </w:r>
    </w:p>
    <w:p>
      <w:pPr>
        <w:spacing w:line="111" w:lineRule="auto"/>
        <w:rPr>
          <w:rFonts w:ascii="Arial"/>
          <w:sz w:val="2"/>
        </w:rPr>
      </w:pPr>
    </w:p>
    <w:tbl>
      <w:tblPr>
        <w:tblStyle w:val="TableNormal0"/>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1"/>
        <w:gridCol w:w="2465"/>
        <w:gridCol w:w="2441"/>
        <w:gridCol w:w="2446"/>
      </w:tblGrid>
      <w:tr>
        <w:tblPrEx>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9"/>
        </w:trPr>
        <w:tc>
          <w:tcPr>
            <w:tcW w:w="1871" w:type="dxa"/>
            <w:vAlign w:val="top"/>
          </w:tcPr>
          <w:p>
            <w:pPr>
              <w:pStyle w:val="TableText"/>
              <w:spacing w:before="167" w:line="224" w:lineRule="auto"/>
              <w:ind w:left="711"/>
            </w:pPr>
            <w:r>
              <w:rPr>
                <w:spacing w:val="-9"/>
              </w:rPr>
              <w:t>项目</w:t>
            </w:r>
          </w:p>
        </w:tc>
        <w:tc>
          <w:tcPr>
            <w:tcW w:w="2465" w:type="dxa"/>
            <w:vAlign w:val="top"/>
          </w:tcPr>
          <w:p>
            <w:pPr>
              <w:pStyle w:val="TableText"/>
              <w:spacing w:before="167" w:line="215" w:lineRule="auto"/>
              <w:ind w:left="655"/>
            </w:pPr>
            <w:r>
              <w:rPr>
                <w:spacing w:val="-5"/>
              </w:rPr>
              <w:t>每日用量/g</w:t>
            </w:r>
          </w:p>
        </w:tc>
        <w:tc>
          <w:tcPr>
            <w:tcW w:w="2441" w:type="dxa"/>
            <w:vAlign w:val="top"/>
          </w:tcPr>
          <w:p>
            <w:pPr>
              <w:pStyle w:val="TableText"/>
              <w:spacing w:before="167" w:line="221" w:lineRule="auto"/>
              <w:ind w:left="396"/>
            </w:pPr>
            <w:r>
              <w:rPr>
                <w:spacing w:val="-3"/>
              </w:rPr>
              <w:t>平均每日种类数</w:t>
            </w:r>
          </w:p>
        </w:tc>
        <w:tc>
          <w:tcPr>
            <w:tcW w:w="2446" w:type="dxa"/>
            <w:vAlign w:val="top"/>
          </w:tcPr>
          <w:p>
            <w:pPr>
              <w:pStyle w:val="TableText"/>
              <w:spacing w:before="167" w:line="221" w:lineRule="auto"/>
              <w:ind w:left="407"/>
            </w:pPr>
            <w:r>
              <w:rPr>
                <w:spacing w:val="-5"/>
              </w:rPr>
              <w:t>每周至少品种数</w:t>
            </w:r>
          </w:p>
        </w:tc>
      </w:tr>
      <w:tr>
        <w:tblPrEx>
          <w:tblW w:w="9223" w:type="dxa"/>
          <w:tblInd w:w="213" w:type="dxa"/>
          <w:tblLayout w:type="fixed"/>
        </w:tblPrEx>
        <w:trPr>
          <w:trHeight w:val="464"/>
        </w:trPr>
        <w:tc>
          <w:tcPr>
            <w:tcW w:w="1871" w:type="dxa"/>
            <w:vAlign w:val="top"/>
          </w:tcPr>
          <w:p>
            <w:pPr>
              <w:pStyle w:val="TableText"/>
              <w:spacing w:before="164" w:line="223" w:lineRule="auto"/>
              <w:ind w:left="711"/>
            </w:pPr>
            <w:r>
              <w:rPr>
                <w:spacing w:val="-9"/>
              </w:rPr>
              <w:t>谷类</w:t>
            </w:r>
          </w:p>
        </w:tc>
        <w:tc>
          <w:tcPr>
            <w:tcW w:w="2465" w:type="dxa"/>
            <w:vAlign w:val="top"/>
          </w:tcPr>
          <w:p>
            <w:pPr>
              <w:pStyle w:val="TableText"/>
              <w:spacing w:before="205" w:line="249" w:lineRule="exact"/>
              <w:ind w:left="795"/>
            </w:pPr>
            <w:r>
              <w:rPr>
                <w:spacing w:val="-3"/>
                <w:position w:val="-1"/>
              </w:rPr>
              <w:t>200</w:t>
            </w:r>
            <w:r>
              <w:rPr>
                <w:rFonts w:ascii="Microsoft YaHei" w:eastAsia="Microsoft YaHei" w:hAnsi="Microsoft YaHei" w:cs="Microsoft YaHei"/>
                <w:spacing w:val="-3"/>
                <w:position w:val="-1"/>
              </w:rPr>
              <w:t>~</w:t>
            </w:r>
            <w:r>
              <w:rPr>
                <w:spacing w:val="-3"/>
                <w:position w:val="-1"/>
              </w:rPr>
              <w:t>300</w:t>
            </w:r>
          </w:p>
        </w:tc>
        <w:tc>
          <w:tcPr>
            <w:tcW w:w="2441" w:type="dxa"/>
            <w:vAlign w:val="top"/>
          </w:tcPr>
          <w:p>
            <w:pPr>
              <w:pStyle w:val="TableText"/>
              <w:spacing w:before="205" w:line="180" w:lineRule="auto"/>
              <w:ind w:left="1171"/>
            </w:pPr>
            <w:r>
              <w:t>3</w:t>
            </w:r>
          </w:p>
        </w:tc>
        <w:tc>
          <w:tcPr>
            <w:tcW w:w="2446" w:type="dxa"/>
            <w:vAlign w:val="top"/>
          </w:tcPr>
          <w:p>
            <w:pPr>
              <w:pStyle w:val="TableText"/>
              <w:spacing w:before="207" w:line="179" w:lineRule="auto"/>
              <w:ind w:left="1173"/>
            </w:pPr>
            <w:r>
              <w:t>5</w:t>
            </w:r>
          </w:p>
        </w:tc>
      </w:tr>
      <w:tr>
        <w:tblPrEx>
          <w:tblW w:w="9223" w:type="dxa"/>
          <w:tblInd w:w="213" w:type="dxa"/>
          <w:tblLayout w:type="fixed"/>
        </w:tblPrEx>
        <w:trPr>
          <w:trHeight w:val="464"/>
        </w:trPr>
        <w:tc>
          <w:tcPr>
            <w:tcW w:w="1871" w:type="dxa"/>
            <w:vAlign w:val="top"/>
          </w:tcPr>
          <w:p>
            <w:pPr>
              <w:pStyle w:val="TableText"/>
              <w:spacing w:before="165" w:line="218" w:lineRule="auto"/>
              <w:ind w:left="593"/>
            </w:pPr>
            <w:r>
              <w:rPr>
                <w:spacing w:val="-7"/>
              </w:rPr>
              <w:t>蔬菜类</w:t>
            </w:r>
          </w:p>
        </w:tc>
        <w:tc>
          <w:tcPr>
            <w:tcW w:w="2465" w:type="dxa"/>
            <w:vAlign w:val="top"/>
          </w:tcPr>
          <w:p>
            <w:pPr>
              <w:pStyle w:val="TableText"/>
              <w:spacing w:before="206" w:line="248" w:lineRule="exact"/>
              <w:ind w:left="797"/>
            </w:pPr>
            <w:r>
              <w:rPr>
                <w:spacing w:val="-3"/>
                <w:position w:val="-1"/>
              </w:rPr>
              <w:t>300</w:t>
            </w:r>
            <w:r>
              <w:rPr>
                <w:rFonts w:ascii="Microsoft YaHei" w:eastAsia="Microsoft YaHei" w:hAnsi="Microsoft YaHei" w:cs="Microsoft YaHei"/>
                <w:spacing w:val="-3"/>
                <w:position w:val="-1"/>
              </w:rPr>
              <w:t>~</w:t>
            </w:r>
            <w:r>
              <w:rPr>
                <w:spacing w:val="-3"/>
                <w:position w:val="-1"/>
              </w:rPr>
              <w:t>500</w:t>
            </w:r>
          </w:p>
        </w:tc>
        <w:tc>
          <w:tcPr>
            <w:tcW w:w="2441" w:type="dxa"/>
            <w:vMerge w:val="restart"/>
            <w:tcBorders>
              <w:bottom w:val="nil"/>
            </w:tcBorders>
            <w:vAlign w:val="top"/>
          </w:tcPr>
          <w:p>
            <w:pPr>
              <w:spacing w:line="362" w:lineRule="auto"/>
              <w:rPr>
                <w:rFonts w:ascii="Arial"/>
                <w:sz w:val="21"/>
              </w:rPr>
            </w:pPr>
          </w:p>
          <w:p>
            <w:pPr>
              <w:pStyle w:val="TableText"/>
              <w:spacing w:before="78" w:line="180" w:lineRule="auto"/>
              <w:ind w:left="1165"/>
            </w:pPr>
            <w:r>
              <w:t>4</w:t>
            </w:r>
          </w:p>
        </w:tc>
        <w:tc>
          <w:tcPr>
            <w:tcW w:w="2446" w:type="dxa"/>
            <w:vMerge w:val="restart"/>
            <w:tcBorders>
              <w:bottom w:val="nil"/>
            </w:tcBorders>
            <w:vAlign w:val="top"/>
          </w:tcPr>
          <w:p>
            <w:pPr>
              <w:spacing w:line="360" w:lineRule="auto"/>
              <w:rPr>
                <w:rFonts w:ascii="Arial"/>
                <w:sz w:val="21"/>
              </w:rPr>
            </w:pPr>
          </w:p>
          <w:p>
            <w:pPr>
              <w:pStyle w:val="TableText"/>
              <w:spacing w:before="78" w:line="181" w:lineRule="auto"/>
              <w:ind w:left="1126"/>
            </w:pPr>
            <w:r>
              <w:rPr>
                <w:spacing w:val="-14"/>
              </w:rPr>
              <w:t>10</w:t>
            </w:r>
          </w:p>
        </w:tc>
      </w:tr>
      <w:tr>
        <w:tblPrEx>
          <w:tblW w:w="9223" w:type="dxa"/>
          <w:tblInd w:w="213" w:type="dxa"/>
          <w:tblLayout w:type="fixed"/>
        </w:tblPrEx>
        <w:trPr>
          <w:trHeight w:val="464"/>
        </w:trPr>
        <w:tc>
          <w:tcPr>
            <w:tcW w:w="1871" w:type="dxa"/>
            <w:vAlign w:val="top"/>
          </w:tcPr>
          <w:p>
            <w:pPr>
              <w:pStyle w:val="TableText"/>
              <w:spacing w:before="166" w:line="221" w:lineRule="auto"/>
              <w:ind w:left="589"/>
            </w:pPr>
            <w:r>
              <w:rPr>
                <w:spacing w:val="-6"/>
              </w:rPr>
              <w:t>水果类</w:t>
            </w:r>
          </w:p>
        </w:tc>
        <w:tc>
          <w:tcPr>
            <w:tcW w:w="2465" w:type="dxa"/>
            <w:vAlign w:val="top"/>
          </w:tcPr>
          <w:p>
            <w:pPr>
              <w:pStyle w:val="TableText"/>
              <w:spacing w:before="208" w:line="246" w:lineRule="exact"/>
              <w:ind w:left="795"/>
            </w:pPr>
            <w:r>
              <w:rPr>
                <w:spacing w:val="-3"/>
                <w:position w:val="-1"/>
              </w:rPr>
              <w:t>200</w:t>
            </w:r>
            <w:r>
              <w:rPr>
                <w:rFonts w:ascii="Microsoft YaHei" w:eastAsia="Microsoft YaHei" w:hAnsi="Microsoft YaHei" w:cs="Microsoft YaHei"/>
                <w:spacing w:val="-3"/>
                <w:position w:val="-1"/>
              </w:rPr>
              <w:t>~</w:t>
            </w:r>
            <w:r>
              <w:rPr>
                <w:spacing w:val="-3"/>
                <w:position w:val="-1"/>
              </w:rPr>
              <w:t>350</w:t>
            </w:r>
          </w:p>
        </w:tc>
        <w:tc>
          <w:tcPr>
            <w:tcW w:w="2441" w:type="dxa"/>
            <w:vMerge/>
            <w:tcBorders>
              <w:top w:val="nil"/>
            </w:tcBorders>
            <w:vAlign w:val="top"/>
          </w:tcPr>
          <w:p>
            <w:pPr>
              <w:rPr>
                <w:rFonts w:ascii="Arial"/>
                <w:sz w:val="21"/>
              </w:rPr>
            </w:pPr>
          </w:p>
        </w:tc>
        <w:tc>
          <w:tcPr>
            <w:tcW w:w="2446" w:type="dxa"/>
            <w:vMerge/>
            <w:tcBorders>
              <w:top w:val="nil"/>
            </w:tcBorders>
            <w:vAlign w:val="top"/>
          </w:tcPr>
          <w:p>
            <w:pPr>
              <w:rPr>
                <w:rFonts w:ascii="Arial"/>
                <w:sz w:val="21"/>
              </w:rPr>
            </w:pPr>
          </w:p>
        </w:tc>
      </w:tr>
      <w:tr>
        <w:tblPrEx>
          <w:tblW w:w="9223" w:type="dxa"/>
          <w:tblInd w:w="213" w:type="dxa"/>
          <w:tblLayout w:type="fixed"/>
        </w:tblPrEx>
        <w:trPr>
          <w:trHeight w:val="464"/>
        </w:trPr>
        <w:tc>
          <w:tcPr>
            <w:tcW w:w="1871" w:type="dxa"/>
            <w:vAlign w:val="top"/>
          </w:tcPr>
          <w:p>
            <w:pPr>
              <w:pStyle w:val="TableText"/>
              <w:spacing w:before="165" w:line="222" w:lineRule="auto"/>
              <w:ind w:left="241"/>
            </w:pPr>
            <w:r>
              <w:rPr>
                <w:spacing w:val="-5"/>
              </w:rPr>
              <w:t>畜禽类(每周)</w:t>
            </w:r>
          </w:p>
        </w:tc>
        <w:tc>
          <w:tcPr>
            <w:tcW w:w="2465" w:type="dxa"/>
            <w:vAlign w:val="top"/>
          </w:tcPr>
          <w:p>
            <w:pPr>
              <w:pStyle w:val="TableText"/>
              <w:spacing w:before="207" w:line="247" w:lineRule="exact"/>
              <w:ind w:left="795"/>
            </w:pPr>
            <w:r>
              <w:rPr>
                <w:spacing w:val="-3"/>
                <w:position w:val="-1"/>
              </w:rPr>
              <w:t>280</w:t>
            </w:r>
            <w:r>
              <w:rPr>
                <w:rFonts w:ascii="Microsoft YaHei" w:eastAsia="Microsoft YaHei" w:hAnsi="Microsoft YaHei" w:cs="Microsoft YaHei"/>
                <w:spacing w:val="-3"/>
                <w:position w:val="-1"/>
              </w:rPr>
              <w:t>~</w:t>
            </w:r>
            <w:r>
              <w:rPr>
                <w:spacing w:val="-3"/>
                <w:position w:val="-1"/>
              </w:rPr>
              <w:t>525</w:t>
            </w:r>
          </w:p>
        </w:tc>
        <w:tc>
          <w:tcPr>
            <w:tcW w:w="2441" w:type="dxa"/>
            <w:vMerge w:val="restart"/>
            <w:tcBorders>
              <w:bottom w:val="nil"/>
            </w:tcBorders>
            <w:vAlign w:val="top"/>
          </w:tcPr>
          <w:p>
            <w:pPr>
              <w:spacing w:line="298" w:lineRule="auto"/>
              <w:rPr>
                <w:rFonts w:ascii="Arial"/>
                <w:sz w:val="21"/>
              </w:rPr>
            </w:pPr>
          </w:p>
          <w:p>
            <w:pPr>
              <w:spacing w:line="298" w:lineRule="auto"/>
              <w:rPr>
                <w:rFonts w:ascii="Arial"/>
                <w:sz w:val="21"/>
              </w:rPr>
            </w:pPr>
          </w:p>
          <w:p>
            <w:pPr>
              <w:pStyle w:val="TableText"/>
              <w:spacing w:before="78" w:line="180" w:lineRule="auto"/>
              <w:ind w:left="1171"/>
            </w:pPr>
            <w:r>
              <w:t>3</w:t>
            </w:r>
          </w:p>
        </w:tc>
        <w:tc>
          <w:tcPr>
            <w:tcW w:w="2446" w:type="dxa"/>
            <w:vMerge w:val="restart"/>
            <w:tcBorders>
              <w:bottom w:val="nil"/>
            </w:tcBorders>
            <w:vAlign w:val="top"/>
          </w:tcPr>
          <w:p>
            <w:pPr>
              <w:spacing w:line="298" w:lineRule="auto"/>
              <w:rPr>
                <w:rFonts w:ascii="Arial"/>
                <w:sz w:val="21"/>
              </w:rPr>
            </w:pPr>
          </w:p>
          <w:p>
            <w:pPr>
              <w:spacing w:line="299" w:lineRule="auto"/>
              <w:rPr>
                <w:rFonts w:ascii="Arial"/>
                <w:sz w:val="21"/>
              </w:rPr>
            </w:pPr>
          </w:p>
          <w:p>
            <w:pPr>
              <w:pStyle w:val="TableText"/>
              <w:spacing w:before="78" w:line="179" w:lineRule="auto"/>
              <w:ind w:left="1173"/>
            </w:pPr>
            <w:r>
              <w:t>5</w:t>
            </w:r>
          </w:p>
        </w:tc>
      </w:tr>
      <w:tr>
        <w:tblPrEx>
          <w:tblW w:w="9223" w:type="dxa"/>
          <w:tblInd w:w="213" w:type="dxa"/>
          <w:tblLayout w:type="fixed"/>
        </w:tblPrEx>
        <w:trPr>
          <w:trHeight w:val="465"/>
        </w:trPr>
        <w:tc>
          <w:tcPr>
            <w:tcW w:w="1871" w:type="dxa"/>
            <w:vAlign w:val="top"/>
          </w:tcPr>
          <w:p>
            <w:pPr>
              <w:pStyle w:val="TableText"/>
              <w:spacing w:before="167" w:line="221" w:lineRule="auto"/>
              <w:ind w:left="231"/>
            </w:pPr>
            <w:r>
              <w:rPr>
                <w:spacing w:val="-3"/>
              </w:rPr>
              <w:t>水产类(每周)</w:t>
            </w:r>
          </w:p>
        </w:tc>
        <w:tc>
          <w:tcPr>
            <w:tcW w:w="2465" w:type="dxa"/>
            <w:vAlign w:val="top"/>
          </w:tcPr>
          <w:p>
            <w:pPr>
              <w:pStyle w:val="TableText"/>
              <w:spacing w:before="208" w:line="247" w:lineRule="exact"/>
              <w:ind w:left="795"/>
            </w:pPr>
            <w:r>
              <w:rPr>
                <w:spacing w:val="-3"/>
                <w:position w:val="-1"/>
              </w:rPr>
              <w:t>280</w:t>
            </w:r>
            <w:r>
              <w:rPr>
                <w:rFonts w:ascii="Microsoft YaHei" w:eastAsia="Microsoft YaHei" w:hAnsi="Microsoft YaHei" w:cs="Microsoft YaHei"/>
                <w:spacing w:val="-3"/>
                <w:position w:val="-1"/>
              </w:rPr>
              <w:t>~</w:t>
            </w:r>
            <w:r>
              <w:rPr>
                <w:spacing w:val="-3"/>
                <w:position w:val="-1"/>
              </w:rPr>
              <w:t>525</w:t>
            </w:r>
          </w:p>
        </w:tc>
        <w:tc>
          <w:tcPr>
            <w:tcW w:w="2441" w:type="dxa"/>
            <w:vMerge/>
            <w:tcBorders>
              <w:top w:val="nil"/>
              <w:bottom w:val="nil"/>
            </w:tcBorders>
            <w:vAlign w:val="top"/>
          </w:tcPr>
          <w:p>
            <w:pPr>
              <w:rPr>
                <w:rFonts w:ascii="Arial"/>
                <w:sz w:val="21"/>
              </w:rPr>
            </w:pPr>
          </w:p>
        </w:tc>
        <w:tc>
          <w:tcPr>
            <w:tcW w:w="2446" w:type="dxa"/>
            <w:vMerge/>
            <w:tcBorders>
              <w:top w:val="nil"/>
              <w:bottom w:val="nil"/>
            </w:tcBorders>
            <w:vAlign w:val="top"/>
          </w:tcPr>
          <w:p>
            <w:pPr>
              <w:rPr>
                <w:rFonts w:ascii="Arial"/>
                <w:sz w:val="21"/>
              </w:rPr>
            </w:pPr>
          </w:p>
        </w:tc>
      </w:tr>
      <w:tr>
        <w:tblPrEx>
          <w:tblW w:w="9223" w:type="dxa"/>
          <w:tblInd w:w="213" w:type="dxa"/>
          <w:tblLayout w:type="fixed"/>
        </w:tblPrEx>
        <w:trPr>
          <w:trHeight w:val="465"/>
        </w:trPr>
        <w:tc>
          <w:tcPr>
            <w:tcW w:w="1871" w:type="dxa"/>
            <w:vAlign w:val="top"/>
          </w:tcPr>
          <w:p>
            <w:pPr>
              <w:pStyle w:val="TableText"/>
              <w:spacing w:before="167" w:line="221" w:lineRule="auto"/>
              <w:ind w:left="355"/>
            </w:pPr>
            <w:r>
              <w:rPr>
                <w:spacing w:val="-4"/>
              </w:rPr>
              <w:t>蛋类(每周)</w:t>
            </w:r>
          </w:p>
        </w:tc>
        <w:tc>
          <w:tcPr>
            <w:tcW w:w="2465" w:type="dxa"/>
            <w:vAlign w:val="top"/>
          </w:tcPr>
          <w:p>
            <w:pPr>
              <w:pStyle w:val="TableText"/>
              <w:spacing w:before="209" w:line="246" w:lineRule="exact"/>
              <w:ind w:left="795"/>
            </w:pPr>
            <w:r>
              <w:rPr>
                <w:spacing w:val="-3"/>
                <w:position w:val="-1"/>
              </w:rPr>
              <w:t>280</w:t>
            </w:r>
            <w:r>
              <w:rPr>
                <w:rFonts w:ascii="Microsoft YaHei" w:eastAsia="Microsoft YaHei" w:hAnsi="Microsoft YaHei" w:cs="Microsoft YaHei"/>
                <w:spacing w:val="-3"/>
                <w:position w:val="-1"/>
              </w:rPr>
              <w:t>~</w:t>
            </w:r>
            <w:r>
              <w:rPr>
                <w:spacing w:val="-3"/>
                <w:position w:val="-1"/>
              </w:rPr>
              <w:t>350</w:t>
            </w:r>
          </w:p>
        </w:tc>
        <w:tc>
          <w:tcPr>
            <w:tcW w:w="2441" w:type="dxa"/>
            <w:vMerge/>
            <w:tcBorders>
              <w:top w:val="nil"/>
            </w:tcBorders>
            <w:vAlign w:val="top"/>
          </w:tcPr>
          <w:p>
            <w:pPr>
              <w:rPr>
                <w:rFonts w:ascii="Arial"/>
                <w:sz w:val="21"/>
              </w:rPr>
            </w:pPr>
          </w:p>
        </w:tc>
        <w:tc>
          <w:tcPr>
            <w:tcW w:w="2446" w:type="dxa"/>
            <w:vMerge/>
            <w:tcBorders>
              <w:top w:val="nil"/>
            </w:tcBorders>
            <w:vAlign w:val="top"/>
          </w:tcPr>
          <w:p>
            <w:pPr>
              <w:rPr>
                <w:rFonts w:ascii="Arial"/>
                <w:sz w:val="21"/>
              </w:rPr>
            </w:pPr>
          </w:p>
        </w:tc>
      </w:tr>
      <w:tr>
        <w:tblPrEx>
          <w:tblW w:w="9223" w:type="dxa"/>
          <w:tblInd w:w="213" w:type="dxa"/>
          <w:tblLayout w:type="fixed"/>
        </w:tblPrEx>
        <w:trPr>
          <w:trHeight w:val="465"/>
        </w:trPr>
        <w:tc>
          <w:tcPr>
            <w:tcW w:w="1871" w:type="dxa"/>
            <w:vAlign w:val="top"/>
          </w:tcPr>
          <w:p>
            <w:pPr>
              <w:pStyle w:val="TableText"/>
              <w:spacing w:before="167" w:line="221" w:lineRule="auto"/>
              <w:ind w:left="232"/>
            </w:pPr>
            <w:r>
              <w:rPr>
                <w:spacing w:val="-4"/>
              </w:rPr>
              <w:t>奶或奶制品类</w:t>
            </w:r>
          </w:p>
        </w:tc>
        <w:tc>
          <w:tcPr>
            <w:tcW w:w="2465" w:type="dxa"/>
            <w:vAlign w:val="top"/>
          </w:tcPr>
          <w:p>
            <w:pPr>
              <w:pStyle w:val="TableText"/>
              <w:spacing w:before="209" w:line="180" w:lineRule="auto"/>
              <w:ind w:left="1063"/>
            </w:pPr>
            <w:r>
              <w:rPr>
                <w:spacing w:val="-5"/>
              </w:rPr>
              <w:t>300</w:t>
            </w:r>
          </w:p>
        </w:tc>
        <w:tc>
          <w:tcPr>
            <w:tcW w:w="2441" w:type="dxa"/>
            <w:vAlign w:val="top"/>
          </w:tcPr>
          <w:p>
            <w:pPr>
              <w:pStyle w:val="TableText"/>
              <w:spacing w:before="209" w:line="180" w:lineRule="auto"/>
              <w:ind w:left="1169"/>
            </w:pPr>
            <w:r>
              <w:t>2</w:t>
            </w:r>
          </w:p>
        </w:tc>
        <w:tc>
          <w:tcPr>
            <w:tcW w:w="2446" w:type="dxa"/>
            <w:vAlign w:val="top"/>
          </w:tcPr>
          <w:p>
            <w:pPr>
              <w:pStyle w:val="TableText"/>
              <w:spacing w:before="211" w:line="179" w:lineRule="auto"/>
              <w:ind w:left="1173"/>
            </w:pPr>
            <w:r>
              <w:t>5</w:t>
            </w:r>
          </w:p>
        </w:tc>
      </w:tr>
      <w:tr>
        <w:tblPrEx>
          <w:tblW w:w="9223" w:type="dxa"/>
          <w:tblInd w:w="213" w:type="dxa"/>
          <w:tblLayout w:type="fixed"/>
        </w:tblPrEx>
        <w:trPr>
          <w:trHeight w:val="465"/>
        </w:trPr>
        <w:tc>
          <w:tcPr>
            <w:tcW w:w="1871" w:type="dxa"/>
            <w:vAlign w:val="top"/>
          </w:tcPr>
          <w:p>
            <w:pPr>
              <w:pStyle w:val="TableText"/>
              <w:spacing w:before="168" w:line="220" w:lineRule="auto"/>
              <w:ind w:left="710"/>
            </w:pPr>
            <w:r>
              <w:rPr>
                <w:spacing w:val="-8"/>
              </w:rPr>
              <w:t>豆类</w:t>
            </w:r>
          </w:p>
        </w:tc>
        <w:tc>
          <w:tcPr>
            <w:tcW w:w="2465" w:type="dxa"/>
            <w:vAlign w:val="top"/>
          </w:tcPr>
          <w:p>
            <w:pPr>
              <w:pStyle w:val="TableText"/>
              <w:spacing w:before="209" w:line="246" w:lineRule="exact"/>
              <w:ind w:left="913"/>
            </w:pPr>
            <w:r>
              <w:rPr>
                <w:spacing w:val="-3"/>
                <w:position w:val="-1"/>
              </w:rPr>
              <w:t>25</w:t>
            </w:r>
            <w:r>
              <w:rPr>
                <w:rFonts w:ascii="Microsoft YaHei" w:eastAsia="Microsoft YaHei" w:hAnsi="Microsoft YaHei" w:cs="Microsoft YaHei"/>
                <w:spacing w:val="-3"/>
                <w:position w:val="-1"/>
              </w:rPr>
              <w:t>~</w:t>
            </w:r>
            <w:r>
              <w:rPr>
                <w:spacing w:val="-3"/>
                <w:position w:val="-1"/>
              </w:rPr>
              <w:t>35</w:t>
            </w:r>
          </w:p>
        </w:tc>
        <w:tc>
          <w:tcPr>
            <w:tcW w:w="2441" w:type="dxa"/>
            <w:vAlign w:val="top"/>
          </w:tcPr>
          <w:p>
            <w:pPr>
              <w:tabs>
                <w:tab w:val="left" w:pos="1338"/>
              </w:tabs>
              <w:spacing w:before="90" w:line="242" w:lineRule="exact"/>
              <w:ind w:left="1105"/>
              <w:rPr>
                <w:rFonts w:ascii="Arial"/>
                <w:sz w:val="21"/>
              </w:rPr>
            </w:pPr>
            <w:r>
              <w:rPr>
                <w:rFonts w:ascii="Arial" w:eastAsia="Arial" w:hAnsi="Arial" w:cs="Arial"/>
                <w:sz w:val="21"/>
                <w:szCs w:val="21"/>
                <w:u w:val="single" w:color="auto"/>
              </w:rPr>
              <w:tab/>
            </w:r>
          </w:p>
        </w:tc>
        <w:tc>
          <w:tcPr>
            <w:tcW w:w="2446" w:type="dxa"/>
            <w:vAlign w:val="top"/>
          </w:tcPr>
          <w:p>
            <w:pPr>
              <w:pStyle w:val="TableText"/>
              <w:spacing w:before="282" w:line="162" w:lineRule="exact"/>
              <w:ind w:left="1108"/>
            </w:pPr>
            <w:r>
              <w:rPr>
                <w:position w:val="-4"/>
              </w:rPr>
              <w:t>—</w:t>
            </w:r>
          </w:p>
        </w:tc>
      </w:tr>
      <w:tr>
        <w:tblPrEx>
          <w:tblW w:w="9223" w:type="dxa"/>
          <w:tblInd w:w="213" w:type="dxa"/>
          <w:tblLayout w:type="fixed"/>
        </w:tblPrEx>
        <w:trPr>
          <w:trHeight w:val="465"/>
        </w:trPr>
        <w:tc>
          <w:tcPr>
            <w:tcW w:w="1871" w:type="dxa"/>
            <w:vAlign w:val="top"/>
          </w:tcPr>
          <w:p>
            <w:pPr>
              <w:pStyle w:val="TableText"/>
              <w:spacing w:before="168" w:line="220" w:lineRule="auto"/>
              <w:ind w:left="830"/>
            </w:pPr>
            <w:r>
              <w:t>盐</w:t>
            </w:r>
          </w:p>
        </w:tc>
        <w:tc>
          <w:tcPr>
            <w:tcW w:w="2465" w:type="dxa"/>
            <w:vAlign w:val="top"/>
          </w:tcPr>
          <w:p>
            <w:pPr>
              <w:pStyle w:val="TableText"/>
              <w:spacing w:before="168" w:line="220" w:lineRule="auto"/>
              <w:ind w:left="1124"/>
            </w:pPr>
            <w:r>
              <w:rPr>
                <w:spacing w:val="-8"/>
              </w:rPr>
              <w:t>&lt;5</w:t>
            </w:r>
          </w:p>
        </w:tc>
        <w:tc>
          <w:tcPr>
            <w:tcW w:w="2441" w:type="dxa"/>
            <w:vAlign w:val="top"/>
          </w:tcPr>
          <w:p>
            <w:pPr>
              <w:pStyle w:val="TableText"/>
              <w:spacing w:before="282" w:line="162" w:lineRule="exact"/>
              <w:ind w:left="1105"/>
            </w:pPr>
            <w:r>
              <w:rPr>
                <w:position w:val="-4"/>
              </w:rPr>
              <w:t>—</w:t>
            </w:r>
          </w:p>
        </w:tc>
        <w:tc>
          <w:tcPr>
            <w:tcW w:w="2446" w:type="dxa"/>
            <w:vAlign w:val="top"/>
          </w:tcPr>
          <w:p>
            <w:pPr>
              <w:pStyle w:val="TableText"/>
              <w:spacing w:before="282" w:line="162" w:lineRule="exact"/>
              <w:ind w:left="1108"/>
            </w:pPr>
            <w:r>
              <w:rPr>
                <w:position w:val="-4"/>
              </w:rPr>
              <w:t>—</w:t>
            </w:r>
          </w:p>
        </w:tc>
      </w:tr>
      <w:tr>
        <w:tblPrEx>
          <w:tblW w:w="9223" w:type="dxa"/>
          <w:tblInd w:w="213" w:type="dxa"/>
          <w:tblLayout w:type="fixed"/>
        </w:tblPrEx>
        <w:trPr>
          <w:trHeight w:val="465"/>
        </w:trPr>
        <w:tc>
          <w:tcPr>
            <w:tcW w:w="1871" w:type="dxa"/>
            <w:vAlign w:val="top"/>
          </w:tcPr>
          <w:p>
            <w:pPr>
              <w:pStyle w:val="TableText"/>
              <w:spacing w:before="166" w:line="222" w:lineRule="auto"/>
              <w:ind w:left="836"/>
            </w:pPr>
            <w:r>
              <w:t>油</w:t>
            </w:r>
          </w:p>
        </w:tc>
        <w:tc>
          <w:tcPr>
            <w:tcW w:w="2465" w:type="dxa"/>
            <w:vAlign w:val="top"/>
          </w:tcPr>
          <w:p>
            <w:pPr>
              <w:pStyle w:val="TableText"/>
              <w:spacing w:before="166" w:line="222" w:lineRule="auto"/>
              <w:ind w:left="1064"/>
            </w:pPr>
            <w:r>
              <w:rPr>
                <w:spacing w:val="-5"/>
              </w:rPr>
              <w:t>&lt;25</w:t>
            </w:r>
          </w:p>
        </w:tc>
        <w:tc>
          <w:tcPr>
            <w:tcW w:w="2441" w:type="dxa"/>
            <w:vAlign w:val="top"/>
          </w:tcPr>
          <w:p>
            <w:pPr>
              <w:tabs>
                <w:tab w:val="left" w:pos="1338"/>
              </w:tabs>
              <w:spacing w:before="89" w:line="241" w:lineRule="exact"/>
              <w:ind w:left="1105"/>
              <w:rPr>
                <w:rFonts w:ascii="Arial"/>
                <w:sz w:val="21"/>
              </w:rPr>
            </w:pPr>
            <w:r>
              <w:rPr>
                <w:rFonts w:ascii="Arial" w:eastAsia="Arial" w:hAnsi="Arial" w:cs="Arial"/>
                <w:sz w:val="21"/>
                <w:szCs w:val="21"/>
                <w:u w:val="single" w:color="auto"/>
              </w:rPr>
              <w:tab/>
            </w:r>
          </w:p>
        </w:tc>
        <w:tc>
          <w:tcPr>
            <w:tcW w:w="2446" w:type="dxa"/>
            <w:vAlign w:val="top"/>
          </w:tcPr>
          <w:p>
            <w:pPr>
              <w:pStyle w:val="TableText"/>
              <w:spacing w:before="280" w:line="162" w:lineRule="exact"/>
              <w:ind w:left="1108"/>
            </w:pPr>
            <w:r>
              <w:rPr>
                <w:position w:val="-4"/>
              </w:rPr>
              <w:t>—</w:t>
            </w:r>
          </w:p>
        </w:tc>
      </w:tr>
      <w:tr>
        <w:tblPrEx>
          <w:tblW w:w="9223" w:type="dxa"/>
          <w:tblInd w:w="213" w:type="dxa"/>
          <w:tblLayout w:type="fixed"/>
        </w:tblPrEx>
        <w:trPr>
          <w:trHeight w:val="469"/>
        </w:trPr>
        <w:tc>
          <w:tcPr>
            <w:tcW w:w="1871" w:type="dxa"/>
            <w:vAlign w:val="top"/>
          </w:tcPr>
          <w:p>
            <w:pPr>
              <w:pStyle w:val="TableText"/>
              <w:spacing w:before="167" w:line="222" w:lineRule="auto"/>
              <w:ind w:left="831"/>
            </w:pPr>
            <w:r>
              <w:t>糖</w:t>
            </w:r>
          </w:p>
        </w:tc>
        <w:tc>
          <w:tcPr>
            <w:tcW w:w="2465" w:type="dxa"/>
            <w:vAlign w:val="top"/>
          </w:tcPr>
          <w:p>
            <w:pPr>
              <w:pStyle w:val="TableText"/>
              <w:spacing w:before="167" w:line="224" w:lineRule="auto"/>
              <w:ind w:left="1064"/>
            </w:pPr>
            <w:r>
              <w:rPr>
                <w:spacing w:val="-5"/>
              </w:rPr>
              <w:t>&lt;25</w:t>
            </w:r>
          </w:p>
        </w:tc>
        <w:tc>
          <w:tcPr>
            <w:tcW w:w="2441" w:type="dxa"/>
            <w:vAlign w:val="top"/>
          </w:tcPr>
          <w:p>
            <w:pPr>
              <w:pStyle w:val="TableText"/>
              <w:spacing w:before="281" w:line="162" w:lineRule="exact"/>
              <w:ind w:left="1105"/>
            </w:pPr>
            <w:r>
              <w:rPr>
                <w:position w:val="-4"/>
              </w:rPr>
              <w:t>—</w:t>
            </w:r>
          </w:p>
        </w:tc>
        <w:tc>
          <w:tcPr>
            <w:tcW w:w="2446" w:type="dxa"/>
            <w:vAlign w:val="top"/>
          </w:tcPr>
          <w:p>
            <w:pPr>
              <w:pStyle w:val="TableText"/>
              <w:spacing w:before="281" w:line="162" w:lineRule="exact"/>
              <w:ind w:left="1108"/>
            </w:pPr>
            <w:r>
              <w:rPr>
                <w:position w:val="-4"/>
              </w:rPr>
              <w:t>—</w:t>
            </w:r>
          </w:p>
        </w:tc>
      </w:tr>
    </w:tbl>
    <w:p>
      <w:pPr>
        <w:pStyle w:val="BodyText"/>
        <w:spacing w:before="163" w:line="223" w:lineRule="auto"/>
        <w:ind w:left="338"/>
      </w:pPr>
      <w:r>
        <w:rPr>
          <w:spacing w:val="-3"/>
        </w:rPr>
        <w:t>7.1.2烹调方式</w:t>
      </w:r>
    </w:p>
    <w:p>
      <w:pPr>
        <w:pStyle w:val="BodyText"/>
        <w:spacing w:before="170" w:line="459" w:lineRule="exact"/>
        <w:ind w:left="820"/>
      </w:pPr>
      <w:r>
        <w:rPr>
          <w:spacing w:val="-1"/>
          <w:position w:val="16"/>
        </w:rPr>
        <w:t>食堂宜选择健康的烹饪方法，首推凉拌、煮、炒、烩、焖、炖或蒸，每周使用油</w:t>
      </w:r>
    </w:p>
    <w:p>
      <w:pPr>
        <w:pStyle w:val="BodyText"/>
        <w:spacing w:before="1" w:line="221" w:lineRule="auto"/>
        <w:ind w:left="339"/>
      </w:pPr>
      <w:r>
        <w:rPr>
          <w:spacing w:val="-1"/>
        </w:rPr>
        <w:t>炸、盐渍或熏制等食品不超过2次。见表2。</w:t>
      </w:r>
    </w:p>
    <w:p>
      <w:pPr>
        <w:pStyle w:val="BodyText"/>
        <w:spacing w:before="172" w:line="223" w:lineRule="auto"/>
        <w:ind w:left="4127"/>
      </w:pPr>
      <w:r>
        <w:rPr>
          <w:spacing w:val="-10"/>
        </w:rPr>
        <w:t>表2</w:t>
      </w:r>
      <w:r>
        <w:rPr>
          <w:spacing w:val="34"/>
        </w:rPr>
        <w:t xml:space="preserve"> </w:t>
      </w:r>
      <w:r>
        <w:rPr>
          <w:spacing w:val="-10"/>
        </w:rPr>
        <w:t>烹调方式</w:t>
      </w:r>
    </w:p>
    <w:p>
      <w:pPr>
        <w:spacing w:line="86" w:lineRule="auto"/>
        <w:rPr>
          <w:rFonts w:ascii="Arial"/>
          <w:sz w:val="2"/>
        </w:rPr>
        <w:sectPr>
          <w:footerReference w:type="default" r:id="rId16"/>
          <w:pgSz w:w="11905" w:h="16839"/>
          <w:pgMar w:top="969" w:right="1127" w:bottom="674" w:left="1127" w:header="0" w:footer="505" w:gutter="0"/>
          <w:pgNumType w:start="11"/>
          <w:cols w:space="708"/>
        </w:sectPr>
      </w:pPr>
    </w:p>
    <w:tbl>
      <w:tblPr>
        <w:tblStyle w:val="TableNormal1"/>
        <w:tblW w:w="96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16"/>
        <w:gridCol w:w="3212"/>
        <w:gridCol w:w="3217"/>
      </w:tblGrid>
      <w:tr>
        <w:tblPrEx>
          <w:tblW w:w="96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9"/>
        </w:trPr>
        <w:tc>
          <w:tcPr>
            <w:tcW w:w="3216" w:type="dxa"/>
            <w:vAlign w:val="top"/>
          </w:tcPr>
          <w:p>
            <w:pPr>
              <w:pStyle w:val="TableText"/>
              <w:spacing w:before="168" w:line="222" w:lineRule="auto"/>
              <w:ind w:left="786"/>
            </w:pPr>
            <w:r>
              <w:rPr>
                <w:spacing w:val="-4"/>
              </w:rPr>
              <w:t>推荐的烹调方式</w:t>
            </w:r>
          </w:p>
        </w:tc>
        <w:tc>
          <w:tcPr>
            <w:tcW w:w="3212" w:type="dxa"/>
            <w:vAlign w:val="top"/>
          </w:tcPr>
          <w:p>
            <w:pPr>
              <w:pStyle w:val="TableText"/>
              <w:spacing w:before="168" w:line="222" w:lineRule="auto"/>
              <w:ind w:left="795"/>
            </w:pPr>
            <w:r>
              <w:rPr>
                <w:spacing w:val="-5"/>
              </w:rPr>
              <w:t>常见的烹调方式</w:t>
            </w:r>
          </w:p>
        </w:tc>
        <w:tc>
          <w:tcPr>
            <w:tcW w:w="3217" w:type="dxa"/>
            <w:vAlign w:val="top"/>
          </w:tcPr>
          <w:p>
            <w:pPr>
              <w:pStyle w:val="TableText"/>
              <w:spacing w:before="168" w:line="222" w:lineRule="auto"/>
              <w:ind w:left="671"/>
            </w:pPr>
            <w:r>
              <w:rPr>
                <w:spacing w:val="-4"/>
              </w:rPr>
              <w:t>不推荐的烹饪方法</w:t>
            </w:r>
          </w:p>
        </w:tc>
      </w:tr>
      <w:tr>
        <w:tblPrEx>
          <w:tblW w:w="9645" w:type="dxa"/>
          <w:tblInd w:w="2" w:type="dxa"/>
          <w:tblLayout w:type="fixed"/>
        </w:tblPrEx>
        <w:trPr>
          <w:trHeight w:val="464"/>
        </w:trPr>
        <w:tc>
          <w:tcPr>
            <w:tcW w:w="3216" w:type="dxa"/>
            <w:vAlign w:val="top"/>
          </w:tcPr>
          <w:p>
            <w:pPr>
              <w:pStyle w:val="TableText"/>
              <w:spacing w:before="164" w:line="222" w:lineRule="auto"/>
              <w:ind w:left="1382"/>
            </w:pPr>
            <w:r>
              <w:rPr>
                <w:spacing w:val="-9"/>
              </w:rPr>
              <w:t>凉拌</w:t>
            </w:r>
          </w:p>
        </w:tc>
        <w:tc>
          <w:tcPr>
            <w:tcW w:w="3212" w:type="dxa"/>
            <w:vAlign w:val="top"/>
          </w:tcPr>
          <w:p>
            <w:pPr>
              <w:pStyle w:val="TableText"/>
              <w:spacing w:before="164" w:line="223" w:lineRule="auto"/>
              <w:ind w:left="1500"/>
            </w:pPr>
            <w:r>
              <w:t>烧</w:t>
            </w:r>
          </w:p>
        </w:tc>
        <w:tc>
          <w:tcPr>
            <w:tcW w:w="3217" w:type="dxa"/>
            <w:vAlign w:val="top"/>
          </w:tcPr>
          <w:p>
            <w:pPr>
              <w:pStyle w:val="TableText"/>
              <w:spacing w:before="164" w:line="222" w:lineRule="auto"/>
              <w:ind w:left="1389"/>
            </w:pPr>
            <w:r>
              <w:rPr>
                <w:spacing w:val="-11"/>
              </w:rPr>
              <w:t>油炸</w:t>
            </w:r>
          </w:p>
        </w:tc>
      </w:tr>
      <w:tr>
        <w:tblPrEx>
          <w:tblW w:w="9645" w:type="dxa"/>
          <w:tblInd w:w="2" w:type="dxa"/>
          <w:tblLayout w:type="fixed"/>
        </w:tblPrEx>
        <w:trPr>
          <w:trHeight w:val="464"/>
        </w:trPr>
        <w:tc>
          <w:tcPr>
            <w:tcW w:w="3216" w:type="dxa"/>
            <w:vAlign w:val="top"/>
          </w:tcPr>
          <w:p>
            <w:pPr>
              <w:pStyle w:val="TableText"/>
              <w:spacing w:before="165" w:line="222" w:lineRule="auto"/>
              <w:ind w:left="1501"/>
            </w:pPr>
            <w:r>
              <w:t>煮</w:t>
            </w:r>
          </w:p>
        </w:tc>
        <w:tc>
          <w:tcPr>
            <w:tcW w:w="3212" w:type="dxa"/>
            <w:vAlign w:val="top"/>
          </w:tcPr>
          <w:p>
            <w:pPr>
              <w:pStyle w:val="TableText"/>
              <w:spacing w:before="165" w:line="222" w:lineRule="auto"/>
              <w:ind w:left="1499"/>
            </w:pPr>
            <w:r>
              <w:t>烤</w:t>
            </w:r>
          </w:p>
        </w:tc>
        <w:tc>
          <w:tcPr>
            <w:tcW w:w="3217" w:type="dxa"/>
            <w:vAlign w:val="top"/>
          </w:tcPr>
          <w:p>
            <w:pPr>
              <w:pStyle w:val="TableText"/>
              <w:spacing w:before="165" w:line="222" w:lineRule="auto"/>
              <w:ind w:left="1383"/>
            </w:pPr>
            <w:r>
              <w:rPr>
                <w:spacing w:val="-8"/>
              </w:rPr>
              <w:t>盐渍</w:t>
            </w:r>
          </w:p>
        </w:tc>
      </w:tr>
      <w:tr>
        <w:tblPrEx>
          <w:tblW w:w="9645" w:type="dxa"/>
          <w:tblInd w:w="2" w:type="dxa"/>
          <w:tblLayout w:type="fixed"/>
        </w:tblPrEx>
        <w:trPr>
          <w:trHeight w:val="464"/>
        </w:trPr>
        <w:tc>
          <w:tcPr>
            <w:tcW w:w="3216" w:type="dxa"/>
            <w:vAlign w:val="top"/>
          </w:tcPr>
          <w:p>
            <w:pPr>
              <w:pStyle w:val="TableText"/>
              <w:spacing w:before="165" w:line="222" w:lineRule="auto"/>
              <w:ind w:left="1502"/>
            </w:pPr>
            <w:r>
              <w:t>炒</w:t>
            </w:r>
          </w:p>
        </w:tc>
        <w:tc>
          <w:tcPr>
            <w:tcW w:w="3212" w:type="dxa"/>
            <w:vAlign w:val="top"/>
          </w:tcPr>
          <w:p>
            <w:pPr>
              <w:pStyle w:val="TableText"/>
              <w:spacing w:before="165" w:line="222" w:lineRule="auto"/>
              <w:ind w:left="1509"/>
            </w:pPr>
            <w:r>
              <w:t>煎</w:t>
            </w:r>
          </w:p>
        </w:tc>
        <w:tc>
          <w:tcPr>
            <w:tcW w:w="3217" w:type="dxa"/>
            <w:vAlign w:val="top"/>
          </w:tcPr>
          <w:p>
            <w:pPr>
              <w:pStyle w:val="TableText"/>
              <w:spacing w:before="164" w:line="222" w:lineRule="auto"/>
              <w:ind w:left="1395"/>
            </w:pPr>
            <w:r>
              <w:rPr>
                <w:spacing w:val="-15"/>
              </w:rPr>
              <w:t>熏制</w:t>
            </w:r>
          </w:p>
        </w:tc>
      </w:tr>
      <w:tr>
        <w:tblPrEx>
          <w:tblW w:w="9645" w:type="dxa"/>
          <w:tblInd w:w="2" w:type="dxa"/>
          <w:tblLayout w:type="fixed"/>
        </w:tblPrEx>
        <w:trPr>
          <w:trHeight w:val="464"/>
        </w:trPr>
        <w:tc>
          <w:tcPr>
            <w:tcW w:w="3216" w:type="dxa"/>
            <w:vAlign w:val="top"/>
          </w:tcPr>
          <w:p>
            <w:pPr>
              <w:pStyle w:val="TableText"/>
              <w:spacing w:before="166" w:line="221" w:lineRule="auto"/>
              <w:ind w:left="1502"/>
            </w:pPr>
            <w:r>
              <w:t>烩</w:t>
            </w:r>
          </w:p>
        </w:tc>
        <w:tc>
          <w:tcPr>
            <w:tcW w:w="3212" w:type="dxa"/>
            <w:vAlign w:val="top"/>
          </w:tcPr>
          <w:p>
            <w:pPr>
              <w:pStyle w:val="TableText"/>
              <w:spacing w:before="166" w:line="221" w:lineRule="auto"/>
              <w:ind w:left="1387"/>
            </w:pPr>
            <w:r>
              <w:rPr>
                <w:spacing w:val="-12"/>
              </w:rPr>
              <w:t>干煸</w:t>
            </w:r>
          </w:p>
        </w:tc>
        <w:tc>
          <w:tcPr>
            <w:tcW w:w="3217" w:type="dxa"/>
            <w:vAlign w:val="top"/>
          </w:tcPr>
          <w:p>
            <w:pPr>
              <w:pStyle w:val="TableText"/>
              <w:spacing w:before="280" w:line="162" w:lineRule="exact"/>
              <w:ind w:left="1492"/>
            </w:pPr>
            <w:r>
              <w:rPr>
                <w:position w:val="-4"/>
              </w:rPr>
              <w:t>—</w:t>
            </w:r>
          </w:p>
        </w:tc>
      </w:tr>
      <w:tr>
        <w:tblPrEx>
          <w:tblW w:w="9645" w:type="dxa"/>
          <w:tblInd w:w="2" w:type="dxa"/>
          <w:tblLayout w:type="fixed"/>
        </w:tblPrEx>
        <w:trPr>
          <w:trHeight w:val="465"/>
        </w:trPr>
        <w:tc>
          <w:tcPr>
            <w:tcW w:w="3216" w:type="dxa"/>
            <w:vAlign w:val="top"/>
          </w:tcPr>
          <w:p>
            <w:pPr>
              <w:pStyle w:val="TableText"/>
              <w:spacing w:before="167" w:line="221" w:lineRule="auto"/>
              <w:ind w:left="1499"/>
            </w:pPr>
            <w:r>
              <w:t>焖</w:t>
            </w:r>
          </w:p>
        </w:tc>
        <w:tc>
          <w:tcPr>
            <w:tcW w:w="3212" w:type="dxa"/>
            <w:vAlign w:val="top"/>
          </w:tcPr>
          <w:p>
            <w:pPr>
              <w:pStyle w:val="TableText"/>
              <w:spacing w:before="281" w:line="162" w:lineRule="exact"/>
              <w:ind w:left="1491"/>
            </w:pPr>
            <w:r>
              <w:rPr>
                <w:position w:val="-4"/>
              </w:rPr>
              <w:t>—</w:t>
            </w:r>
          </w:p>
        </w:tc>
        <w:tc>
          <w:tcPr>
            <w:tcW w:w="3217" w:type="dxa"/>
            <w:vAlign w:val="top"/>
          </w:tcPr>
          <w:p>
            <w:pPr>
              <w:pStyle w:val="TableText"/>
              <w:spacing w:before="281" w:line="162" w:lineRule="exact"/>
              <w:ind w:left="1492"/>
            </w:pPr>
            <w:r>
              <w:rPr>
                <w:position w:val="-4"/>
              </w:rPr>
              <w:t>—</w:t>
            </w:r>
          </w:p>
        </w:tc>
      </w:tr>
      <w:tr>
        <w:tblPrEx>
          <w:tblW w:w="9645" w:type="dxa"/>
          <w:tblInd w:w="2" w:type="dxa"/>
          <w:tblLayout w:type="fixed"/>
        </w:tblPrEx>
        <w:trPr>
          <w:trHeight w:val="467"/>
        </w:trPr>
        <w:tc>
          <w:tcPr>
            <w:tcW w:w="3216" w:type="dxa"/>
            <w:vAlign w:val="top"/>
          </w:tcPr>
          <w:p>
            <w:pPr>
              <w:pStyle w:val="TableText"/>
              <w:spacing w:before="168" w:line="222" w:lineRule="auto"/>
              <w:ind w:left="1501"/>
            </w:pPr>
            <w:r>
              <w:t>炖</w:t>
            </w:r>
          </w:p>
        </w:tc>
        <w:tc>
          <w:tcPr>
            <w:tcW w:w="3212" w:type="dxa"/>
            <w:vAlign w:val="top"/>
          </w:tcPr>
          <w:p>
            <w:pPr>
              <w:pStyle w:val="TableText"/>
              <w:spacing w:before="282" w:line="161" w:lineRule="exact"/>
              <w:ind w:left="1491"/>
            </w:pPr>
            <w:r>
              <w:rPr>
                <w:position w:val="-4"/>
              </w:rPr>
              <w:t>—</w:t>
            </w:r>
          </w:p>
        </w:tc>
        <w:tc>
          <w:tcPr>
            <w:tcW w:w="3217" w:type="dxa"/>
            <w:vAlign w:val="top"/>
          </w:tcPr>
          <w:p>
            <w:pPr>
              <w:pStyle w:val="TableText"/>
              <w:spacing w:before="282" w:line="161" w:lineRule="exact"/>
              <w:ind w:left="1492"/>
            </w:pPr>
            <w:r>
              <w:rPr>
                <w:position w:val="-4"/>
              </w:rPr>
              <w:t>—</w:t>
            </w:r>
          </w:p>
        </w:tc>
      </w:tr>
    </w:tbl>
    <w:p>
      <w:pPr>
        <w:rPr>
          <w:rFonts w:ascii="Arial"/>
          <w:sz w:val="21"/>
        </w:rPr>
      </w:pPr>
    </w:p>
    <w:p>
      <w:pPr>
        <w:rPr>
          <w:rFonts w:ascii="Arial" w:eastAsia="Arial" w:hAnsi="Arial" w:cs="Arial"/>
          <w:sz w:val="21"/>
          <w:szCs w:val="21"/>
        </w:rPr>
        <w:sectPr>
          <w:footerReference w:type="default" r:id="rId17"/>
          <w:type w:val="nextPage"/>
          <w:pgSz w:w="11905" w:h="16839"/>
          <w:pgMar w:top="969" w:right="1127" w:bottom="674" w:left="1127" w:header="0" w:footer="505" w:gutter="0"/>
          <w:pgNumType w:start="12"/>
          <w:cols w:space="708"/>
          <w:titlePg w:val="0"/>
        </w:sectPr>
      </w:pPr>
    </w:p>
    <w:tbl>
      <w:tblPr>
        <w:tblStyle w:val="TableNormal2"/>
        <w:tblW w:w="96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16"/>
        <w:gridCol w:w="3212"/>
        <w:gridCol w:w="3217"/>
      </w:tblGrid>
      <w:tr>
        <w:tblPrEx>
          <w:tblW w:w="96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9"/>
        </w:trPr>
        <w:tc>
          <w:tcPr>
            <w:tcW w:w="3216" w:type="dxa"/>
            <w:vAlign w:val="top"/>
          </w:tcPr>
          <w:p>
            <w:pPr>
              <w:pStyle w:val="TableText"/>
              <w:spacing w:before="167" w:line="224" w:lineRule="auto"/>
              <w:ind w:left="1502"/>
            </w:pPr>
            <w:r>
              <w:t>蒸</w:t>
            </w:r>
          </w:p>
        </w:tc>
        <w:tc>
          <w:tcPr>
            <w:tcW w:w="3212" w:type="dxa"/>
            <w:vAlign w:val="top"/>
          </w:tcPr>
          <w:p>
            <w:pPr>
              <w:pStyle w:val="TableText"/>
              <w:spacing w:before="281" w:line="162" w:lineRule="exact"/>
              <w:ind w:left="1491"/>
            </w:pPr>
            <w:r>
              <w:rPr>
                <w:position w:val="-4"/>
              </w:rPr>
              <w:t>—</w:t>
            </w:r>
          </w:p>
        </w:tc>
        <w:tc>
          <w:tcPr>
            <w:tcW w:w="3217" w:type="dxa"/>
            <w:vAlign w:val="top"/>
          </w:tcPr>
          <w:p>
            <w:pPr>
              <w:pStyle w:val="TableText"/>
              <w:spacing w:before="281" w:line="162" w:lineRule="exact"/>
              <w:ind w:left="1492"/>
            </w:pPr>
            <w:r>
              <w:rPr>
                <w:position w:val="-4"/>
              </w:rPr>
              <w:t>—</w:t>
            </w:r>
          </w:p>
        </w:tc>
      </w:tr>
    </w:tbl>
    <w:p>
      <w:pPr>
        <w:pStyle w:val="BodyText"/>
        <w:spacing w:before="163" w:line="221" w:lineRule="auto"/>
        <w:ind w:left="338"/>
      </w:pPr>
      <w:r>
        <w:rPr>
          <w:spacing w:val="-2"/>
        </w:rPr>
        <w:t>7.1.3烹饪方式及过程对食物的影响</w:t>
      </w:r>
    </w:p>
    <w:p>
      <w:pPr>
        <w:pStyle w:val="BodyText"/>
        <w:spacing w:before="173" w:line="459" w:lineRule="exact"/>
        <w:ind w:left="834"/>
      </w:pPr>
      <w:r>
        <w:rPr>
          <w:spacing w:val="-2"/>
          <w:position w:val="16"/>
        </w:rPr>
        <w:t>烹饪方式对营养素的影响见表3，烹饪过程对维生素的影</w:t>
      </w:r>
      <w:r>
        <w:rPr>
          <w:spacing w:val="-3"/>
          <w:position w:val="16"/>
        </w:rPr>
        <w:t>响将表4。</w:t>
      </w:r>
    </w:p>
    <w:p>
      <w:pPr>
        <w:pStyle w:val="BodyText"/>
        <w:spacing w:before="1" w:line="220" w:lineRule="auto"/>
        <w:ind w:left="2992"/>
      </w:pPr>
      <w:r>
        <w:rPr>
          <w:spacing w:val="-5"/>
        </w:rPr>
        <w:t>表3</w:t>
      </w:r>
      <w:r>
        <w:rPr>
          <w:spacing w:val="19"/>
        </w:rPr>
        <w:t xml:space="preserve">  </w:t>
      </w:r>
      <w:r>
        <w:rPr>
          <w:spacing w:val="-5"/>
        </w:rPr>
        <w:t>烹饪方法对食物营养素影响表</w:t>
      </w:r>
    </w:p>
    <w:p>
      <w:pPr>
        <w:spacing w:line="113" w:lineRule="auto"/>
        <w:rPr>
          <w:rFonts w:ascii="Arial"/>
          <w:sz w:val="2"/>
        </w:rPr>
      </w:pPr>
    </w:p>
    <w:tbl>
      <w:tblPr>
        <w:tblStyle w:val="TableNormal2"/>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69"/>
        <w:gridCol w:w="3090"/>
        <w:gridCol w:w="3064"/>
      </w:tblGrid>
      <w:tr>
        <w:tblPrEx>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8"/>
        </w:trPr>
        <w:tc>
          <w:tcPr>
            <w:tcW w:w="3069" w:type="dxa"/>
            <w:vAlign w:val="top"/>
          </w:tcPr>
          <w:p>
            <w:pPr>
              <w:pStyle w:val="TableText"/>
              <w:spacing w:before="166" w:line="224" w:lineRule="auto"/>
              <w:ind w:left="1089"/>
            </w:pPr>
            <w:r>
              <w:rPr>
                <w:spacing w:val="-10"/>
              </w:rPr>
              <w:t>烹调方法</w:t>
            </w:r>
          </w:p>
        </w:tc>
        <w:tc>
          <w:tcPr>
            <w:tcW w:w="3090" w:type="dxa"/>
            <w:vAlign w:val="top"/>
          </w:tcPr>
          <w:p>
            <w:pPr>
              <w:pStyle w:val="TableText"/>
              <w:spacing w:before="166" w:line="222" w:lineRule="auto"/>
              <w:ind w:left="845"/>
            </w:pPr>
            <w:r>
              <w:rPr>
                <w:spacing w:val="-4"/>
              </w:rPr>
              <w:t>维生素B1损失</w:t>
            </w:r>
          </w:p>
        </w:tc>
        <w:tc>
          <w:tcPr>
            <w:tcW w:w="3064" w:type="dxa"/>
            <w:vAlign w:val="top"/>
          </w:tcPr>
          <w:p>
            <w:pPr>
              <w:pStyle w:val="TableText"/>
              <w:spacing w:before="166" w:line="222" w:lineRule="auto"/>
              <w:ind w:left="834"/>
            </w:pPr>
            <w:r>
              <w:rPr>
                <w:spacing w:val="-4"/>
              </w:rPr>
              <w:t>维生素B2损失</w:t>
            </w:r>
          </w:p>
        </w:tc>
      </w:tr>
      <w:tr>
        <w:tblPrEx>
          <w:tblW w:w="9223" w:type="dxa"/>
          <w:tblInd w:w="213" w:type="dxa"/>
          <w:tblLayout w:type="fixed"/>
        </w:tblPrEx>
        <w:trPr>
          <w:trHeight w:val="1386"/>
        </w:trPr>
        <w:tc>
          <w:tcPr>
            <w:tcW w:w="3069" w:type="dxa"/>
            <w:vAlign w:val="top"/>
          </w:tcPr>
          <w:p>
            <w:pPr>
              <w:pStyle w:val="TableText"/>
              <w:spacing w:before="164" w:line="223" w:lineRule="auto"/>
              <w:ind w:left="1311"/>
            </w:pPr>
            <w:r>
              <w:rPr>
                <w:spacing w:val="-9"/>
              </w:rPr>
              <w:t>红烧</w:t>
            </w:r>
          </w:p>
          <w:p>
            <w:pPr>
              <w:pStyle w:val="TableText"/>
              <w:spacing w:before="171" w:line="222" w:lineRule="auto"/>
              <w:ind w:left="1070"/>
            </w:pPr>
            <w:r>
              <w:rPr>
                <w:spacing w:val="-5"/>
              </w:rPr>
              <w:t>蒸、油炸</w:t>
            </w:r>
          </w:p>
          <w:p>
            <w:pPr>
              <w:pStyle w:val="TableText"/>
              <w:spacing w:before="169" w:line="223" w:lineRule="auto"/>
              <w:ind w:left="1311"/>
            </w:pPr>
            <w:r>
              <w:rPr>
                <w:spacing w:val="-9"/>
              </w:rPr>
              <w:t>快炒</w:t>
            </w:r>
          </w:p>
        </w:tc>
        <w:tc>
          <w:tcPr>
            <w:tcW w:w="3090" w:type="dxa"/>
            <w:vAlign w:val="top"/>
          </w:tcPr>
          <w:p>
            <w:pPr>
              <w:pStyle w:val="TableText"/>
              <w:spacing w:before="164" w:line="461" w:lineRule="exact"/>
              <w:ind w:left="1106"/>
            </w:pPr>
            <w:r>
              <w:rPr>
                <w:spacing w:val="-2"/>
                <w:position w:val="17"/>
              </w:rPr>
              <w:t>60%</w:t>
            </w:r>
            <w:r>
              <w:rPr>
                <w:rFonts w:ascii="Microsoft YaHei" w:eastAsia="Microsoft YaHei" w:hAnsi="Microsoft YaHei" w:cs="Microsoft YaHei"/>
                <w:spacing w:val="-2"/>
                <w:position w:val="17"/>
              </w:rPr>
              <w:t>~</w:t>
            </w:r>
            <w:r>
              <w:rPr>
                <w:spacing w:val="-2"/>
                <w:position w:val="17"/>
              </w:rPr>
              <w:t>65%</w:t>
            </w:r>
          </w:p>
          <w:p>
            <w:pPr>
              <w:pStyle w:val="TableText"/>
              <w:spacing w:line="241" w:lineRule="auto"/>
              <w:ind w:left="1372"/>
            </w:pPr>
            <w:r>
              <w:rPr>
                <w:spacing w:val="-3"/>
              </w:rPr>
              <w:t>45%</w:t>
            </w:r>
          </w:p>
          <w:p>
            <w:pPr>
              <w:pStyle w:val="TableText"/>
              <w:spacing w:before="144" w:line="225" w:lineRule="auto"/>
              <w:ind w:left="1390"/>
            </w:pPr>
            <w:r>
              <w:rPr>
                <w:spacing w:val="-9"/>
              </w:rPr>
              <w:t>13%</w:t>
            </w:r>
          </w:p>
        </w:tc>
        <w:tc>
          <w:tcPr>
            <w:tcW w:w="3064" w:type="dxa"/>
            <w:vAlign w:val="top"/>
          </w:tcPr>
          <w:p>
            <w:pPr>
              <w:pStyle w:val="TableText"/>
              <w:spacing w:before="164" w:line="241" w:lineRule="auto"/>
              <w:ind w:left="1358"/>
            </w:pPr>
            <w:r>
              <w:drawing>
                <wp:anchor distT="0" distB="0" distL="0" distR="0" simplePos="0" relativeHeight="251658240" behindDoc="0" locked="0" layoutInCell="1" allowOverlap="1">
                  <wp:simplePos x="0" y="0"/>
                  <wp:positionH relativeFrom="rightMargin">
                    <wp:posOffset>-1043038</wp:posOffset>
                  </wp:positionH>
                  <wp:positionV relativeFrom="topMargin">
                    <wp:posOffset>469671</wp:posOffset>
                  </wp:positionV>
                  <wp:extent cx="147675" cy="670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147675" cy="6705"/>
                          </a:xfrm>
                          <a:prstGeom prst="rect">
                            <a:avLst/>
                          </a:prstGeom>
                        </pic:spPr>
                      </pic:pic>
                    </a:graphicData>
                  </a:graphic>
                </wp:anchor>
              </w:drawing>
            </w:r>
            <w:r>
              <w:rPr>
                <w:spacing w:val="-3"/>
              </w:rPr>
              <w:t>40%</w:t>
            </w:r>
          </w:p>
          <w:p>
            <w:pPr>
              <w:spacing w:line="262" w:lineRule="auto"/>
              <w:rPr>
                <w:rFonts w:ascii="Arial"/>
                <w:sz w:val="21"/>
              </w:rPr>
            </w:pPr>
          </w:p>
          <w:p>
            <w:pPr>
              <w:spacing w:line="262" w:lineRule="auto"/>
              <w:rPr>
                <w:rFonts w:ascii="Arial"/>
                <w:sz w:val="21"/>
              </w:rPr>
            </w:pPr>
          </w:p>
          <w:p>
            <w:pPr>
              <w:pStyle w:val="TableText"/>
              <w:spacing w:before="78" w:line="225" w:lineRule="auto"/>
              <w:ind w:left="1362"/>
            </w:pPr>
            <w:r>
              <w:rPr>
                <w:spacing w:val="-4"/>
              </w:rPr>
              <w:t>20%</w:t>
            </w:r>
          </w:p>
        </w:tc>
      </w:tr>
    </w:tbl>
    <w:p>
      <w:pPr>
        <w:pStyle w:val="BodyText"/>
        <w:spacing w:before="162" w:line="223" w:lineRule="auto"/>
        <w:ind w:left="3529"/>
      </w:pPr>
      <w:r>
        <w:rPr>
          <w:spacing w:val="-6"/>
        </w:rPr>
        <w:t>表4</w:t>
      </w:r>
      <w:r>
        <w:rPr>
          <w:spacing w:val="43"/>
        </w:rPr>
        <w:t xml:space="preserve"> </w:t>
      </w:r>
      <w:r>
        <w:rPr>
          <w:spacing w:val="-6"/>
        </w:rPr>
        <w:t>烹饪过程对VC的影响</w:t>
      </w:r>
    </w:p>
    <w:p>
      <w:pPr>
        <w:spacing w:line="79" w:lineRule="auto"/>
        <w:rPr>
          <w:rFonts w:ascii="Arial"/>
          <w:sz w:val="2"/>
        </w:rPr>
      </w:pPr>
    </w:p>
    <w:tbl>
      <w:tblPr>
        <w:tblStyle w:val="TableNormal2"/>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17"/>
        <w:gridCol w:w="2305"/>
        <w:gridCol w:w="2298"/>
        <w:gridCol w:w="2303"/>
      </w:tblGrid>
      <w:tr>
        <w:tblPrEx>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47"/>
        </w:trPr>
        <w:tc>
          <w:tcPr>
            <w:tcW w:w="2317" w:type="dxa"/>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78" w:line="461" w:lineRule="exact"/>
              <w:ind w:left="694"/>
            </w:pPr>
            <w:r>
              <w:rPr>
                <w:spacing w:val="-5"/>
                <w:position w:val="16"/>
              </w:rPr>
              <w:t>处理方法</w:t>
            </w:r>
          </w:p>
          <w:p>
            <w:pPr>
              <w:pStyle w:val="TableText"/>
              <w:spacing w:line="222" w:lineRule="auto"/>
              <w:ind w:left="695"/>
            </w:pPr>
            <w:r>
              <w:rPr>
                <w:spacing w:val="-6"/>
              </w:rPr>
              <w:t>含量变化</w:t>
            </w:r>
          </w:p>
        </w:tc>
        <w:tc>
          <w:tcPr>
            <w:tcW w:w="2305" w:type="dxa"/>
            <w:vAlign w:val="top"/>
          </w:tcPr>
          <w:p>
            <w:pPr>
              <w:spacing w:line="273" w:lineRule="auto"/>
              <w:rPr>
                <w:rFonts w:ascii="Arial"/>
                <w:sz w:val="21"/>
              </w:rPr>
            </w:pPr>
          </w:p>
          <w:p>
            <w:pPr>
              <w:spacing w:line="274" w:lineRule="auto"/>
              <w:rPr>
                <w:rFonts w:ascii="Arial"/>
                <w:sz w:val="21"/>
              </w:rPr>
            </w:pPr>
          </w:p>
          <w:p>
            <w:pPr>
              <w:pStyle w:val="TableText"/>
              <w:spacing w:before="78" w:line="458" w:lineRule="exact"/>
              <w:ind w:left="340"/>
            </w:pPr>
            <w:r>
              <w:rPr>
                <w:spacing w:val="-4"/>
                <w:position w:val="16"/>
              </w:rPr>
              <w:t>100g蔬菜VC含量</w:t>
            </w:r>
          </w:p>
          <w:p>
            <w:pPr>
              <w:pStyle w:val="TableText"/>
              <w:spacing w:line="215" w:lineRule="auto"/>
              <w:ind w:left="1033"/>
            </w:pPr>
            <w:r>
              <w:rPr>
                <w:spacing w:val="-1"/>
              </w:rPr>
              <w:t>mg</w:t>
            </w:r>
          </w:p>
        </w:tc>
        <w:tc>
          <w:tcPr>
            <w:tcW w:w="2298" w:type="dxa"/>
            <w:vAlign w:val="top"/>
          </w:tcPr>
          <w:p>
            <w:pPr>
              <w:spacing w:line="273" w:lineRule="auto"/>
              <w:rPr>
                <w:rFonts w:ascii="Arial"/>
                <w:sz w:val="21"/>
              </w:rPr>
            </w:pPr>
          </w:p>
          <w:p>
            <w:pPr>
              <w:spacing w:line="274" w:lineRule="auto"/>
              <w:rPr>
                <w:rFonts w:ascii="Arial"/>
                <w:sz w:val="21"/>
              </w:rPr>
            </w:pPr>
          </w:p>
          <w:p>
            <w:pPr>
              <w:pStyle w:val="TableText"/>
              <w:spacing w:before="78" w:line="458" w:lineRule="exact"/>
              <w:ind w:left="219"/>
            </w:pPr>
            <w:r>
              <w:rPr>
                <w:spacing w:val="-4"/>
                <w:position w:val="16"/>
              </w:rPr>
              <w:t>100g蔬菜VC损失量</w:t>
            </w:r>
          </w:p>
          <w:p>
            <w:pPr>
              <w:pStyle w:val="TableText"/>
              <w:spacing w:line="215" w:lineRule="auto"/>
              <w:ind w:left="1030"/>
            </w:pPr>
            <w:r>
              <w:rPr>
                <w:spacing w:val="-1"/>
              </w:rPr>
              <w:t>mg</w:t>
            </w:r>
          </w:p>
        </w:tc>
        <w:tc>
          <w:tcPr>
            <w:tcW w:w="2303" w:type="dxa"/>
            <w:vAlign w:val="top"/>
          </w:tcPr>
          <w:p>
            <w:pPr>
              <w:spacing w:line="273" w:lineRule="auto"/>
              <w:rPr>
                <w:rFonts w:ascii="Arial"/>
                <w:sz w:val="21"/>
              </w:rPr>
            </w:pPr>
          </w:p>
          <w:p>
            <w:pPr>
              <w:spacing w:line="274" w:lineRule="auto"/>
              <w:rPr>
                <w:rFonts w:ascii="Arial"/>
                <w:sz w:val="21"/>
              </w:rPr>
            </w:pPr>
          </w:p>
          <w:p>
            <w:pPr>
              <w:pStyle w:val="TableText"/>
              <w:spacing w:before="78" w:line="458" w:lineRule="exact"/>
              <w:ind w:left="805"/>
            </w:pPr>
            <w:r>
              <w:rPr>
                <w:spacing w:val="-6"/>
                <w:position w:val="16"/>
              </w:rPr>
              <w:t>损失率</w:t>
            </w:r>
          </w:p>
          <w:p>
            <w:pPr>
              <w:pStyle w:val="TableText"/>
              <w:spacing w:line="241" w:lineRule="auto"/>
              <w:ind w:left="1091"/>
            </w:pPr>
            <w:r>
              <w:t>%</w:t>
            </w:r>
          </w:p>
        </w:tc>
      </w:tr>
      <w:tr>
        <w:tblPrEx>
          <w:tblW w:w="9223" w:type="dxa"/>
          <w:tblInd w:w="213" w:type="dxa"/>
          <w:tblLayout w:type="fixed"/>
        </w:tblPrEx>
        <w:trPr>
          <w:trHeight w:val="464"/>
        </w:trPr>
        <w:tc>
          <w:tcPr>
            <w:tcW w:w="2317" w:type="dxa"/>
            <w:vAlign w:val="top"/>
          </w:tcPr>
          <w:p>
            <w:pPr>
              <w:pStyle w:val="TableText"/>
              <w:spacing w:before="166" w:line="219" w:lineRule="auto"/>
              <w:ind w:left="692"/>
            </w:pPr>
            <w:r>
              <w:rPr>
                <w:spacing w:val="-5"/>
              </w:rPr>
              <w:t>新鲜样品</w:t>
            </w:r>
          </w:p>
        </w:tc>
        <w:tc>
          <w:tcPr>
            <w:tcW w:w="2305" w:type="dxa"/>
            <w:vAlign w:val="top"/>
          </w:tcPr>
          <w:p>
            <w:pPr>
              <w:pStyle w:val="TableText"/>
              <w:spacing w:before="207" w:line="180" w:lineRule="auto"/>
              <w:ind w:left="863"/>
            </w:pPr>
            <w:r>
              <w:rPr>
                <w:spacing w:val="-3"/>
              </w:rPr>
              <w:t>26.54</w:t>
            </w:r>
          </w:p>
        </w:tc>
        <w:tc>
          <w:tcPr>
            <w:tcW w:w="2298" w:type="dxa"/>
            <w:vAlign w:val="top"/>
          </w:tcPr>
          <w:p>
            <w:pPr>
              <w:tabs>
                <w:tab w:val="left" w:pos="1268"/>
              </w:tabs>
              <w:spacing w:before="88" w:line="242" w:lineRule="exact"/>
              <w:ind w:left="1035"/>
              <w:rPr>
                <w:rFonts w:ascii="Arial"/>
                <w:sz w:val="21"/>
              </w:rPr>
            </w:pPr>
            <w:r>
              <w:rPr>
                <w:rFonts w:ascii="Arial" w:eastAsia="Arial" w:hAnsi="Arial" w:cs="Arial"/>
                <w:sz w:val="21"/>
                <w:szCs w:val="21"/>
                <w:u w:val="single" w:color="auto"/>
              </w:rPr>
              <w:tab/>
            </w:r>
          </w:p>
        </w:tc>
        <w:tc>
          <w:tcPr>
            <w:tcW w:w="2303" w:type="dxa"/>
            <w:vAlign w:val="top"/>
          </w:tcPr>
          <w:p>
            <w:pPr>
              <w:tabs>
                <w:tab w:val="left" w:pos="1269"/>
              </w:tabs>
              <w:spacing w:before="88" w:line="242" w:lineRule="exact"/>
              <w:ind w:left="1037"/>
              <w:rPr>
                <w:rFonts w:ascii="Arial"/>
                <w:sz w:val="21"/>
              </w:rPr>
            </w:pPr>
            <w:r>
              <w:rPr>
                <w:rFonts w:ascii="Arial" w:eastAsia="Arial" w:hAnsi="Arial" w:cs="Arial"/>
                <w:sz w:val="21"/>
                <w:szCs w:val="21"/>
                <w:u w:val="single" w:color="auto"/>
              </w:rPr>
              <w:tab/>
            </w:r>
          </w:p>
        </w:tc>
      </w:tr>
      <w:tr>
        <w:tblPrEx>
          <w:tblW w:w="9223" w:type="dxa"/>
          <w:tblInd w:w="213" w:type="dxa"/>
          <w:tblLayout w:type="fixed"/>
        </w:tblPrEx>
        <w:trPr>
          <w:trHeight w:val="464"/>
        </w:trPr>
        <w:tc>
          <w:tcPr>
            <w:tcW w:w="2317" w:type="dxa"/>
            <w:vAlign w:val="top"/>
          </w:tcPr>
          <w:p>
            <w:pPr>
              <w:pStyle w:val="TableText"/>
              <w:spacing w:before="168" w:line="220" w:lineRule="auto"/>
              <w:ind w:left="709"/>
            </w:pPr>
            <w:r>
              <w:rPr>
                <w:spacing w:val="-6"/>
              </w:rPr>
              <w:t>急炒3min</w:t>
            </w:r>
          </w:p>
        </w:tc>
        <w:tc>
          <w:tcPr>
            <w:tcW w:w="2305" w:type="dxa"/>
            <w:vAlign w:val="top"/>
          </w:tcPr>
          <w:p>
            <w:pPr>
              <w:pStyle w:val="TableText"/>
              <w:spacing w:before="208" w:line="181" w:lineRule="auto"/>
              <w:ind w:left="863"/>
            </w:pPr>
            <w:r>
              <w:rPr>
                <w:spacing w:val="-3"/>
              </w:rPr>
              <w:t>25.12</w:t>
            </w:r>
          </w:p>
        </w:tc>
        <w:tc>
          <w:tcPr>
            <w:tcW w:w="2298" w:type="dxa"/>
            <w:vAlign w:val="top"/>
          </w:tcPr>
          <w:p>
            <w:pPr>
              <w:pStyle w:val="TableText"/>
              <w:spacing w:before="208" w:line="181" w:lineRule="auto"/>
              <w:ind w:left="934"/>
            </w:pPr>
            <w:r>
              <w:rPr>
                <w:spacing w:val="-7"/>
              </w:rPr>
              <w:t>1.42</w:t>
            </w:r>
          </w:p>
        </w:tc>
        <w:tc>
          <w:tcPr>
            <w:tcW w:w="2303" w:type="dxa"/>
            <w:vAlign w:val="top"/>
          </w:tcPr>
          <w:p>
            <w:pPr>
              <w:pStyle w:val="TableText"/>
              <w:spacing w:before="209" w:line="180" w:lineRule="auto"/>
              <w:ind w:left="982"/>
            </w:pPr>
            <w:r>
              <w:rPr>
                <w:spacing w:val="-5"/>
              </w:rPr>
              <w:t>5.3</w:t>
            </w:r>
          </w:p>
        </w:tc>
      </w:tr>
      <w:tr>
        <w:tblPrEx>
          <w:tblW w:w="9223" w:type="dxa"/>
          <w:tblInd w:w="213" w:type="dxa"/>
          <w:tblLayout w:type="fixed"/>
        </w:tblPrEx>
        <w:trPr>
          <w:trHeight w:val="465"/>
        </w:trPr>
        <w:tc>
          <w:tcPr>
            <w:tcW w:w="2317" w:type="dxa"/>
            <w:vAlign w:val="top"/>
          </w:tcPr>
          <w:p>
            <w:pPr>
              <w:pStyle w:val="TableText"/>
              <w:spacing w:before="166" w:line="222" w:lineRule="auto"/>
              <w:ind w:left="709"/>
            </w:pPr>
            <w:r>
              <w:rPr>
                <w:spacing w:val="-6"/>
              </w:rPr>
              <w:t>急炒8min</w:t>
            </w:r>
          </w:p>
        </w:tc>
        <w:tc>
          <w:tcPr>
            <w:tcW w:w="2305" w:type="dxa"/>
            <w:vAlign w:val="top"/>
          </w:tcPr>
          <w:p>
            <w:pPr>
              <w:pStyle w:val="TableText"/>
              <w:spacing w:before="208" w:line="180" w:lineRule="auto"/>
              <w:ind w:left="863"/>
            </w:pPr>
            <w:r>
              <w:rPr>
                <w:spacing w:val="-3"/>
              </w:rPr>
              <w:t>24.90</w:t>
            </w:r>
          </w:p>
        </w:tc>
        <w:tc>
          <w:tcPr>
            <w:tcW w:w="2298" w:type="dxa"/>
            <w:vAlign w:val="top"/>
          </w:tcPr>
          <w:p>
            <w:pPr>
              <w:pStyle w:val="TableText"/>
              <w:spacing w:before="207" w:line="181" w:lineRule="auto"/>
              <w:ind w:left="934"/>
            </w:pPr>
            <w:r>
              <w:rPr>
                <w:spacing w:val="-7"/>
              </w:rPr>
              <w:t>1.64</w:t>
            </w:r>
          </w:p>
        </w:tc>
        <w:tc>
          <w:tcPr>
            <w:tcW w:w="2303" w:type="dxa"/>
            <w:vAlign w:val="top"/>
          </w:tcPr>
          <w:p>
            <w:pPr>
              <w:pStyle w:val="TableText"/>
              <w:spacing w:before="208" w:line="180" w:lineRule="auto"/>
              <w:ind w:left="979"/>
            </w:pPr>
            <w:r>
              <w:rPr>
                <w:spacing w:val="-4"/>
              </w:rPr>
              <w:t>6.2</w:t>
            </w:r>
          </w:p>
        </w:tc>
      </w:tr>
      <w:tr>
        <w:tblPrEx>
          <w:tblW w:w="9223" w:type="dxa"/>
          <w:tblInd w:w="213" w:type="dxa"/>
          <w:tblLayout w:type="fixed"/>
        </w:tblPrEx>
        <w:trPr>
          <w:trHeight w:val="469"/>
        </w:trPr>
        <w:tc>
          <w:tcPr>
            <w:tcW w:w="2317" w:type="dxa"/>
            <w:vAlign w:val="top"/>
          </w:tcPr>
          <w:p>
            <w:pPr>
              <w:pStyle w:val="TableText"/>
              <w:spacing w:before="167" w:line="223" w:lineRule="auto"/>
              <w:ind w:left="278"/>
            </w:pPr>
            <w:r>
              <w:rPr>
                <w:spacing w:val="-3"/>
              </w:rPr>
              <w:t>炒3min、煮10min</w:t>
            </w:r>
          </w:p>
        </w:tc>
        <w:tc>
          <w:tcPr>
            <w:tcW w:w="2305" w:type="dxa"/>
            <w:vAlign w:val="top"/>
          </w:tcPr>
          <w:p>
            <w:pPr>
              <w:pStyle w:val="TableText"/>
              <w:spacing w:before="208" w:line="180" w:lineRule="auto"/>
              <w:ind w:left="863"/>
            </w:pPr>
            <w:r>
              <w:rPr>
                <w:spacing w:val="-3"/>
              </w:rPr>
              <w:t>23.54</w:t>
            </w:r>
          </w:p>
        </w:tc>
        <w:tc>
          <w:tcPr>
            <w:tcW w:w="2298" w:type="dxa"/>
            <w:vAlign w:val="top"/>
          </w:tcPr>
          <w:p>
            <w:pPr>
              <w:pStyle w:val="TableText"/>
              <w:spacing w:before="208" w:line="180" w:lineRule="auto"/>
              <w:ind w:left="921"/>
            </w:pPr>
            <w:r>
              <w:rPr>
                <w:spacing w:val="-4"/>
              </w:rPr>
              <w:t>3.00</w:t>
            </w:r>
          </w:p>
        </w:tc>
        <w:tc>
          <w:tcPr>
            <w:tcW w:w="2303" w:type="dxa"/>
            <w:vAlign w:val="top"/>
          </w:tcPr>
          <w:p>
            <w:pPr>
              <w:pStyle w:val="TableText"/>
              <w:spacing w:before="207" w:line="181" w:lineRule="auto"/>
              <w:ind w:left="935"/>
            </w:pPr>
            <w:r>
              <w:rPr>
                <w:spacing w:val="-7"/>
              </w:rPr>
              <w:t>11.3</w:t>
            </w:r>
          </w:p>
        </w:tc>
      </w:tr>
    </w:tbl>
    <w:p>
      <w:pPr>
        <w:pStyle w:val="BodyText"/>
        <w:spacing w:before="162" w:line="221" w:lineRule="auto"/>
        <w:ind w:left="338"/>
      </w:pPr>
      <w:r>
        <w:rPr>
          <w:spacing w:val="-3"/>
        </w:rPr>
        <w:t>7.1.4食物营养标识</w:t>
      </w:r>
    </w:p>
    <w:p>
      <w:pPr>
        <w:pStyle w:val="BodyText"/>
        <w:spacing w:before="173" w:line="221" w:lineRule="auto"/>
        <w:ind w:left="820"/>
      </w:pPr>
      <w:r>
        <w:rPr>
          <w:spacing w:val="-2"/>
        </w:rPr>
        <w:t>食物营养标签见表5。</w:t>
      </w:r>
    </w:p>
    <w:p>
      <w:pPr>
        <w:pStyle w:val="BodyText"/>
        <w:spacing w:before="171" w:line="221" w:lineRule="auto"/>
        <w:ind w:left="4127"/>
      </w:pPr>
      <w:r>
        <w:rPr>
          <w:spacing w:val="-8"/>
        </w:rPr>
        <w:t>表5</w:t>
      </w:r>
      <w:r>
        <w:rPr>
          <w:spacing w:val="22"/>
        </w:rPr>
        <w:t xml:space="preserve"> </w:t>
      </w:r>
      <w:r>
        <w:rPr>
          <w:spacing w:val="-8"/>
        </w:rPr>
        <w:t>营养标签</w:t>
      </w:r>
    </w:p>
    <w:tbl>
      <w:tblPr>
        <w:tblStyle w:val="TableNormal2"/>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62"/>
        <w:gridCol w:w="3085"/>
        <w:gridCol w:w="3076"/>
      </w:tblGrid>
      <w:tr>
        <w:tblPrEx>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9"/>
        </w:trPr>
        <w:tc>
          <w:tcPr>
            <w:tcW w:w="3062" w:type="dxa"/>
            <w:vAlign w:val="top"/>
          </w:tcPr>
          <w:p>
            <w:pPr>
              <w:pStyle w:val="TableText"/>
              <w:spacing w:before="166" w:line="221" w:lineRule="auto"/>
              <w:ind w:left="1072"/>
            </w:pPr>
            <w:r>
              <w:rPr>
                <w:spacing w:val="-7"/>
              </w:rPr>
              <w:t>营养成分</w:t>
            </w:r>
          </w:p>
        </w:tc>
        <w:tc>
          <w:tcPr>
            <w:tcW w:w="3085" w:type="dxa"/>
            <w:vAlign w:val="top"/>
          </w:tcPr>
          <w:p>
            <w:pPr>
              <w:pStyle w:val="TableText"/>
              <w:spacing w:before="167" w:line="215" w:lineRule="auto"/>
              <w:ind w:left="848"/>
            </w:pPr>
            <w:r>
              <w:rPr>
                <w:spacing w:val="-4"/>
              </w:rPr>
              <w:t>每100克（g）</w:t>
            </w:r>
          </w:p>
        </w:tc>
        <w:tc>
          <w:tcPr>
            <w:tcW w:w="3076" w:type="dxa"/>
            <w:vAlign w:val="top"/>
          </w:tcPr>
          <w:p>
            <w:pPr>
              <w:pStyle w:val="TableText"/>
              <w:spacing w:before="166" w:line="225" w:lineRule="auto"/>
              <w:ind w:left="1297"/>
            </w:pPr>
            <w:r>
              <w:rPr>
                <w:spacing w:val="-1"/>
              </w:rPr>
              <w:t>NRV%</w:t>
            </w:r>
          </w:p>
        </w:tc>
      </w:tr>
      <w:tr>
        <w:tblPrEx>
          <w:tblW w:w="9223" w:type="dxa"/>
          <w:tblInd w:w="213" w:type="dxa"/>
          <w:tblLayout w:type="fixed"/>
        </w:tblPrEx>
        <w:trPr>
          <w:trHeight w:val="464"/>
        </w:trPr>
        <w:tc>
          <w:tcPr>
            <w:tcW w:w="3062" w:type="dxa"/>
            <w:vAlign w:val="top"/>
          </w:tcPr>
          <w:p>
            <w:pPr>
              <w:pStyle w:val="TableText"/>
              <w:spacing w:before="162" w:line="222" w:lineRule="auto"/>
              <w:ind w:left="1319"/>
            </w:pPr>
            <w:r>
              <w:rPr>
                <w:spacing w:val="-15"/>
              </w:rPr>
              <w:t>能量</w:t>
            </w:r>
          </w:p>
        </w:tc>
        <w:tc>
          <w:tcPr>
            <w:tcW w:w="3085" w:type="dxa"/>
            <w:vAlign w:val="top"/>
          </w:tcPr>
          <w:p>
            <w:pPr>
              <w:pStyle w:val="TableText"/>
              <w:spacing w:before="163" w:line="222" w:lineRule="auto"/>
              <w:ind w:left="964"/>
            </w:pPr>
            <w:r>
              <w:rPr>
                <w:spacing w:val="-5"/>
              </w:rPr>
              <w:t>千焦（kJ）</w:t>
            </w:r>
          </w:p>
        </w:tc>
        <w:tc>
          <w:tcPr>
            <w:tcW w:w="3076" w:type="dxa"/>
            <w:vAlign w:val="top"/>
          </w:tcPr>
          <w:p>
            <w:pPr>
              <w:pStyle w:val="TableText"/>
              <w:spacing w:before="162" w:line="224" w:lineRule="auto"/>
              <w:ind w:left="1478"/>
            </w:pPr>
            <w:r>
              <w:t>%</w:t>
            </w:r>
          </w:p>
        </w:tc>
      </w:tr>
      <w:tr>
        <w:tblPrEx>
          <w:tblW w:w="9223" w:type="dxa"/>
          <w:tblInd w:w="213" w:type="dxa"/>
          <w:tblLayout w:type="fixed"/>
        </w:tblPrEx>
        <w:trPr>
          <w:trHeight w:val="476"/>
        </w:trPr>
        <w:tc>
          <w:tcPr>
            <w:tcW w:w="3062" w:type="dxa"/>
            <w:vAlign w:val="top"/>
          </w:tcPr>
          <w:p>
            <w:pPr>
              <w:pStyle w:val="TableText"/>
              <w:spacing w:before="170" w:line="224" w:lineRule="auto"/>
              <w:ind w:left="1188"/>
            </w:pPr>
            <w:r>
              <w:rPr>
                <w:spacing w:val="-7"/>
              </w:rPr>
              <w:t>蛋白质</w:t>
            </w:r>
          </w:p>
        </w:tc>
        <w:tc>
          <w:tcPr>
            <w:tcW w:w="3085" w:type="dxa"/>
            <w:vAlign w:val="top"/>
          </w:tcPr>
          <w:p>
            <w:pPr>
              <w:pStyle w:val="TableText"/>
              <w:spacing w:before="169" w:line="215" w:lineRule="auto"/>
              <w:ind w:left="1144"/>
            </w:pPr>
            <w:r>
              <w:rPr>
                <w:spacing w:val="-7"/>
              </w:rPr>
              <w:t>克（g）</w:t>
            </w:r>
          </w:p>
        </w:tc>
        <w:tc>
          <w:tcPr>
            <w:tcW w:w="3076" w:type="dxa"/>
            <w:vAlign w:val="top"/>
          </w:tcPr>
          <w:p>
            <w:pPr>
              <w:pStyle w:val="TableText"/>
              <w:spacing w:before="169" w:line="228" w:lineRule="auto"/>
              <w:ind w:left="1478"/>
            </w:pPr>
            <w:r>
              <w:t>%</w:t>
            </w:r>
          </w:p>
        </w:tc>
      </w:tr>
    </w:tbl>
    <w:p>
      <w:pPr>
        <w:sectPr>
          <w:footerReference w:type="default" r:id="rId19"/>
          <w:pgSz w:w="11905" w:h="16839"/>
          <w:pgMar w:top="855" w:right="1127" w:bottom="674" w:left="1127" w:header="0" w:footer="505" w:gutter="0"/>
          <w:pgNumType w:start="13"/>
          <w:cols w:space="708"/>
        </w:sectPr>
      </w:pPr>
    </w:p>
    <w:tbl>
      <w:tblPr>
        <w:tblStyle w:val="TableNormal3"/>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62"/>
        <w:gridCol w:w="3085"/>
        <w:gridCol w:w="3076"/>
      </w:tblGrid>
      <w:tr>
        <w:tblPrEx>
          <w:tblW w:w="9223" w:type="dxa"/>
          <w:tblInd w:w="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4"/>
        </w:trPr>
        <w:tc>
          <w:tcPr>
            <w:tcW w:w="3062" w:type="dxa"/>
            <w:vAlign w:val="top"/>
          </w:tcPr>
          <w:p>
            <w:pPr>
              <w:pStyle w:val="TableText"/>
              <w:spacing w:before="166" w:line="221" w:lineRule="auto"/>
              <w:ind w:left="1304"/>
            </w:pPr>
            <w:r>
              <w:rPr>
                <w:spacing w:val="-8"/>
              </w:rPr>
              <w:t>脂肪</w:t>
            </w:r>
          </w:p>
        </w:tc>
        <w:tc>
          <w:tcPr>
            <w:tcW w:w="3085" w:type="dxa"/>
            <w:vAlign w:val="top"/>
          </w:tcPr>
          <w:p>
            <w:pPr>
              <w:pStyle w:val="TableText"/>
              <w:spacing w:before="166" w:line="215" w:lineRule="auto"/>
              <w:ind w:left="1144"/>
            </w:pPr>
            <w:r>
              <w:rPr>
                <w:spacing w:val="-7"/>
              </w:rPr>
              <w:t>克（g）</w:t>
            </w:r>
          </w:p>
        </w:tc>
        <w:tc>
          <w:tcPr>
            <w:tcW w:w="3076" w:type="dxa"/>
            <w:vAlign w:val="top"/>
          </w:tcPr>
          <w:p>
            <w:pPr>
              <w:pStyle w:val="TableText"/>
              <w:spacing w:before="166" w:line="221" w:lineRule="auto"/>
              <w:ind w:left="1478"/>
            </w:pPr>
            <w:r>
              <w:t>%</w:t>
            </w:r>
          </w:p>
        </w:tc>
      </w:tr>
      <w:tr>
        <w:tblPrEx>
          <w:tblW w:w="9223" w:type="dxa"/>
          <w:tblInd w:w="213" w:type="dxa"/>
          <w:tblLayout w:type="fixed"/>
        </w:tblPrEx>
        <w:trPr>
          <w:trHeight w:val="464"/>
        </w:trPr>
        <w:tc>
          <w:tcPr>
            <w:tcW w:w="3062" w:type="dxa"/>
            <w:vAlign w:val="top"/>
          </w:tcPr>
          <w:p>
            <w:pPr>
              <w:pStyle w:val="TableText"/>
              <w:spacing w:before="167" w:line="220" w:lineRule="auto"/>
              <w:ind w:left="947"/>
            </w:pPr>
            <w:r>
              <w:rPr>
                <w:spacing w:val="-4"/>
              </w:rPr>
              <w:t>碳水化合物</w:t>
            </w:r>
          </w:p>
        </w:tc>
        <w:tc>
          <w:tcPr>
            <w:tcW w:w="3085" w:type="dxa"/>
            <w:vAlign w:val="top"/>
          </w:tcPr>
          <w:p>
            <w:pPr>
              <w:pStyle w:val="TableText"/>
              <w:spacing w:before="167" w:line="215" w:lineRule="auto"/>
              <w:ind w:left="1144"/>
            </w:pPr>
            <w:r>
              <w:rPr>
                <w:spacing w:val="-7"/>
              </w:rPr>
              <w:t>克（g）</w:t>
            </w:r>
          </w:p>
        </w:tc>
        <w:tc>
          <w:tcPr>
            <w:tcW w:w="3076" w:type="dxa"/>
            <w:vAlign w:val="top"/>
          </w:tcPr>
          <w:p>
            <w:pPr>
              <w:pStyle w:val="TableText"/>
              <w:spacing w:before="167" w:line="220" w:lineRule="auto"/>
              <w:ind w:left="1478"/>
            </w:pPr>
            <w:r>
              <w:t>%</w:t>
            </w:r>
          </w:p>
        </w:tc>
      </w:tr>
      <w:tr>
        <w:tblPrEx>
          <w:tblW w:w="9223" w:type="dxa"/>
          <w:tblInd w:w="213" w:type="dxa"/>
          <w:tblLayout w:type="fixed"/>
        </w:tblPrEx>
        <w:trPr>
          <w:trHeight w:val="469"/>
        </w:trPr>
        <w:tc>
          <w:tcPr>
            <w:tcW w:w="3062" w:type="dxa"/>
            <w:vAlign w:val="top"/>
          </w:tcPr>
          <w:p>
            <w:pPr>
              <w:pStyle w:val="TableText"/>
              <w:spacing w:before="167" w:line="224" w:lineRule="auto"/>
              <w:ind w:left="1425"/>
            </w:pPr>
            <w:r>
              <w:t>钠</w:t>
            </w:r>
          </w:p>
        </w:tc>
        <w:tc>
          <w:tcPr>
            <w:tcW w:w="3085" w:type="dxa"/>
            <w:vAlign w:val="top"/>
          </w:tcPr>
          <w:p>
            <w:pPr>
              <w:pStyle w:val="TableText"/>
              <w:spacing w:before="166" w:line="215" w:lineRule="auto"/>
              <w:ind w:left="1084"/>
            </w:pPr>
            <w:r>
              <w:rPr>
                <w:spacing w:val="-5"/>
              </w:rPr>
              <w:t>克（mg）</w:t>
            </w:r>
          </w:p>
        </w:tc>
        <w:tc>
          <w:tcPr>
            <w:tcW w:w="3076" w:type="dxa"/>
            <w:vAlign w:val="top"/>
          </w:tcPr>
          <w:p>
            <w:pPr>
              <w:pStyle w:val="TableText"/>
              <w:spacing w:before="166" w:line="225" w:lineRule="auto"/>
              <w:ind w:left="1478"/>
            </w:pPr>
            <w:r>
              <w:t>%</w:t>
            </w:r>
          </w:p>
        </w:tc>
      </w:tr>
    </w:tbl>
    <w:p>
      <w:pPr>
        <w:pStyle w:val="BodyText"/>
        <w:spacing w:before="162" w:line="221" w:lineRule="auto"/>
        <w:ind w:left="338"/>
      </w:pPr>
      <w:r>
        <w:rPr>
          <w:spacing w:val="-3"/>
        </w:rPr>
        <w:t>7.1.5营养配餐种类</w:t>
      </w:r>
    </w:p>
    <w:p>
      <w:pPr>
        <w:pStyle w:val="BodyText"/>
        <w:spacing w:before="173" w:line="461" w:lineRule="exact"/>
        <w:ind w:left="821"/>
      </w:pPr>
      <w:r>
        <w:rPr>
          <w:spacing w:val="-2"/>
          <w:position w:val="16"/>
        </w:rPr>
        <w:t>部分典型营养配餐见附录B。</w:t>
      </w:r>
    </w:p>
    <w:p>
      <w:pPr>
        <w:pStyle w:val="BodyText"/>
        <w:spacing w:line="220" w:lineRule="auto"/>
        <w:ind w:left="338"/>
      </w:pPr>
      <w:r>
        <w:rPr>
          <w:spacing w:val="-3"/>
        </w:rPr>
        <w:t>7.2个性化健康指导</w:t>
      </w:r>
    </w:p>
    <w:p>
      <w:pPr>
        <w:pStyle w:val="BodyText"/>
        <w:spacing w:before="172" w:line="222" w:lineRule="auto"/>
        <w:ind w:left="338"/>
      </w:pPr>
      <w:r>
        <w:rPr>
          <w:spacing w:val="-3"/>
        </w:rPr>
        <w:t>7.2.1健康画像建立</w:t>
      </w:r>
    </w:p>
    <w:p>
      <w:pPr>
        <w:pStyle w:val="BodyText"/>
        <w:spacing w:before="173" w:line="461" w:lineRule="exact"/>
        <w:ind w:left="825"/>
      </w:pPr>
      <w:r>
        <w:rPr>
          <w:spacing w:val="-1"/>
          <w:position w:val="16"/>
        </w:rPr>
        <w:t>通过问卷调查、健康记录、医疗档案等方式，将收集的健康数据进行归类和整合，</w:t>
      </w:r>
    </w:p>
    <w:p>
      <w:pPr>
        <w:pStyle w:val="BodyText"/>
        <w:spacing w:before="1" w:line="220" w:lineRule="auto"/>
        <w:ind w:left="340"/>
      </w:pPr>
      <w:r>
        <w:t>经过持续的数据收集更新和完善个人健康画像</w:t>
      </w:r>
      <w:r>
        <w:rPr>
          <w:spacing w:val="-1"/>
        </w:rPr>
        <w:t>，动态地进行健康指导的管理和干预措</w:t>
      </w:r>
    </w:p>
    <w:p>
      <w:pPr>
        <w:spacing w:line="220" w:lineRule="auto"/>
        <w:sectPr>
          <w:footerReference w:type="default" r:id="rId20"/>
          <w:type w:val="nextPage"/>
          <w:pgSz w:w="11905" w:h="16839"/>
          <w:pgMar w:top="855" w:right="1127" w:bottom="674" w:left="1127" w:header="0" w:footer="505" w:gutter="0"/>
          <w:pgNumType w:start="14"/>
          <w:cols w:space="708"/>
          <w:titlePg w:val="0"/>
        </w:sectPr>
      </w:pPr>
    </w:p>
    <w:p>
      <w:pPr>
        <w:pStyle w:val="BodyText"/>
        <w:spacing w:before="49" w:line="222" w:lineRule="auto"/>
        <w:ind w:left="5"/>
      </w:pPr>
      <w:r>
        <w:rPr>
          <w:spacing w:val="-4"/>
        </w:rPr>
        <w:t>施的实施。</w:t>
      </w:r>
    </w:p>
    <w:p>
      <w:pPr>
        <w:pStyle w:val="BodyText"/>
        <w:spacing w:before="171" w:line="222" w:lineRule="auto"/>
        <w:ind w:left="4"/>
      </w:pPr>
      <w:r>
        <w:rPr>
          <w:spacing w:val="-3"/>
        </w:rPr>
        <w:t>7.2.2餐前推荐</w:t>
      </w:r>
    </w:p>
    <w:p>
      <w:pPr>
        <w:pStyle w:val="BodyText"/>
        <w:spacing w:before="170" w:line="461" w:lineRule="exact"/>
        <w:ind w:left="488"/>
      </w:pPr>
      <w:r>
        <w:rPr>
          <w:position w:val="16"/>
        </w:rPr>
        <w:t>在顾客就餐之前，提供个性化的建议，帮助顾客在点餐之前做出更好的选择，提</w:t>
      </w:r>
    </w:p>
    <w:p>
      <w:pPr>
        <w:pStyle w:val="BodyText"/>
        <w:spacing w:line="221" w:lineRule="auto"/>
        <w:ind w:left="10"/>
      </w:pPr>
      <w:r>
        <w:rPr>
          <w:spacing w:val="-2"/>
        </w:rPr>
        <w:t>升他们的满意度和用餐体验。具体如下：</w:t>
      </w:r>
    </w:p>
    <w:p>
      <w:pPr>
        <w:pStyle w:val="BodyText"/>
        <w:spacing w:before="172" w:line="459" w:lineRule="exact"/>
        <w:ind w:left="420"/>
      </w:pPr>
      <w:r>
        <w:rPr>
          <w:position w:val="16"/>
        </w:rPr>
        <w:t>a）定制膳食方案，提示饮食禁忌，推荐未来1周带量</w:t>
      </w:r>
      <w:r>
        <w:rPr>
          <w:spacing w:val="-1"/>
          <w:position w:val="16"/>
        </w:rPr>
        <w:t>食谱，并配套营养分析；</w:t>
      </w:r>
    </w:p>
    <w:p>
      <w:pPr>
        <w:pStyle w:val="BodyText"/>
        <w:spacing w:before="1" w:line="220" w:lineRule="auto"/>
        <w:ind w:left="415"/>
      </w:pPr>
      <w:r>
        <w:rPr>
          <w:spacing w:val="-2"/>
        </w:rPr>
        <w:t>b）</w:t>
      </w:r>
      <w:r>
        <w:rPr>
          <w:spacing w:val="-59"/>
        </w:rPr>
        <w:t xml:space="preserve"> </w:t>
      </w:r>
      <w:r>
        <w:rPr>
          <w:spacing w:val="-2"/>
        </w:rPr>
        <w:t>自动更新后续的摄入推荐值，实现营养平衡的动态补偿计算和</w:t>
      </w:r>
      <w:r>
        <w:rPr>
          <w:spacing w:val="-3"/>
        </w:rPr>
        <w:t>推荐；</w:t>
      </w:r>
    </w:p>
    <w:p>
      <w:pPr>
        <w:pStyle w:val="BodyText"/>
        <w:spacing w:before="173" w:line="461" w:lineRule="exact"/>
        <w:ind w:left="423"/>
      </w:pPr>
      <w:r>
        <w:rPr>
          <w:spacing w:val="-1"/>
          <w:position w:val="16"/>
        </w:rPr>
        <w:t>c）推荐当日餐厅内提供低盐饮食的菜品；</w:t>
      </w:r>
    </w:p>
    <w:p>
      <w:pPr>
        <w:pStyle w:val="BodyText"/>
        <w:spacing w:line="220" w:lineRule="auto"/>
        <w:ind w:left="423"/>
      </w:pPr>
      <w:r>
        <w:rPr>
          <w:spacing w:val="-2"/>
        </w:rPr>
        <w:t>d）提供个性化加餐推荐。</w:t>
      </w:r>
    </w:p>
    <w:p>
      <w:pPr>
        <w:pStyle w:val="BodyText"/>
        <w:spacing w:before="173" w:line="222" w:lineRule="auto"/>
        <w:ind w:left="4"/>
      </w:pPr>
      <w:r>
        <w:rPr>
          <w:spacing w:val="-3"/>
        </w:rPr>
        <w:t>7.2.3取餐提醒</w:t>
      </w:r>
    </w:p>
    <w:p>
      <w:pPr>
        <w:pStyle w:val="BodyText"/>
        <w:spacing w:before="172" w:line="219" w:lineRule="auto"/>
        <w:ind w:left="487"/>
      </w:pPr>
      <w:r>
        <w:rPr>
          <w:spacing w:val="-1"/>
        </w:rPr>
        <w:t>依据用户的健康画像，在取餐过程中个性化提醒用户安全健康就餐。</w:t>
      </w:r>
    </w:p>
    <w:p>
      <w:pPr>
        <w:pStyle w:val="BodyText"/>
        <w:spacing w:before="175" w:line="222" w:lineRule="auto"/>
        <w:ind w:left="4"/>
      </w:pPr>
      <w:r>
        <w:rPr>
          <w:spacing w:val="-3"/>
        </w:rPr>
        <w:t>7.2.4餐后分析</w:t>
      </w:r>
    </w:p>
    <w:p>
      <w:pPr>
        <w:pStyle w:val="BodyText"/>
        <w:spacing w:before="170" w:line="354" w:lineRule="auto"/>
        <w:ind w:left="5" w:right="316" w:firstLine="480"/>
        <w:jc w:val="both"/>
      </w:pPr>
      <w:r>
        <w:rPr>
          <w:spacing w:val="-1"/>
        </w:rPr>
        <w:t>用户取餐后，提供膳食营养分析报告，包括摄入食物的总质量和卡路里摄入量及</w:t>
      </w:r>
      <w:r>
        <w:rPr>
          <w:spacing w:val="18"/>
        </w:rPr>
        <w:t xml:space="preserve"> </w:t>
      </w:r>
      <w:r>
        <w:t>达标情况、饮食结构占比、盐实际摄入量及达</w:t>
      </w:r>
      <w:r>
        <w:rPr>
          <w:spacing w:val="-1"/>
        </w:rPr>
        <w:t>标情况、其他重要元素实际摄入量及达</w:t>
      </w:r>
      <w:r>
        <w:t xml:space="preserve"> </w:t>
      </w:r>
      <w:r>
        <w:rPr>
          <w:spacing w:val="-2"/>
        </w:rPr>
        <w:t>标情况、营养元素实际摄入量及达标情况、</w:t>
      </w:r>
      <w:r>
        <w:rPr>
          <w:spacing w:val="-59"/>
        </w:rPr>
        <w:t xml:space="preserve"> </w:t>
      </w:r>
      <w:r>
        <w:rPr>
          <w:spacing w:val="-2"/>
        </w:rPr>
        <w:t>自定义营养元素查询摄入情况、</w:t>
      </w:r>
      <w:r>
        <w:rPr>
          <w:spacing w:val="-3"/>
        </w:rPr>
        <w:t>对比主要</w:t>
      </w:r>
      <w:r>
        <w:t xml:space="preserve"> </w:t>
      </w:r>
      <w:r>
        <w:t>食物来源和贡献的克重、展示食物贡献排行榜</w:t>
      </w:r>
      <w:r>
        <w:rPr>
          <w:spacing w:val="-1"/>
        </w:rPr>
        <w:t>和贡献克重、提醒补充摄入相关食物的</w:t>
      </w:r>
    </w:p>
    <w:p>
      <w:pPr>
        <w:pStyle w:val="BodyText"/>
        <w:spacing w:before="1" w:line="223" w:lineRule="auto"/>
        <w:ind w:left="6"/>
      </w:pPr>
      <w:r>
        <w:rPr>
          <w:spacing w:val="-4"/>
        </w:rPr>
        <w:t>建议等。</w:t>
      </w:r>
    </w:p>
    <w:p>
      <w:pPr>
        <w:pStyle w:val="BodyText"/>
        <w:spacing w:before="170" w:line="223" w:lineRule="auto"/>
      </w:pPr>
      <w:r>
        <w:rPr>
          <w:spacing w:val="-3"/>
        </w:rPr>
        <w:t>8</w:t>
      </w:r>
      <w:r>
        <w:rPr>
          <w:spacing w:val="-3"/>
        </w:rPr>
        <w:t xml:space="preserve"> </w:t>
      </w:r>
      <w:r>
        <w:rPr>
          <w:spacing w:val="-3"/>
        </w:rPr>
        <w:t>智慧运营管理</w:t>
      </w:r>
    </w:p>
    <w:p>
      <w:pPr>
        <w:pStyle w:val="BodyText"/>
        <w:spacing w:before="169" w:line="223" w:lineRule="auto"/>
      </w:pPr>
      <w:r>
        <w:rPr>
          <w:spacing w:val="-2"/>
        </w:rPr>
        <w:t>8.1建立食堂智慧管理系统</w:t>
      </w:r>
    </w:p>
    <w:p>
      <w:pPr>
        <w:pStyle w:val="BodyText"/>
        <w:spacing w:before="171" w:line="461" w:lineRule="exact"/>
        <w:ind w:left="486"/>
      </w:pPr>
      <w:r>
        <w:rPr>
          <w:spacing w:val="-1"/>
          <w:position w:val="16"/>
        </w:rPr>
        <w:t>食堂智慧管理系统的建立可以提高管理效率、实时监控和预警、分析数据指导决</w:t>
      </w:r>
    </w:p>
    <w:p>
      <w:pPr>
        <w:pStyle w:val="BodyText"/>
        <w:spacing w:before="1" w:line="220" w:lineRule="auto"/>
        <w:ind w:left="9"/>
      </w:pPr>
      <w:r>
        <w:rPr>
          <w:spacing w:val="-1"/>
        </w:rPr>
        <w:t>策、优化和节约资源、提升顾客体验、加强数据安全和隐私保护。</w:t>
      </w:r>
    </w:p>
    <w:p>
      <w:pPr>
        <w:pStyle w:val="BodyText"/>
        <w:spacing w:before="171" w:line="461" w:lineRule="exact"/>
        <w:jc w:val="right"/>
      </w:pPr>
      <w:r>
        <w:rPr>
          <w:spacing w:val="-2"/>
          <w:position w:val="16"/>
        </w:rPr>
        <w:t>食堂智慧管理系统包括ERP智能管理、采购管理、库房管理、食安管理、菜品管理、</w:t>
      </w:r>
    </w:p>
    <w:p>
      <w:pPr>
        <w:pStyle w:val="BodyText"/>
        <w:spacing w:before="1" w:line="220" w:lineRule="auto"/>
        <w:ind w:left="7"/>
      </w:pPr>
      <w:r>
        <w:rPr>
          <w:spacing w:val="-1"/>
        </w:rPr>
        <w:t>订单管理、销售管理、用户管理、营养管理、能源管理、人员管理等。</w:t>
      </w:r>
    </w:p>
    <w:p>
      <w:pPr>
        <w:pStyle w:val="BodyText"/>
        <w:spacing w:before="174" w:line="458" w:lineRule="exact"/>
        <w:ind w:left="486"/>
      </w:pPr>
      <w:r>
        <w:rPr>
          <w:spacing w:val="-1"/>
          <w:position w:val="16"/>
        </w:rPr>
        <w:t>食堂智慧管理系统具备的智慧功能详见附录A。</w:t>
      </w:r>
    </w:p>
    <w:p>
      <w:pPr>
        <w:pStyle w:val="BodyText"/>
        <w:spacing w:before="1" w:line="221" w:lineRule="auto"/>
      </w:pPr>
      <w:r>
        <w:rPr>
          <w:spacing w:val="-3"/>
        </w:rPr>
        <w:t>8.2建立食堂数据统计分析系统</w:t>
      </w:r>
    </w:p>
    <w:p>
      <w:pPr>
        <w:pStyle w:val="BodyText"/>
        <w:spacing w:before="172" w:line="221" w:lineRule="auto"/>
        <w:ind w:left="486"/>
      </w:pPr>
      <w:r>
        <w:rPr>
          <w:spacing w:val="-1"/>
        </w:rPr>
        <w:t>建立食堂数据统计分析系统，帮助运营管理者了解食堂就餐人员营养健康状况，</w:t>
      </w:r>
    </w:p>
    <w:p>
      <w:pPr>
        <w:pStyle w:val="BodyText"/>
        <w:spacing w:before="173" w:line="222" w:lineRule="auto"/>
        <w:ind w:left="13"/>
      </w:pPr>
      <w:r>
        <w:rPr>
          <w:spacing w:val="-1"/>
        </w:rPr>
        <w:t>帮助分析决策食堂后续运营及改进方向。食堂数据统计分析系统包括就餐频次统计、</w:t>
      </w:r>
    </w:p>
    <w:p>
      <w:pPr>
        <w:pStyle w:val="BodyText"/>
        <w:spacing w:before="172" w:line="354" w:lineRule="auto"/>
        <w:ind w:left="8" w:right="196" w:firstLine="4"/>
      </w:pPr>
      <w:r>
        <w:rPr>
          <w:spacing w:val="-1"/>
        </w:rPr>
        <w:t>营养成分数据统计、库存数据统计、消费习惯统计、销售统计、高频食物分析、健康</w:t>
      </w:r>
      <w:r>
        <w:rPr>
          <w:spacing w:val="6"/>
        </w:rPr>
        <w:t xml:space="preserve">  </w:t>
      </w:r>
      <w:r>
        <w:t>相关数据分析、消费者对菜品/菜谱反馈分</w:t>
      </w:r>
      <w:r>
        <w:rPr>
          <w:spacing w:val="-1"/>
        </w:rPr>
        <w:t>析、不同特征用户群体与菜品类型的关系分</w:t>
      </w:r>
    </w:p>
    <w:p>
      <w:pPr>
        <w:pStyle w:val="BodyText"/>
        <w:spacing w:before="1" w:line="221" w:lineRule="auto"/>
        <w:ind w:left="5"/>
        <w:sectPr>
          <w:footerReference w:type="default" r:id="rId21"/>
          <w:pgSz w:w="11905" w:h="16839"/>
          <w:pgMar w:top="969" w:right="1256" w:bottom="674" w:left="1461" w:header="0" w:footer="505" w:gutter="0"/>
          <w:pgNumType w:start="15"/>
          <w:cols w:space="708"/>
        </w:sectPr>
      </w:pPr>
      <w:r>
        <w:rPr>
          <w:spacing w:val="-6"/>
        </w:rPr>
        <w:t>析等。</w:t>
      </w:r>
    </w:p>
    <w:p>
      <w:pPr>
        <w:pStyle w:val="BodyText"/>
        <w:spacing w:before="170" w:line="461" w:lineRule="exact"/>
      </w:pPr>
      <w:r>
        <w:rPr>
          <w:spacing w:val="-5"/>
          <w:position w:val="16"/>
        </w:rPr>
        <w:t>9</w:t>
      </w:r>
      <w:r>
        <w:rPr>
          <w:spacing w:val="22"/>
          <w:position w:val="16"/>
        </w:rPr>
        <w:t xml:space="preserve"> </w:t>
      </w:r>
      <w:r>
        <w:rPr>
          <w:spacing w:val="-5"/>
          <w:position w:val="16"/>
        </w:rPr>
        <w:t>前厅环境与氛围</w:t>
      </w:r>
    </w:p>
    <w:p>
      <w:pPr>
        <w:pStyle w:val="BodyText"/>
        <w:spacing w:line="222" w:lineRule="auto"/>
      </w:pPr>
      <w:r>
        <w:rPr>
          <w:spacing w:val="-3"/>
        </w:rPr>
        <w:t>9.1环境理念</w:t>
      </w:r>
    </w:p>
    <w:p>
      <w:pPr>
        <w:pStyle w:val="BodyText"/>
        <w:spacing w:before="172" w:line="458" w:lineRule="exact"/>
        <w:ind w:left="489"/>
      </w:pPr>
      <w:r>
        <w:rPr>
          <w:spacing w:val="-1"/>
          <w:position w:val="16"/>
        </w:rPr>
        <w:t>前厅的环境应注重定位、风格和目标顾客群体的匹配度，体现前厅独特的环境理</w:t>
      </w:r>
    </w:p>
    <w:p>
      <w:pPr>
        <w:pStyle w:val="BodyText"/>
        <w:spacing w:before="1" w:line="219" w:lineRule="auto"/>
        <w:ind w:left="13"/>
      </w:pPr>
      <w:r>
        <w:rPr>
          <w:spacing w:val="-1"/>
        </w:rPr>
        <w:t>念和品牌形象，尤其在舒适性、美观度、整洁性、智能性和互动性方面为顾客营造舒</w:t>
      </w:r>
    </w:p>
    <w:p>
      <w:pPr>
        <w:spacing w:line="219" w:lineRule="auto"/>
        <w:sectPr>
          <w:footerReference w:type="default" r:id="rId22"/>
          <w:type w:val="nextPage"/>
          <w:pgSz w:w="11905" w:h="16839"/>
          <w:pgMar w:top="969" w:right="1256" w:bottom="674" w:left="1461" w:header="0" w:footer="505" w:gutter="0"/>
          <w:pgNumType w:start="16"/>
          <w:cols w:space="708"/>
          <w:titlePg w:val="0"/>
        </w:sectPr>
      </w:pPr>
    </w:p>
    <w:p>
      <w:pPr>
        <w:pStyle w:val="BodyText"/>
        <w:spacing w:before="49" w:line="460" w:lineRule="exact"/>
        <w:ind w:left="5"/>
      </w:pPr>
      <w:r>
        <w:rPr>
          <w:position w:val="16"/>
        </w:rPr>
        <w:t>适和温馨的就餐氛围，同时可以划分第三生活</w:t>
      </w:r>
      <w:r>
        <w:rPr>
          <w:spacing w:val="-1"/>
          <w:position w:val="16"/>
        </w:rPr>
        <w:t>空间，提供办公、休闲、会客、花店、</w:t>
      </w:r>
    </w:p>
    <w:p>
      <w:pPr>
        <w:pStyle w:val="BodyText"/>
        <w:spacing w:before="1" w:line="220" w:lineRule="auto"/>
        <w:ind w:left="5"/>
      </w:pPr>
      <w:r>
        <w:rPr>
          <w:spacing w:val="-1"/>
        </w:rPr>
        <w:t>茶饮等多种功能，满足多元化用餐需求。</w:t>
      </w:r>
    </w:p>
    <w:p>
      <w:pPr>
        <w:pStyle w:val="BodyText"/>
        <w:spacing w:before="171" w:line="461" w:lineRule="exact"/>
      </w:pPr>
      <w:r>
        <w:rPr>
          <w:spacing w:val="-3"/>
          <w:position w:val="16"/>
        </w:rPr>
        <w:t>9.2智慧环境组成</w:t>
      </w:r>
    </w:p>
    <w:p>
      <w:pPr>
        <w:pStyle w:val="BodyText"/>
        <w:spacing w:line="221" w:lineRule="auto"/>
      </w:pPr>
      <w:r>
        <w:rPr>
          <w:spacing w:val="-2"/>
        </w:rPr>
        <w:t>9.2.1前厅空间</w:t>
      </w:r>
    </w:p>
    <w:p>
      <w:pPr>
        <w:pStyle w:val="BodyText"/>
        <w:spacing w:before="171" w:line="354" w:lineRule="auto"/>
        <w:ind w:left="10" w:right="185" w:firstLine="479"/>
        <w:jc w:val="both"/>
      </w:pPr>
      <w:r>
        <w:rPr>
          <w:spacing w:val="-1"/>
        </w:rPr>
        <w:t>前厅主体区域划分出完整的大块就餐空间，可以用隔断式1人位，2人、4人、8人</w:t>
      </w:r>
      <w:r>
        <w:rPr>
          <w:spacing w:val="17"/>
        </w:rPr>
        <w:t xml:space="preserve"> </w:t>
      </w:r>
      <w:r>
        <w:rPr>
          <w:spacing w:val="-1"/>
        </w:rPr>
        <w:t>餐桌等以矩阵形式穿插排列，保持就餐区域方正整齐、边界清晰，就餐过道留有足够</w:t>
      </w:r>
    </w:p>
    <w:p>
      <w:pPr>
        <w:pStyle w:val="BodyText"/>
        <w:spacing w:line="223" w:lineRule="auto"/>
        <w:ind w:left="8"/>
      </w:pPr>
      <w:r>
        <w:rPr>
          <w:spacing w:val="-6"/>
        </w:rPr>
        <w:t>宽度。</w:t>
      </w:r>
    </w:p>
    <w:p>
      <w:pPr>
        <w:pStyle w:val="BodyText"/>
        <w:spacing w:before="170" w:line="222" w:lineRule="auto"/>
      </w:pPr>
      <w:r>
        <w:rPr>
          <w:spacing w:val="-2"/>
        </w:rPr>
        <w:t>9.2.2色彩搭配</w:t>
      </w:r>
    </w:p>
    <w:p>
      <w:pPr>
        <w:pStyle w:val="BodyText"/>
        <w:spacing w:before="171" w:line="460" w:lineRule="exact"/>
        <w:ind w:left="486"/>
      </w:pPr>
      <w:r>
        <w:rPr>
          <w:spacing w:val="-1"/>
          <w:position w:val="16"/>
        </w:rPr>
        <w:t>和谐、不单调色彩搭配可增加就餐欲望，设置明亮活泼、让人眼前一亮的视觉焦</w:t>
      </w:r>
    </w:p>
    <w:p>
      <w:pPr>
        <w:pStyle w:val="BodyText"/>
        <w:spacing w:before="1" w:line="222" w:lineRule="auto"/>
        <w:ind w:left="19"/>
      </w:pPr>
      <w:r>
        <w:rPr>
          <w:spacing w:val="-2"/>
        </w:rPr>
        <w:t>点为空间减噪，可缓解身心压力。</w:t>
      </w:r>
    </w:p>
    <w:p>
      <w:pPr>
        <w:pStyle w:val="BodyText"/>
        <w:spacing w:before="172" w:line="223" w:lineRule="auto"/>
      </w:pPr>
      <w:r>
        <w:rPr>
          <w:spacing w:val="-2"/>
        </w:rPr>
        <w:t>9.2.3氛围装饰</w:t>
      </w:r>
    </w:p>
    <w:p>
      <w:pPr>
        <w:pStyle w:val="BodyText"/>
        <w:spacing w:before="168" w:line="461" w:lineRule="exact"/>
        <w:ind w:left="491"/>
      </w:pPr>
      <w:r>
        <w:rPr>
          <w:position w:val="16"/>
        </w:rPr>
        <w:t>通过巧妙的氛围装饰，营造出与其风格和定位相匹配的用餐环境，吸引</w:t>
      </w:r>
      <w:r>
        <w:rPr>
          <w:spacing w:val="-1"/>
          <w:position w:val="16"/>
        </w:rPr>
        <w:t>顾客、提</w:t>
      </w:r>
    </w:p>
    <w:p>
      <w:pPr>
        <w:pStyle w:val="BodyText"/>
        <w:spacing w:line="220" w:lineRule="auto"/>
        <w:ind w:left="10"/>
      </w:pPr>
      <w:r>
        <w:rPr>
          <w:spacing w:val="-1"/>
        </w:rPr>
        <w:t>升顾客体验，并与其他餐厅形成差异化竞争，主要包括以下几个方面。</w:t>
      </w:r>
    </w:p>
    <w:p>
      <w:pPr>
        <w:pStyle w:val="BodyText"/>
        <w:spacing w:before="174" w:line="354" w:lineRule="auto"/>
        <w:ind w:left="435" w:right="125" w:hanging="15"/>
        <w:jc w:val="both"/>
      </w:pPr>
      <w:r>
        <w:t>a）合理选择灯光和色温，从视觉改变就餐环境，从整体</w:t>
      </w:r>
      <w:r>
        <w:rPr>
          <w:spacing w:val="-1"/>
        </w:rPr>
        <w:t>提升就餐体验，选择暖色</w:t>
      </w:r>
      <w:r>
        <w:t xml:space="preserve"> </w:t>
      </w:r>
      <w:r>
        <w:t>系给人亲近感、放松感，易增加就餐欲望；选择冷色系给人高冷感、整洁感</w:t>
      </w:r>
      <w:r>
        <w:rPr>
          <w:spacing w:val="-1"/>
        </w:rPr>
        <w:t>，暗</w:t>
      </w:r>
    </w:p>
    <w:p>
      <w:pPr>
        <w:pStyle w:val="BodyText"/>
        <w:spacing w:line="221" w:lineRule="auto"/>
        <w:ind w:left="427"/>
      </w:pPr>
      <w:r>
        <w:rPr>
          <w:spacing w:val="-1"/>
        </w:rPr>
        <w:t>示就餐场景标准、正规，敦促大家遵守秩序，有序用餐；</w:t>
      </w:r>
    </w:p>
    <w:p>
      <w:pPr>
        <w:pStyle w:val="BodyText"/>
        <w:spacing w:before="173" w:line="458" w:lineRule="exact"/>
        <w:ind w:left="415"/>
      </w:pPr>
      <w:r>
        <w:rPr>
          <w:position w:val="16"/>
        </w:rPr>
        <w:t>b）合理搭配餐桌和座椅的色彩、线条、弧度，营造不同</w:t>
      </w:r>
      <w:r>
        <w:rPr>
          <w:spacing w:val="-1"/>
          <w:position w:val="16"/>
        </w:rPr>
        <w:t>的用餐体验；</w:t>
      </w:r>
    </w:p>
    <w:p>
      <w:pPr>
        <w:pStyle w:val="BodyText"/>
        <w:spacing w:before="1" w:line="222" w:lineRule="auto"/>
        <w:ind w:left="423"/>
      </w:pPr>
      <w:r>
        <w:rPr>
          <w:spacing w:val="-2"/>
        </w:rPr>
        <w:t>c）设置四周背景墙，360</w:t>
      </w:r>
      <w:r>
        <w:rPr>
          <w:spacing w:val="-77"/>
        </w:rPr>
        <w:t xml:space="preserve"> </w:t>
      </w:r>
      <w:r>
        <w:rPr>
          <w:spacing w:val="-2"/>
        </w:rPr>
        <w:t>°环绕投影，打造沉浸式就餐环境；</w:t>
      </w:r>
    </w:p>
    <w:p>
      <w:pPr>
        <w:pStyle w:val="BodyText"/>
        <w:spacing w:before="171" w:line="222" w:lineRule="auto"/>
        <w:ind w:left="423"/>
      </w:pPr>
      <w:r>
        <w:rPr>
          <w:spacing w:val="-1"/>
        </w:rPr>
        <w:t>d）使用投影、互动屏等智能设备丰富就餐体验。</w:t>
      </w:r>
    </w:p>
    <w:p>
      <w:pPr>
        <w:pStyle w:val="BodyText"/>
        <w:spacing w:before="173" w:line="222" w:lineRule="auto"/>
      </w:pPr>
      <w:r>
        <w:rPr>
          <w:spacing w:val="-2"/>
        </w:rPr>
        <w:t>9.2.4智慧灯光</w:t>
      </w:r>
    </w:p>
    <w:p>
      <w:pPr>
        <w:pStyle w:val="BodyText"/>
        <w:spacing w:before="170" w:line="460" w:lineRule="exact"/>
        <w:ind w:left="491"/>
      </w:pPr>
      <w:r>
        <w:rPr>
          <w:spacing w:val="-1"/>
          <w:position w:val="16"/>
        </w:rPr>
        <w:t>结合智能控制、感应技术和个性化设置，根据前厅需求和顾客喜好，创造出适宜</w:t>
      </w:r>
    </w:p>
    <w:p>
      <w:pPr>
        <w:pStyle w:val="BodyText"/>
        <w:spacing w:before="1" w:line="221" w:lineRule="auto"/>
        <w:ind w:left="20"/>
      </w:pPr>
      <w:r>
        <w:rPr>
          <w:spacing w:val="-2"/>
        </w:rPr>
        <w:t>的氛围和照明效果，包括以下功能：</w:t>
      </w:r>
    </w:p>
    <w:p>
      <w:pPr>
        <w:pStyle w:val="BodyText"/>
        <w:spacing w:before="173" w:line="458" w:lineRule="exact"/>
        <w:ind w:left="420"/>
      </w:pPr>
      <w:r>
        <w:rPr>
          <w:position w:val="16"/>
        </w:rPr>
        <w:t>a）预设早餐、午餐、晚餐等多种情景模式，每种模式下</w:t>
      </w:r>
      <w:r>
        <w:rPr>
          <w:spacing w:val="-1"/>
          <w:position w:val="16"/>
        </w:rPr>
        <w:t>灯光的亮度、颜色和效果</w:t>
      </w:r>
    </w:p>
    <w:p>
      <w:pPr>
        <w:pStyle w:val="BodyText"/>
        <w:spacing w:before="1" w:line="220" w:lineRule="auto"/>
        <w:ind w:left="427"/>
      </w:pPr>
      <w:r>
        <w:rPr>
          <w:spacing w:val="-2"/>
        </w:rPr>
        <w:t>都可以根据需求进行调整；</w:t>
      </w:r>
    </w:p>
    <w:p>
      <w:pPr>
        <w:pStyle w:val="BodyText"/>
        <w:spacing w:before="174" w:line="220" w:lineRule="auto"/>
        <w:ind w:left="415"/>
      </w:pPr>
      <w:r>
        <w:t>b）通过运动检测和人体感应技术，感知顾客的活动和位置，当顾客</w:t>
      </w:r>
      <w:r>
        <w:rPr>
          <w:spacing w:val="-1"/>
        </w:rPr>
        <w:t>进入前厅或离</w:t>
      </w:r>
    </w:p>
    <w:p>
      <w:pPr>
        <w:pStyle w:val="BodyText"/>
        <w:spacing w:before="175" w:line="458" w:lineRule="exact"/>
        <w:ind w:left="426"/>
      </w:pPr>
      <w:r>
        <w:rPr>
          <w:spacing w:val="-1"/>
          <w:position w:val="16"/>
        </w:rPr>
        <w:t>开座位时，灯光可以自动调整亮度，提供舒适的照明环境，并节省能源；</w:t>
      </w:r>
    </w:p>
    <w:p>
      <w:pPr>
        <w:pStyle w:val="BodyText"/>
        <w:spacing w:before="1" w:line="221" w:lineRule="auto"/>
        <w:ind w:left="423"/>
      </w:pPr>
      <w:r>
        <w:rPr>
          <w:spacing w:val="-1"/>
        </w:rPr>
        <w:t>c）管理人员通过智能手机或平板电脑等设备，远程控制灯光系统。</w:t>
      </w:r>
    </w:p>
    <w:p>
      <w:pPr>
        <w:pStyle w:val="BodyText"/>
        <w:spacing w:before="173" w:line="223" w:lineRule="auto"/>
      </w:pPr>
      <w:r>
        <w:rPr>
          <w:spacing w:val="-2"/>
        </w:rPr>
        <w:t>9.2.5智慧道闸</w:t>
      </w:r>
    </w:p>
    <w:p>
      <w:pPr>
        <w:pStyle w:val="BodyText"/>
        <w:spacing w:before="171" w:line="458" w:lineRule="exact"/>
        <w:jc w:val="right"/>
        <w:sectPr>
          <w:footerReference w:type="default" r:id="rId23"/>
          <w:pgSz w:w="11905" w:h="16839"/>
          <w:pgMar w:top="969" w:right="1387" w:bottom="674" w:left="1461" w:header="0" w:footer="505" w:gutter="0"/>
          <w:pgNumType w:start="17"/>
          <w:cols w:space="708"/>
        </w:sectPr>
      </w:pPr>
      <w:r>
        <w:rPr>
          <w:spacing w:val="-2"/>
          <w:position w:val="16"/>
        </w:rPr>
        <w:t>结合自动识别、智能控制和数据管理等功能，实现人员的进出识别、指</w:t>
      </w:r>
      <w:r>
        <w:rPr>
          <w:spacing w:val="-3"/>
          <w:position w:val="16"/>
        </w:rPr>
        <w:t>引等操作，</w:t>
      </w:r>
    </w:p>
    <w:p>
      <w:pPr>
        <w:pStyle w:val="BodyText"/>
        <w:spacing w:line="220" w:lineRule="auto"/>
        <w:ind w:left="8"/>
      </w:pPr>
      <w:r>
        <w:rPr>
          <w:spacing w:val="-1"/>
        </w:rPr>
        <w:t>提升前厅管理的效率和便利性，包括以下功能：</w:t>
      </w:r>
    </w:p>
    <w:p>
      <w:pPr>
        <w:pStyle w:val="BodyText"/>
        <w:spacing w:before="175" w:line="461" w:lineRule="exact"/>
        <w:ind w:left="420"/>
      </w:pPr>
      <w:r>
        <w:rPr>
          <w:spacing w:val="-3"/>
          <w:position w:val="16"/>
        </w:rPr>
        <w:t>a）配备人脸识别技术，</w:t>
      </w:r>
      <w:r>
        <w:rPr>
          <w:spacing w:val="-59"/>
          <w:position w:val="16"/>
        </w:rPr>
        <w:t xml:space="preserve"> </w:t>
      </w:r>
      <w:r>
        <w:rPr>
          <w:spacing w:val="-3"/>
          <w:position w:val="16"/>
        </w:rPr>
        <w:t>自动辨识进出前厅的</w:t>
      </w:r>
      <w:r>
        <w:rPr>
          <w:spacing w:val="-4"/>
          <w:position w:val="16"/>
        </w:rPr>
        <w:t>人员；</w:t>
      </w:r>
    </w:p>
    <w:p>
      <w:pPr>
        <w:pStyle w:val="BodyText"/>
        <w:spacing w:line="221" w:lineRule="auto"/>
        <w:ind w:left="415"/>
      </w:pPr>
      <w:r>
        <w:rPr>
          <w:spacing w:val="-1"/>
        </w:rPr>
        <w:t>b）与支付系统集成，实现自动扣费功能；</w:t>
      </w:r>
    </w:p>
    <w:p>
      <w:pPr>
        <w:pStyle w:val="BodyText"/>
        <w:spacing w:before="170" w:line="222" w:lineRule="auto"/>
        <w:ind w:left="423"/>
      </w:pPr>
      <w:r>
        <w:t>c）收集和记录人员进出的数据，包括进出时间</w:t>
      </w:r>
      <w:r>
        <w:rPr>
          <w:spacing w:val="-1"/>
        </w:rPr>
        <w:t>、就餐时长等信息，为前厅的运营</w:t>
      </w:r>
    </w:p>
    <w:p>
      <w:pPr>
        <w:spacing w:line="222" w:lineRule="auto"/>
        <w:sectPr>
          <w:footerReference w:type="default" r:id="rId24"/>
          <w:type w:val="nextPage"/>
          <w:pgSz w:w="11905" w:h="16839"/>
          <w:pgMar w:top="969" w:right="1387" w:bottom="674" w:left="1461" w:header="0" w:footer="505" w:gutter="0"/>
          <w:pgNumType w:start="18"/>
          <w:cols w:space="708"/>
          <w:titlePg w:val="0"/>
        </w:sectPr>
      </w:pPr>
    </w:p>
    <w:p>
      <w:pPr>
        <w:pStyle w:val="BodyText"/>
        <w:spacing w:before="49" w:line="222" w:lineRule="auto"/>
        <w:ind w:left="421"/>
      </w:pPr>
      <w:r>
        <w:rPr>
          <w:spacing w:val="-2"/>
        </w:rPr>
        <w:t>决策提供参考依据；</w:t>
      </w:r>
    </w:p>
    <w:p>
      <w:pPr>
        <w:pStyle w:val="BodyText"/>
        <w:spacing w:before="171" w:line="459" w:lineRule="exact"/>
        <w:ind w:right="59"/>
        <w:jc w:val="right"/>
      </w:pPr>
      <w:r>
        <w:rPr>
          <w:position w:val="16"/>
        </w:rPr>
        <w:t>d）配备安全监控摄像头，实时监测，当发生异</w:t>
      </w:r>
      <w:r>
        <w:rPr>
          <w:spacing w:val="-1"/>
          <w:position w:val="16"/>
        </w:rPr>
        <w:t>常情况时，发送报警通知，确保前</w:t>
      </w:r>
    </w:p>
    <w:p>
      <w:pPr>
        <w:pStyle w:val="BodyText"/>
        <w:spacing w:line="222" w:lineRule="auto"/>
        <w:ind w:left="421"/>
      </w:pPr>
      <w:r>
        <w:rPr>
          <w:spacing w:val="-3"/>
        </w:rPr>
        <w:t>厅的安全和秩序。</w:t>
      </w:r>
    </w:p>
    <w:p>
      <w:pPr>
        <w:pStyle w:val="BodyText"/>
        <w:spacing w:before="171" w:line="461" w:lineRule="exact"/>
        <w:ind w:left="11"/>
      </w:pPr>
      <w:r>
        <w:rPr>
          <w:spacing w:val="-4"/>
          <w:position w:val="16"/>
        </w:rPr>
        <w:t>10</w:t>
      </w:r>
      <w:r>
        <w:rPr>
          <w:spacing w:val="-4"/>
          <w:position w:val="16"/>
        </w:rPr>
        <w:t xml:space="preserve">  </w:t>
      </w:r>
      <w:r>
        <w:rPr>
          <w:spacing w:val="-4"/>
          <w:position w:val="16"/>
        </w:rPr>
        <w:t>健康饮食宣传与教育</w:t>
      </w:r>
    </w:p>
    <w:p>
      <w:pPr>
        <w:pStyle w:val="BodyText"/>
        <w:spacing w:line="222" w:lineRule="auto"/>
        <w:ind w:left="11"/>
      </w:pPr>
      <w:r>
        <w:rPr>
          <w:spacing w:val="-5"/>
        </w:rPr>
        <w:t>10.1健康饮食宣传</w:t>
      </w:r>
    </w:p>
    <w:p>
      <w:pPr>
        <w:pStyle w:val="BodyText"/>
        <w:spacing w:before="169" w:line="222" w:lineRule="auto"/>
        <w:ind w:left="480"/>
      </w:pPr>
      <w:r>
        <w:rPr>
          <w:spacing w:val="-2"/>
        </w:rPr>
        <w:t>健康饮食宣传从以下几方面开展：</w:t>
      </w:r>
    </w:p>
    <w:p>
      <w:pPr>
        <w:pStyle w:val="BodyText"/>
        <w:spacing w:before="172" w:line="461" w:lineRule="exact"/>
        <w:ind w:right="44"/>
        <w:jc w:val="right"/>
      </w:pPr>
      <w:r>
        <w:rPr>
          <w:position w:val="16"/>
        </w:rPr>
        <w:t>a）配备营养师或营养指导员、营养配餐员，负责营养配餐、健康宣教等工作，指</w:t>
      </w:r>
    </w:p>
    <w:p>
      <w:pPr>
        <w:pStyle w:val="BodyText"/>
        <w:spacing w:line="220" w:lineRule="auto"/>
        <w:ind w:left="422"/>
      </w:pPr>
      <w:r>
        <w:rPr>
          <w:spacing w:val="-1"/>
        </w:rPr>
        <w:t>导食堂采购、配料和加工、餐饮食品说明和营养标签；</w:t>
      </w:r>
    </w:p>
    <w:p>
      <w:pPr>
        <w:pStyle w:val="BodyText"/>
        <w:spacing w:before="172" w:line="461" w:lineRule="exact"/>
        <w:ind w:right="60"/>
        <w:jc w:val="right"/>
      </w:pPr>
      <w:r>
        <w:rPr>
          <w:position w:val="16"/>
        </w:rPr>
        <w:t>b）建立系统化健康科普体系，依据健康画像，解析营养与健康的关</w:t>
      </w:r>
      <w:r>
        <w:rPr>
          <w:spacing w:val="-1"/>
          <w:position w:val="16"/>
        </w:rPr>
        <w:t>联，建立营养</w:t>
      </w:r>
    </w:p>
    <w:p>
      <w:pPr>
        <w:pStyle w:val="BodyText"/>
        <w:spacing w:before="1" w:line="220" w:lineRule="auto"/>
        <w:ind w:left="422"/>
      </w:pPr>
      <w:r>
        <w:rPr>
          <w:spacing w:val="-1"/>
        </w:rPr>
        <w:t>知识体系，引导识别饮食中的营养健康要素；</w:t>
      </w:r>
    </w:p>
    <w:p>
      <w:pPr>
        <w:pStyle w:val="BodyText"/>
        <w:spacing w:before="174" w:line="221" w:lineRule="auto"/>
        <w:ind w:left="418"/>
      </w:pPr>
      <w:r>
        <w:rPr>
          <w:spacing w:val="-1"/>
        </w:rPr>
        <w:t>c）面向用餐群体开展各类健康促进活动，鼓励健康管理行动；</w:t>
      </w:r>
    </w:p>
    <w:p>
      <w:pPr>
        <w:pStyle w:val="BodyText"/>
        <w:spacing w:before="171" w:line="461" w:lineRule="exact"/>
        <w:ind w:right="60"/>
        <w:jc w:val="right"/>
      </w:pPr>
      <w:r>
        <w:rPr>
          <w:position w:val="16"/>
        </w:rPr>
        <w:t>d）建立居民营养膳食知识和核心信息发布渠道</w:t>
      </w:r>
      <w:r>
        <w:rPr>
          <w:spacing w:val="-1"/>
          <w:position w:val="16"/>
        </w:rPr>
        <w:t>，利用传统媒体和新媒体渠道加大</w:t>
      </w:r>
    </w:p>
    <w:p>
      <w:pPr>
        <w:pStyle w:val="BodyText"/>
        <w:spacing w:line="222" w:lineRule="auto"/>
        <w:ind w:left="435"/>
      </w:pPr>
      <w:r>
        <w:rPr>
          <w:spacing w:val="-3"/>
        </w:rPr>
        <w:t>宣传力度，拓展健康教育；</w:t>
      </w:r>
    </w:p>
    <w:p>
      <w:pPr>
        <w:pStyle w:val="BodyText"/>
        <w:spacing w:before="172" w:line="458" w:lineRule="exact"/>
        <w:ind w:right="60"/>
        <w:jc w:val="right"/>
      </w:pPr>
      <w:r>
        <w:rPr>
          <w:spacing w:val="-2"/>
          <w:position w:val="16"/>
        </w:rPr>
        <w:t>e）采取显著位置张贴、悬挂材料，视频播放，公众号、小程序、信息</w:t>
      </w:r>
      <w:r>
        <w:rPr>
          <w:spacing w:val="-3"/>
          <w:position w:val="16"/>
        </w:rPr>
        <w:t>推送、</w:t>
      </w:r>
      <w:r>
        <w:rPr>
          <w:spacing w:val="-59"/>
          <w:position w:val="16"/>
        </w:rPr>
        <w:t xml:space="preserve"> </w:t>
      </w:r>
      <w:r>
        <w:rPr>
          <w:spacing w:val="-3"/>
          <w:position w:val="16"/>
        </w:rPr>
        <w:t>自由</w:t>
      </w:r>
    </w:p>
    <w:p>
      <w:pPr>
        <w:pStyle w:val="BodyText"/>
        <w:spacing w:before="1" w:line="220" w:lineRule="auto"/>
        <w:ind w:left="421"/>
      </w:pPr>
      <w:r>
        <w:rPr>
          <w:spacing w:val="-1"/>
        </w:rPr>
        <w:t>取阅的宣传材料等多种宣传形式，营造营养健康的就餐氛围；</w:t>
      </w:r>
    </w:p>
    <w:p>
      <w:pPr>
        <w:pStyle w:val="BodyText"/>
        <w:spacing w:before="173" w:line="354" w:lineRule="auto"/>
        <w:ind w:left="428" w:right="114" w:hanging="11"/>
        <w:jc w:val="both"/>
      </w:pPr>
      <w:r>
        <w:rPr>
          <w:spacing w:val="-3"/>
        </w:rPr>
        <w:t>f）加强“三减</w:t>
      </w:r>
      <w:r>
        <w:rPr>
          <w:spacing w:val="-80"/>
        </w:rPr>
        <w:t xml:space="preserve"> </w:t>
      </w:r>
      <w:r>
        <w:rPr>
          <w:spacing w:val="-3"/>
        </w:rPr>
        <w:t>”政策宣传，指导少油控糖，宣传添加糖、油脂带来的疾病风险，</w:t>
      </w:r>
      <w:r>
        <w:t xml:space="preserve"> </w:t>
      </w:r>
      <w:r>
        <w:rPr>
          <w:spacing w:val="-1"/>
        </w:rPr>
        <w:t>重点推荐通过减少食盐添加、使用低钠盐或低钠富钾类固态调味料的方法降低钠</w:t>
      </w:r>
    </w:p>
    <w:p>
      <w:pPr>
        <w:pStyle w:val="BodyText"/>
        <w:spacing w:before="1" w:line="222" w:lineRule="auto"/>
        <w:ind w:left="422"/>
      </w:pPr>
      <w:r>
        <w:rPr>
          <w:spacing w:val="-6"/>
        </w:rPr>
        <w:t>含量；</w:t>
      </w:r>
    </w:p>
    <w:p>
      <w:pPr>
        <w:pStyle w:val="BodyText"/>
        <w:spacing w:before="171" w:line="461" w:lineRule="exact"/>
        <w:ind w:right="60"/>
        <w:jc w:val="right"/>
      </w:pPr>
      <w:r>
        <w:rPr>
          <w:position w:val="16"/>
        </w:rPr>
        <w:t>g）宣传合理膳食、营养相关慢性病防治、传染病</w:t>
      </w:r>
      <w:r>
        <w:rPr>
          <w:spacing w:val="-1"/>
          <w:position w:val="16"/>
        </w:rPr>
        <w:t>防控、节约粮食、中国居民平衡</w:t>
      </w:r>
    </w:p>
    <w:p>
      <w:pPr>
        <w:pStyle w:val="BodyText"/>
        <w:spacing w:before="1" w:line="221" w:lineRule="auto"/>
        <w:ind w:left="422"/>
      </w:pPr>
      <w:r>
        <w:rPr>
          <w:spacing w:val="-3"/>
        </w:rPr>
        <w:t>膳食宝塔、一</w:t>
      </w:r>
      <w:r>
        <w:rPr>
          <w:spacing w:val="-52"/>
        </w:rPr>
        <w:t xml:space="preserve"> </w:t>
      </w:r>
      <w:r>
        <w:rPr>
          <w:spacing w:val="-3"/>
        </w:rPr>
        <w:t>日三餐能量和脂肪等摄入量建议的科普知识和政策。</w:t>
      </w:r>
    </w:p>
    <w:p>
      <w:pPr>
        <w:pStyle w:val="BodyText"/>
        <w:spacing w:before="171" w:line="222" w:lineRule="auto"/>
        <w:ind w:left="11"/>
      </w:pPr>
      <w:r>
        <w:rPr>
          <w:spacing w:val="-5"/>
        </w:rPr>
        <w:t>10.2健康饮食教育</w:t>
      </w:r>
    </w:p>
    <w:p>
      <w:pPr>
        <w:pStyle w:val="BodyText"/>
        <w:spacing w:before="170" w:line="354" w:lineRule="auto"/>
        <w:ind w:firstLine="505"/>
        <w:jc w:val="both"/>
      </w:pPr>
      <w:r>
        <w:rPr>
          <w:spacing w:val="-1"/>
        </w:rPr>
        <w:t>以食堂为主体组织举办膳食营养教育活动，包括营养健康专题讲</w:t>
      </w:r>
      <w:r>
        <w:rPr>
          <w:spacing w:val="-2"/>
        </w:rPr>
        <w:t>座、知识问答和</w:t>
      </w:r>
      <w:r>
        <w:t xml:space="preserve">  </w:t>
      </w:r>
      <w:r>
        <w:t>健康烹饪指导等形式，每年度不少于2次；利用</w:t>
      </w:r>
      <w:r>
        <w:rPr>
          <w:spacing w:val="-1"/>
        </w:rPr>
        <w:t>新媒体渠道主动推送营养健康活动或指</w:t>
      </w:r>
    </w:p>
    <w:p>
      <w:pPr>
        <w:pStyle w:val="BodyText"/>
        <w:spacing w:before="1" w:line="221" w:lineRule="auto"/>
        <w:ind w:left="2"/>
      </w:pPr>
      <w:r>
        <w:rPr>
          <w:spacing w:val="-1"/>
        </w:rPr>
        <w:t>导信息，征求用餐人员的意见和建议等。健康饮食教育主要包括：</w:t>
      </w:r>
    </w:p>
    <w:p>
      <w:pPr>
        <w:pStyle w:val="BodyText"/>
        <w:spacing w:before="173" w:line="461" w:lineRule="exact"/>
        <w:ind w:left="414"/>
      </w:pPr>
      <w:r>
        <w:rPr>
          <w:spacing w:val="-1"/>
          <w:position w:val="16"/>
        </w:rPr>
        <w:t>a）基于食物分量概念图、食物营养信息等的营养与膳食指导；</w:t>
      </w:r>
    </w:p>
    <w:p>
      <w:pPr>
        <w:pStyle w:val="BodyText"/>
        <w:spacing w:line="220" w:lineRule="auto"/>
        <w:ind w:left="409"/>
      </w:pPr>
      <w:r>
        <w:t>b）减盐、减油、减糖、慢性非传染性疾病</w:t>
      </w:r>
      <w:r>
        <w:rPr>
          <w:spacing w:val="-1"/>
        </w:rPr>
        <w:t>的防控指导；</w:t>
      </w:r>
    </w:p>
    <w:p>
      <w:pPr>
        <w:pStyle w:val="BodyText"/>
        <w:spacing w:before="172" w:line="461" w:lineRule="exact"/>
        <w:ind w:left="418"/>
      </w:pPr>
      <w:r>
        <w:rPr>
          <w:spacing w:val="-5"/>
          <w:position w:val="16"/>
        </w:rPr>
        <w:t>c）健康自测、</w:t>
      </w:r>
      <w:r>
        <w:rPr>
          <w:spacing w:val="-55"/>
          <w:position w:val="16"/>
        </w:rPr>
        <w:t xml:space="preserve"> </w:t>
      </w:r>
      <w:r>
        <w:rPr>
          <w:spacing w:val="-5"/>
          <w:position w:val="16"/>
        </w:rPr>
        <w:t>自评的方法或指导；</w:t>
      </w:r>
    </w:p>
    <w:p>
      <w:pPr>
        <w:pStyle w:val="BodyText"/>
        <w:spacing w:line="222" w:lineRule="auto"/>
        <w:ind w:left="418"/>
      </w:pPr>
      <w:r>
        <w:rPr>
          <w:spacing w:val="-2"/>
        </w:rPr>
        <w:t>d）健康生活方式指导。</w:t>
      </w:r>
    </w:p>
    <w:p>
      <w:pPr>
        <w:pStyle w:val="BodyText"/>
        <w:spacing w:before="171" w:line="222" w:lineRule="auto"/>
        <w:ind w:left="11"/>
        <w:sectPr>
          <w:footerReference w:type="default" r:id="rId25"/>
          <w:pgSz w:w="11905" w:h="16839"/>
          <w:pgMar w:top="969" w:right="1453" w:bottom="674" w:left="1467" w:header="0" w:footer="505" w:gutter="0"/>
          <w:pgNumType w:start="19"/>
          <w:cols w:space="708"/>
        </w:sectPr>
      </w:pPr>
      <w:r>
        <w:rPr>
          <w:spacing w:val="-4"/>
        </w:rPr>
        <w:t>10.3健康饮食闭环管理</w:t>
      </w:r>
    </w:p>
    <w:p>
      <w:pPr>
        <w:pStyle w:val="BodyText"/>
        <w:spacing w:before="171" w:line="221" w:lineRule="auto"/>
        <w:ind w:left="482"/>
      </w:pPr>
      <w:r>
        <w:t>运用人工智能、大数据和物联网等技术，实现智能化、动态化的信息采集—筛</w:t>
      </w:r>
    </w:p>
    <w:p>
      <w:pPr>
        <w:pStyle w:val="BodyText"/>
        <w:spacing w:before="172" w:line="354" w:lineRule="auto"/>
        <w:ind w:right="120" w:firstLine="1"/>
      </w:pPr>
      <w:r>
        <w:rPr>
          <w:spacing w:val="-1"/>
        </w:rPr>
        <w:t>查—评估—干预—反馈—评价的全流程、可持续的膳食健康闭环管理，实现管理、用</w:t>
      </w:r>
      <w:r>
        <w:rPr>
          <w:spacing w:val="18"/>
        </w:rPr>
        <w:t xml:space="preserve"> </w:t>
      </w:r>
      <w:r>
        <w:t>户两端数据互通，形成群体健康画像，提供群</w:t>
      </w:r>
      <w:r>
        <w:rPr>
          <w:spacing w:val="-1"/>
        </w:rPr>
        <w:t>体营养膳食与健康风险因素的大数据分</w:t>
      </w:r>
    </w:p>
    <w:p>
      <w:pPr>
        <w:pStyle w:val="BodyText"/>
        <w:spacing w:before="1" w:line="220" w:lineRule="auto"/>
      </w:pPr>
      <w:r>
        <w:rPr>
          <w:spacing w:val="-1"/>
        </w:rPr>
        <w:t>析与感知，辅助管理端下一步决策。</w:t>
      </w:r>
    </w:p>
    <w:p>
      <w:pPr>
        <w:spacing w:line="220" w:lineRule="auto"/>
        <w:sectPr>
          <w:footerReference w:type="default" r:id="rId26"/>
          <w:type w:val="nextPage"/>
          <w:pgSz w:w="11905" w:h="16839"/>
          <w:pgMar w:top="969" w:right="1453" w:bottom="674" w:left="1467" w:header="0" w:footer="505" w:gutter="0"/>
          <w:pgNumType w:start="20"/>
          <w:cols w:space="708"/>
          <w:titlePg w:val="0"/>
        </w:sectPr>
      </w:pPr>
    </w:p>
    <w:p>
      <w:pPr>
        <w:pStyle w:val="BodyText"/>
        <w:spacing w:before="49" w:line="460" w:lineRule="exact"/>
        <w:ind w:left="493"/>
      </w:pPr>
      <w:r>
        <w:rPr>
          <w:spacing w:val="-1"/>
          <w:position w:val="16"/>
        </w:rPr>
        <w:t>管理端：包括查看群体健康画像，提供群体营养膳食分析、慢病情况、疾病风险</w:t>
      </w:r>
    </w:p>
    <w:p>
      <w:pPr>
        <w:pStyle w:val="BodyText"/>
        <w:spacing w:line="220" w:lineRule="auto"/>
        <w:ind w:left="1"/>
      </w:pPr>
      <w:r>
        <w:rPr>
          <w:spacing w:val="-1"/>
        </w:rPr>
        <w:t>评估、主动健康管理综合效果统计分析等功能；</w:t>
      </w:r>
    </w:p>
    <w:p>
      <w:pPr>
        <w:pStyle w:val="BodyText"/>
        <w:spacing w:before="172" w:line="460" w:lineRule="exact"/>
        <w:ind w:left="480"/>
      </w:pPr>
      <w:r>
        <w:rPr>
          <w:spacing w:val="-1"/>
          <w:position w:val="16"/>
        </w:rPr>
        <w:t>用户端：包括个人健康档案存档、个人疾病风险筛查、智能化的营养膳食管理方</w:t>
      </w:r>
    </w:p>
    <w:p>
      <w:pPr>
        <w:pStyle w:val="BodyText"/>
        <w:spacing w:line="220" w:lineRule="auto"/>
        <w:ind w:left="1"/>
      </w:pPr>
      <w:r>
        <w:rPr>
          <w:spacing w:val="-1"/>
        </w:rPr>
        <w:t>案、周期性的效果反馈、营养膳食健康宣教等功能。</w:t>
      </w:r>
    </w:p>
    <w:p>
      <w:pPr>
        <w:pStyle w:val="BodyText"/>
        <w:spacing w:before="175" w:line="220" w:lineRule="auto"/>
        <w:ind w:left="11"/>
      </w:pPr>
      <w:r>
        <w:rPr>
          <w:spacing w:val="-5"/>
        </w:rPr>
        <w:t>11</w:t>
      </w:r>
      <w:r>
        <w:rPr>
          <w:spacing w:val="-5"/>
        </w:rPr>
        <w:t xml:space="preserve">  </w:t>
      </w:r>
      <w:r>
        <w:rPr>
          <w:spacing w:val="-5"/>
        </w:rPr>
        <w:t>用户个性化服务</w:t>
      </w:r>
    </w:p>
    <w:p>
      <w:pPr>
        <w:pStyle w:val="BodyText"/>
        <w:spacing w:before="171" w:line="222" w:lineRule="auto"/>
        <w:ind w:left="11"/>
      </w:pPr>
      <w:r>
        <w:rPr>
          <w:spacing w:val="-4"/>
        </w:rPr>
        <w:t>11.1智慧健康就餐场景搭建</w:t>
      </w:r>
    </w:p>
    <w:p>
      <w:pPr>
        <w:pStyle w:val="BodyText"/>
        <w:spacing w:before="172" w:line="354" w:lineRule="auto"/>
        <w:ind w:right="203" w:firstLine="480"/>
        <w:jc w:val="both"/>
      </w:pPr>
      <w:r>
        <w:rPr>
          <w:spacing w:val="-1"/>
        </w:rPr>
        <w:t>智慧健康就餐场景搭建方法包括但不限于收集用餐者的健康数据情况，取餐现场</w:t>
      </w:r>
      <w:r>
        <w:rPr>
          <w:spacing w:val="18"/>
        </w:rPr>
        <w:t xml:space="preserve"> </w:t>
      </w:r>
      <w:r>
        <w:t>设置智能称重设备，配备专业人员辅助提供营</w:t>
      </w:r>
      <w:r>
        <w:rPr>
          <w:spacing w:val="-1"/>
        </w:rPr>
        <w:t>养咨询和指导，搭建个性化的食谱推荐</w:t>
      </w:r>
      <w:r>
        <w:t xml:space="preserve"> </w:t>
      </w:r>
      <w:r>
        <w:t>应用系统，取餐前按照个性化营养需求推荐摄</w:t>
      </w:r>
      <w:r>
        <w:rPr>
          <w:spacing w:val="-1"/>
        </w:rPr>
        <w:t>入食物和克重，取餐过程无感采集用餐</w:t>
      </w:r>
    </w:p>
    <w:p>
      <w:pPr>
        <w:pStyle w:val="BodyText"/>
        <w:spacing w:before="2" w:line="220" w:lineRule="auto"/>
        <w:jc w:val="right"/>
      </w:pPr>
      <w:r>
        <w:rPr>
          <w:spacing w:val="-2"/>
        </w:rPr>
        <w:t>者当餐摄入数据，餐后详细分析营养目标与实际的偏差，动态调整后续的推荐目标等。</w:t>
      </w:r>
    </w:p>
    <w:p>
      <w:pPr>
        <w:pStyle w:val="BodyText"/>
        <w:spacing w:before="173" w:line="459" w:lineRule="exact"/>
        <w:ind w:left="11"/>
      </w:pPr>
      <w:r>
        <w:rPr>
          <w:spacing w:val="-4"/>
          <w:position w:val="16"/>
        </w:rPr>
        <w:t>11.2智慧健康管理云平台</w:t>
      </w:r>
    </w:p>
    <w:p>
      <w:pPr>
        <w:pStyle w:val="BodyText"/>
        <w:spacing w:line="222" w:lineRule="auto"/>
        <w:ind w:left="11"/>
      </w:pPr>
      <w:r>
        <w:rPr>
          <w:spacing w:val="-4"/>
        </w:rPr>
        <w:t>11.2.1疾病风险报告解读</w:t>
      </w:r>
    </w:p>
    <w:p>
      <w:pPr>
        <w:pStyle w:val="BodyText"/>
        <w:spacing w:before="172" w:line="461" w:lineRule="exact"/>
        <w:ind w:left="480"/>
      </w:pPr>
      <w:r>
        <w:rPr>
          <w:spacing w:val="-1"/>
          <w:position w:val="16"/>
        </w:rPr>
        <w:t>支持上传和手动录入体检报告、医院检查化验单；解析体检报告电子文件，评估</w:t>
      </w:r>
    </w:p>
    <w:p>
      <w:pPr>
        <w:pStyle w:val="BodyText"/>
        <w:spacing w:line="220" w:lineRule="auto"/>
        <w:ind w:left="4"/>
      </w:pPr>
      <w:r>
        <w:rPr>
          <w:spacing w:val="-1"/>
        </w:rPr>
        <w:t>亚健康风险和亚临床风险；查看疾病风险评估结果。</w:t>
      </w:r>
    </w:p>
    <w:p>
      <w:pPr>
        <w:pStyle w:val="BodyText"/>
        <w:spacing w:before="172" w:line="220" w:lineRule="auto"/>
        <w:ind w:left="11"/>
      </w:pPr>
      <w:r>
        <w:rPr>
          <w:spacing w:val="-4"/>
        </w:rPr>
        <w:t>11.2.2个性化动态营养食谱</w:t>
      </w:r>
    </w:p>
    <w:p>
      <w:pPr>
        <w:pStyle w:val="BodyText"/>
        <w:spacing w:before="175" w:line="461" w:lineRule="exact"/>
        <w:ind w:left="481"/>
      </w:pPr>
      <w:r>
        <w:rPr>
          <w:spacing w:val="-1"/>
          <w:position w:val="16"/>
        </w:rPr>
        <w:t>根据用户健康画像和健康饮食目标，长期动态推荐个性化食谱方案；推荐食谱可</w:t>
      </w:r>
    </w:p>
    <w:p>
      <w:pPr>
        <w:pStyle w:val="BodyText"/>
        <w:spacing w:before="1" w:line="217" w:lineRule="auto"/>
        <w:ind w:left="25"/>
      </w:pPr>
      <w:r>
        <w:rPr>
          <w:spacing w:val="-2"/>
        </w:rPr>
        <w:t>以手动调整标记实际摄入食物或菜谱，动态调整下一餐推荐方案。</w:t>
      </w:r>
    </w:p>
    <w:p>
      <w:pPr>
        <w:pStyle w:val="BodyText"/>
        <w:spacing w:before="175" w:line="220" w:lineRule="auto"/>
        <w:ind w:left="11"/>
      </w:pPr>
      <w:r>
        <w:rPr>
          <w:spacing w:val="-4"/>
        </w:rPr>
        <w:t>11.2.3个性化膳食建议</w:t>
      </w:r>
    </w:p>
    <w:p>
      <w:pPr>
        <w:pStyle w:val="BodyText"/>
        <w:spacing w:before="175" w:line="461" w:lineRule="exact"/>
        <w:ind w:left="482"/>
      </w:pPr>
      <w:r>
        <w:rPr>
          <w:spacing w:val="-1"/>
          <w:position w:val="16"/>
        </w:rPr>
        <w:t>膳食结构占比建议、重要元素建议上/下限、膳食宝塔建议值、每日摄入食物种类</w:t>
      </w:r>
    </w:p>
    <w:p>
      <w:pPr>
        <w:pStyle w:val="BodyText"/>
        <w:spacing w:before="1" w:line="220" w:lineRule="auto"/>
      </w:pPr>
      <w:r>
        <w:t>数、需重点关注的营养素参考摄入值范围、全</w:t>
      </w:r>
      <w:r>
        <w:rPr>
          <w:spacing w:val="-1"/>
        </w:rPr>
        <w:t>量营养元素建议摄入值不少于36种。</w:t>
      </w:r>
    </w:p>
    <w:p>
      <w:pPr>
        <w:pStyle w:val="BodyText"/>
        <w:spacing w:before="171" w:line="221" w:lineRule="auto"/>
        <w:ind w:left="11"/>
      </w:pPr>
      <w:r>
        <w:rPr>
          <w:spacing w:val="-4"/>
        </w:rPr>
        <w:t>11.2.4食物推荐与禁忌</w:t>
      </w:r>
    </w:p>
    <w:p>
      <w:pPr>
        <w:pStyle w:val="BodyText"/>
        <w:spacing w:before="173" w:line="461" w:lineRule="exact"/>
        <w:ind w:left="482"/>
      </w:pPr>
      <w:r>
        <w:rPr>
          <w:spacing w:val="-5"/>
          <w:position w:val="16"/>
        </w:rPr>
        <w:t>对食物有清晰的“推荐</w:t>
      </w:r>
      <w:r>
        <w:rPr>
          <w:spacing w:val="-76"/>
          <w:position w:val="16"/>
        </w:rPr>
        <w:t xml:space="preserve"> </w:t>
      </w:r>
      <w:r>
        <w:rPr>
          <w:spacing w:val="-5"/>
          <w:position w:val="16"/>
        </w:rPr>
        <w:t>”与“谨慎</w:t>
      </w:r>
      <w:r>
        <w:rPr>
          <w:spacing w:val="-88"/>
          <w:position w:val="16"/>
        </w:rPr>
        <w:t xml:space="preserve"> </w:t>
      </w:r>
      <w:r>
        <w:rPr>
          <w:spacing w:val="-5"/>
          <w:position w:val="16"/>
        </w:rPr>
        <w:t>”标识。</w:t>
      </w:r>
    </w:p>
    <w:p>
      <w:pPr>
        <w:pStyle w:val="BodyText"/>
        <w:spacing w:before="1" w:line="221" w:lineRule="auto"/>
        <w:ind w:left="11"/>
      </w:pPr>
      <w:r>
        <w:rPr>
          <w:spacing w:val="-4"/>
        </w:rPr>
        <w:t>11.2.5膳食无感采集</w:t>
      </w:r>
    </w:p>
    <w:p>
      <w:pPr>
        <w:pStyle w:val="BodyText"/>
        <w:spacing w:before="170" w:line="218" w:lineRule="auto"/>
        <w:ind w:left="480"/>
      </w:pPr>
      <w:r>
        <w:rPr>
          <w:spacing w:val="-5"/>
        </w:rPr>
        <w:t>支持无感采集一</w:t>
      </w:r>
      <w:r>
        <w:rPr>
          <w:spacing w:val="-52"/>
        </w:rPr>
        <w:t xml:space="preserve"> </w:t>
      </w:r>
      <w:r>
        <w:rPr>
          <w:spacing w:val="-5"/>
        </w:rPr>
        <w:t>日三餐的菜品和克重。</w:t>
      </w:r>
    </w:p>
    <w:p>
      <w:pPr>
        <w:pStyle w:val="BodyText"/>
        <w:spacing w:before="177" w:line="222" w:lineRule="auto"/>
        <w:ind w:left="11"/>
      </w:pPr>
      <w:r>
        <w:rPr>
          <w:spacing w:val="-4"/>
        </w:rPr>
        <w:t>11.2.6膳食评价分析</w:t>
      </w:r>
    </w:p>
    <w:p>
      <w:pPr>
        <w:pStyle w:val="BodyText"/>
        <w:spacing w:before="173" w:line="458" w:lineRule="exact"/>
        <w:ind w:right="65"/>
        <w:jc w:val="right"/>
      </w:pPr>
      <w:r>
        <w:rPr>
          <w:position w:val="16"/>
        </w:rPr>
        <w:t>对比膳食建议提供实际摄入值的达标/未达标评价结果，建议补充的食物种类，提</w:t>
      </w:r>
    </w:p>
    <w:p>
      <w:pPr>
        <w:pStyle w:val="BodyText"/>
        <w:spacing w:before="1" w:line="220" w:lineRule="auto"/>
        <w:ind w:left="1"/>
      </w:pPr>
      <w:r>
        <w:rPr>
          <w:spacing w:val="-1"/>
        </w:rPr>
        <w:t>供全量营养素的食物类别和贡献量，建议摄入食物种类。</w:t>
      </w:r>
    </w:p>
    <w:p>
      <w:pPr>
        <w:pStyle w:val="BodyText"/>
        <w:spacing w:before="175" w:line="222" w:lineRule="auto"/>
        <w:ind w:left="11"/>
        <w:sectPr>
          <w:footerReference w:type="default" r:id="rId27"/>
          <w:pgSz w:w="11905" w:h="16839"/>
          <w:pgMar w:top="969" w:right="1369" w:bottom="674" w:left="1467" w:header="0" w:footer="505" w:gutter="0"/>
          <w:pgNumType w:start="21"/>
          <w:cols w:space="708"/>
        </w:sectPr>
      </w:pPr>
      <w:r>
        <w:rPr>
          <w:spacing w:val="-4"/>
        </w:rPr>
        <w:t>11.2.7定期统计报告</w:t>
      </w:r>
    </w:p>
    <w:p>
      <w:pPr>
        <w:pStyle w:val="BodyText"/>
        <w:spacing w:before="170" w:line="354" w:lineRule="auto"/>
        <w:ind w:right="203" w:firstLine="488"/>
      </w:pPr>
      <w:r>
        <w:rPr>
          <w:spacing w:val="-1"/>
        </w:rPr>
        <w:t>每周、每月形成统计报告，包括膳食报告、食物来源和种类统计、三大营养素摄</w:t>
      </w:r>
      <w:r>
        <w:rPr>
          <w:spacing w:val="9"/>
        </w:rPr>
        <w:t xml:space="preserve"> </w:t>
      </w:r>
      <w:r>
        <w:t>入分析、能量摄入曲线、营养素摄入雷达图，</w:t>
      </w:r>
      <w:r>
        <w:rPr>
          <w:spacing w:val="-1"/>
        </w:rPr>
        <w:t>饮食情况总结和提醒，改进方法推荐。</w:t>
      </w:r>
    </w:p>
    <w:p>
      <w:pPr>
        <w:pStyle w:val="BodyText"/>
        <w:spacing w:before="1" w:line="222" w:lineRule="auto"/>
        <w:ind w:left="11"/>
      </w:pPr>
      <w:r>
        <w:rPr>
          <w:spacing w:val="-5"/>
        </w:rPr>
        <w:t>11.3用户健康管理</w:t>
      </w:r>
    </w:p>
    <w:p>
      <w:pPr>
        <w:pStyle w:val="BodyText"/>
        <w:spacing w:before="171" w:line="459" w:lineRule="exact"/>
        <w:ind w:left="480"/>
      </w:pPr>
      <w:r>
        <w:rPr>
          <w:position w:val="16"/>
        </w:rPr>
        <w:t>基于用户健康画像提供的健康管理包括每道</w:t>
      </w:r>
      <w:r>
        <w:rPr>
          <w:spacing w:val="-1"/>
          <w:position w:val="16"/>
        </w:rPr>
        <w:t>菜品最少展示17种营养素含量，制定</w:t>
      </w:r>
    </w:p>
    <w:p>
      <w:pPr>
        <w:pStyle w:val="BodyText"/>
        <w:spacing w:before="1" w:line="220" w:lineRule="auto"/>
        <w:ind w:left="1"/>
      </w:pPr>
      <w:r>
        <w:t>科学配餐，智能推荐膳食营养目标，提供今日/7</w:t>
      </w:r>
      <w:r>
        <w:rPr>
          <w:spacing w:val="-1"/>
        </w:rPr>
        <w:t>日均值/近30日均值的全面营养分析报</w:t>
      </w:r>
    </w:p>
    <w:p>
      <w:pPr>
        <w:spacing w:line="220" w:lineRule="auto"/>
        <w:sectPr>
          <w:footerReference w:type="default" r:id="rId28"/>
          <w:type w:val="nextPage"/>
          <w:pgSz w:w="11905" w:h="16839"/>
          <w:pgMar w:top="969" w:right="1369" w:bottom="674" w:left="1467" w:header="0" w:footer="505" w:gutter="0"/>
          <w:pgNumType w:start="22"/>
          <w:cols w:space="708"/>
          <w:titlePg w:val="0"/>
        </w:sectPr>
      </w:pPr>
    </w:p>
    <w:p>
      <w:pPr>
        <w:pStyle w:val="BodyText"/>
        <w:spacing w:before="49" w:line="460" w:lineRule="exact"/>
      </w:pPr>
      <w:r>
        <w:rPr>
          <w:position w:val="16"/>
        </w:rPr>
        <w:t>告（当日详细到每餐）、个性化膳食推荐，选</w:t>
      </w:r>
      <w:r>
        <w:rPr>
          <w:spacing w:val="-1"/>
          <w:position w:val="16"/>
        </w:rPr>
        <w:t>择营养分析算法，提供营养摄入和膳食</w:t>
      </w:r>
    </w:p>
    <w:p>
      <w:pPr>
        <w:pStyle w:val="BodyText"/>
        <w:spacing w:line="220" w:lineRule="auto"/>
        <w:ind w:left="4"/>
      </w:pPr>
      <w:r>
        <w:rPr>
          <w:spacing w:val="-1"/>
        </w:rPr>
        <w:t>结构个性化分析报告、提供个性化指导方案等。</w:t>
      </w:r>
    </w:p>
    <w:p>
      <w:pPr>
        <w:pStyle w:val="BodyText"/>
        <w:spacing w:before="171" w:line="222" w:lineRule="auto"/>
        <w:ind w:left="10"/>
      </w:pPr>
      <w:r>
        <w:rPr>
          <w:spacing w:val="-4"/>
        </w:rPr>
        <w:t>11.4智慧统计分析系统</w:t>
      </w:r>
    </w:p>
    <w:p>
      <w:pPr>
        <w:pStyle w:val="BodyText"/>
        <w:spacing w:before="172" w:line="461" w:lineRule="exact"/>
        <w:ind w:left="489"/>
      </w:pPr>
      <w:r>
        <w:rPr>
          <w:spacing w:val="-1"/>
          <w:position w:val="16"/>
        </w:rPr>
        <w:t>包括但不限于综合分析、评估与反馈、健康跟踪指导等功能，能根据实际情况智</w:t>
      </w:r>
    </w:p>
    <w:p>
      <w:pPr>
        <w:pStyle w:val="BodyText"/>
        <w:spacing w:before="1" w:line="221" w:lineRule="auto"/>
        <w:ind w:left="14"/>
      </w:pPr>
      <w:r>
        <w:rPr>
          <w:spacing w:val="-3"/>
        </w:rPr>
        <w:t>能化、动态化调整管理方案。</w:t>
      </w:r>
    </w:p>
    <w:p>
      <w:pPr>
        <w:pStyle w:val="BodyText"/>
        <w:spacing w:before="170" w:line="461" w:lineRule="exact"/>
        <w:ind w:left="10"/>
      </w:pPr>
      <w:r>
        <w:rPr>
          <w:spacing w:val="-4"/>
          <w:position w:val="16"/>
        </w:rPr>
        <w:t>12</w:t>
      </w:r>
      <w:r>
        <w:rPr>
          <w:spacing w:val="-4"/>
          <w:position w:val="16"/>
        </w:rPr>
        <w:t xml:space="preserve">  </w:t>
      </w:r>
      <w:r>
        <w:rPr>
          <w:spacing w:val="-4"/>
          <w:position w:val="16"/>
        </w:rPr>
        <w:t>数据管理与隐私保护</w:t>
      </w:r>
    </w:p>
    <w:p>
      <w:pPr>
        <w:pStyle w:val="BodyText"/>
        <w:spacing w:line="221" w:lineRule="auto"/>
        <w:ind w:left="10"/>
      </w:pPr>
      <w:r>
        <w:rPr>
          <w:spacing w:val="-5"/>
        </w:rPr>
        <w:t>12.1智能计算</w:t>
      </w:r>
    </w:p>
    <w:p>
      <w:pPr>
        <w:pStyle w:val="BodyText"/>
        <w:spacing w:before="173" w:line="222" w:lineRule="auto"/>
        <w:ind w:left="10"/>
      </w:pPr>
      <w:r>
        <w:rPr>
          <w:spacing w:val="-4"/>
        </w:rPr>
        <w:t>12.1.1基于健康画像计算</w:t>
      </w:r>
    </w:p>
    <w:p>
      <w:pPr>
        <w:pStyle w:val="BodyText"/>
        <w:spacing w:before="171" w:line="354" w:lineRule="auto"/>
        <w:ind w:left="1" w:firstLine="479"/>
        <w:jc w:val="both"/>
      </w:pPr>
      <w:r>
        <w:rPr>
          <w:spacing w:val="-2"/>
        </w:rPr>
        <w:t>个人健康画像计算基本功能包括：能量需求、三大营养素供能比、盐油糖摄入值、</w:t>
      </w:r>
      <w:r>
        <w:rPr>
          <w:spacing w:val="10"/>
        </w:rPr>
        <w:t xml:space="preserve"> </w:t>
      </w:r>
      <w:r>
        <w:rPr>
          <w:spacing w:val="-1"/>
        </w:rPr>
        <w:t>膳食宝塔建议的各层级食物摄入值、摄入食物种类数、重点关注营养素摄入值、其它</w:t>
      </w:r>
    </w:p>
    <w:p>
      <w:pPr>
        <w:pStyle w:val="BodyText"/>
        <w:spacing w:before="1" w:line="220" w:lineRule="auto"/>
        <w:ind w:left="6"/>
      </w:pPr>
      <w:r>
        <w:rPr>
          <w:spacing w:val="-3"/>
        </w:rPr>
        <w:t>营养素摄入值等。</w:t>
      </w:r>
    </w:p>
    <w:p>
      <w:pPr>
        <w:pStyle w:val="BodyText"/>
        <w:spacing w:before="172" w:line="223" w:lineRule="auto"/>
        <w:ind w:left="10"/>
      </w:pPr>
      <w:r>
        <w:rPr>
          <w:spacing w:val="-4"/>
        </w:rPr>
        <w:t>12.1.2数据基础</w:t>
      </w:r>
    </w:p>
    <w:p>
      <w:pPr>
        <w:pStyle w:val="BodyText"/>
        <w:spacing w:before="170" w:line="222" w:lineRule="auto"/>
        <w:ind w:left="480"/>
      </w:pPr>
      <w:r>
        <w:rPr>
          <w:spacing w:val="-2"/>
        </w:rPr>
        <w:t>计算数据基础如下：</w:t>
      </w:r>
    </w:p>
    <w:p>
      <w:pPr>
        <w:pStyle w:val="BodyText"/>
        <w:spacing w:before="173" w:line="218" w:lineRule="auto"/>
        <w:ind w:left="413"/>
      </w:pPr>
      <w:r>
        <w:rPr>
          <w:spacing w:val="-1"/>
        </w:rPr>
        <w:t>a）食物数据库，覆盖餐厅菜谱所有食物；</w:t>
      </w:r>
    </w:p>
    <w:p>
      <w:pPr>
        <w:pStyle w:val="BodyText"/>
        <w:spacing w:before="175" w:line="461" w:lineRule="exact"/>
        <w:ind w:left="408"/>
      </w:pPr>
      <w:r>
        <w:rPr>
          <w:position w:val="16"/>
        </w:rPr>
        <w:t>b）菜谱数据库，包括菜谱名称、所有主料、辅料、配料食物的种类</w:t>
      </w:r>
      <w:r>
        <w:rPr>
          <w:spacing w:val="-1"/>
          <w:position w:val="16"/>
        </w:rPr>
        <w:t>、数量、单位</w:t>
      </w:r>
    </w:p>
    <w:p>
      <w:pPr>
        <w:pStyle w:val="BodyText"/>
        <w:spacing w:line="221" w:lineRule="auto"/>
        <w:ind w:left="428"/>
      </w:pPr>
      <w:r>
        <w:rPr>
          <w:spacing w:val="-7"/>
        </w:rPr>
        <w:t>等信息；</w:t>
      </w:r>
    </w:p>
    <w:p>
      <w:pPr>
        <w:pStyle w:val="BodyText"/>
        <w:spacing w:before="173" w:line="458" w:lineRule="exact"/>
        <w:ind w:left="417"/>
      </w:pPr>
      <w:r>
        <w:rPr>
          <w:position w:val="16"/>
        </w:rPr>
        <w:t>c）营养数据库，包括能量及三大营养素、膳食</w:t>
      </w:r>
      <w:r>
        <w:rPr>
          <w:spacing w:val="-1"/>
          <w:position w:val="16"/>
        </w:rPr>
        <w:t>纤维、维生素和矿物质和糖类等信</w:t>
      </w:r>
    </w:p>
    <w:p>
      <w:pPr>
        <w:pStyle w:val="BodyText"/>
        <w:spacing w:before="2" w:line="225" w:lineRule="auto"/>
        <w:ind w:left="432"/>
      </w:pPr>
      <w:r>
        <w:rPr>
          <w:spacing w:val="-15"/>
        </w:rPr>
        <w:t>息。</w:t>
      </w:r>
    </w:p>
    <w:p>
      <w:pPr>
        <w:pStyle w:val="BodyText"/>
        <w:spacing w:before="167" w:line="222" w:lineRule="auto"/>
        <w:ind w:left="10"/>
      </w:pPr>
      <w:r>
        <w:rPr>
          <w:spacing w:val="-4"/>
        </w:rPr>
        <w:t>12.1.3优先级设置</w:t>
      </w:r>
    </w:p>
    <w:p>
      <w:pPr>
        <w:pStyle w:val="BodyText"/>
        <w:spacing w:before="172" w:line="458" w:lineRule="exact"/>
        <w:ind w:left="525"/>
      </w:pPr>
      <w:r>
        <w:rPr>
          <w:spacing w:val="-2"/>
          <w:position w:val="16"/>
        </w:rPr>
        <w:t>自定义设置热量、营养素管理优先级、重点关注营养素管理优先</w:t>
      </w:r>
      <w:r>
        <w:rPr>
          <w:spacing w:val="-3"/>
          <w:position w:val="16"/>
        </w:rPr>
        <w:t>级。</w:t>
      </w:r>
    </w:p>
    <w:p>
      <w:pPr>
        <w:pStyle w:val="BodyText"/>
        <w:spacing w:before="1" w:line="220" w:lineRule="auto"/>
        <w:ind w:left="10"/>
      </w:pPr>
      <w:r>
        <w:rPr>
          <w:spacing w:val="-4"/>
        </w:rPr>
        <w:t>12.1.4多种计算模式</w:t>
      </w:r>
    </w:p>
    <w:p>
      <w:pPr>
        <w:pStyle w:val="BodyText"/>
        <w:spacing w:before="174" w:line="221" w:lineRule="auto"/>
        <w:ind w:left="480"/>
      </w:pPr>
      <w:r>
        <w:rPr>
          <w:spacing w:val="-1"/>
        </w:rPr>
        <w:t>支持平衡饮食和中医药膳多种膳食管理模式。</w:t>
      </w:r>
    </w:p>
    <w:p>
      <w:pPr>
        <w:pStyle w:val="BodyText"/>
        <w:spacing w:before="173" w:line="222" w:lineRule="auto"/>
        <w:ind w:left="10"/>
      </w:pPr>
      <w:r>
        <w:rPr>
          <w:spacing w:val="-4"/>
        </w:rPr>
        <w:t>12.1.5动态平衡调整计算</w:t>
      </w:r>
    </w:p>
    <w:p>
      <w:pPr>
        <w:pStyle w:val="BodyText"/>
        <w:spacing w:before="170" w:line="461" w:lineRule="exact"/>
        <w:ind w:left="480"/>
      </w:pPr>
      <w:r>
        <w:rPr>
          <w:spacing w:val="-1"/>
          <w:position w:val="16"/>
        </w:rPr>
        <w:t>根据三餐摄入情况实现动态调整计算，匹配后续最佳摄入方案。</w:t>
      </w:r>
    </w:p>
    <w:p>
      <w:pPr>
        <w:pStyle w:val="BodyText"/>
        <w:spacing w:before="1" w:line="221" w:lineRule="auto"/>
        <w:ind w:left="10"/>
      </w:pPr>
      <w:r>
        <w:rPr>
          <w:spacing w:val="-4"/>
        </w:rPr>
        <w:t>12.1.6自动周期计算</w:t>
      </w:r>
    </w:p>
    <w:p>
      <w:pPr>
        <w:pStyle w:val="BodyText"/>
        <w:spacing w:before="173" w:line="458" w:lineRule="exact"/>
        <w:ind w:left="484"/>
      </w:pPr>
      <w:r>
        <w:rPr>
          <w:spacing w:val="-3"/>
          <w:position w:val="16"/>
        </w:rPr>
        <w:t>实时自动计算用户未来1周内一</w:t>
      </w:r>
      <w:r>
        <w:rPr>
          <w:spacing w:val="-53"/>
          <w:position w:val="16"/>
        </w:rPr>
        <w:t xml:space="preserve"> </w:t>
      </w:r>
      <w:r>
        <w:rPr>
          <w:spacing w:val="-3"/>
          <w:position w:val="16"/>
        </w:rPr>
        <w:t>日三餐的营</w:t>
      </w:r>
      <w:r>
        <w:rPr>
          <w:spacing w:val="-4"/>
          <w:position w:val="16"/>
        </w:rPr>
        <w:t>养膳食推荐方案。</w:t>
      </w:r>
    </w:p>
    <w:p>
      <w:pPr>
        <w:pStyle w:val="BodyText"/>
        <w:spacing w:before="1" w:line="220" w:lineRule="auto"/>
        <w:ind w:left="10"/>
        <w:sectPr>
          <w:footerReference w:type="default" r:id="rId29"/>
          <w:pgSz w:w="11905" w:h="16839"/>
          <w:pgMar w:top="969" w:right="1376" w:bottom="674" w:left="1467" w:header="0" w:footer="505" w:gutter="0"/>
          <w:pgNumType w:start="23"/>
          <w:cols w:space="708"/>
        </w:sectPr>
      </w:pPr>
      <w:r>
        <w:rPr>
          <w:spacing w:val="-4"/>
        </w:rPr>
        <w:t>12.2数据安全管理及隐私保护目标</w:t>
      </w:r>
    </w:p>
    <w:p>
      <w:pPr>
        <w:pStyle w:val="BodyText"/>
        <w:spacing w:before="173" w:line="354" w:lineRule="auto"/>
        <w:ind w:firstLine="479"/>
        <w:jc w:val="both"/>
      </w:pPr>
      <w:r>
        <w:rPr>
          <w:spacing w:val="-2"/>
        </w:rPr>
        <w:t>建立严格的管理和访问控制机制以及严格的数据加密保护机制，限制未授权访问、</w:t>
      </w:r>
      <w:r>
        <w:rPr>
          <w:spacing w:val="11"/>
        </w:rPr>
        <w:t xml:space="preserve"> </w:t>
      </w:r>
      <w:r>
        <w:rPr>
          <w:spacing w:val="-1"/>
        </w:rPr>
        <w:t>复制、修改或删除功能，使用加密技术进行保护。同时建立完善的数据备份、恢复</w:t>
      </w:r>
      <w:r>
        <w:rPr>
          <w:spacing w:val="-2"/>
        </w:rPr>
        <w:t>机</w:t>
      </w:r>
      <w:r>
        <w:rPr>
          <w:spacing w:val="-2"/>
        </w:rPr>
        <w:t xml:space="preserve">  </w:t>
      </w:r>
      <w:r>
        <w:t>制和数据审计、监控机制，防止数据丢失并</w:t>
      </w:r>
      <w:r>
        <w:rPr>
          <w:spacing w:val="-1"/>
        </w:rPr>
        <w:t>确保可以迅速恢复数据，实时监控使用记</w:t>
      </w:r>
    </w:p>
    <w:p>
      <w:pPr>
        <w:pStyle w:val="BodyText"/>
        <w:spacing w:line="223" w:lineRule="auto"/>
        <w:ind w:left="8"/>
      </w:pPr>
      <w:r>
        <w:rPr>
          <w:spacing w:val="-13"/>
        </w:rPr>
        <w:t>录。</w:t>
      </w:r>
    </w:p>
    <w:p>
      <w:pPr>
        <w:pStyle w:val="BodyText"/>
        <w:spacing w:before="171" w:line="223" w:lineRule="auto"/>
        <w:ind w:left="10"/>
      </w:pPr>
      <w:r>
        <w:rPr>
          <w:spacing w:val="-5"/>
        </w:rPr>
        <w:t>12.3数据安全管理</w:t>
      </w:r>
    </w:p>
    <w:p>
      <w:pPr>
        <w:pStyle w:val="BodyText"/>
        <w:spacing w:before="169" w:line="221" w:lineRule="auto"/>
        <w:jc w:val="right"/>
      </w:pPr>
      <w:r>
        <w:rPr>
          <w:spacing w:val="-2"/>
        </w:rPr>
        <w:t>建立营养膳食健康数据分类体系，采用密钥管理系统，设立安全策略和安全机制、</w:t>
      </w:r>
    </w:p>
    <w:p>
      <w:pPr>
        <w:spacing w:line="221" w:lineRule="auto"/>
        <w:sectPr>
          <w:footerReference w:type="default" r:id="rId30"/>
          <w:type w:val="nextPage"/>
          <w:pgSz w:w="11905" w:h="16839"/>
          <w:pgMar w:top="969" w:right="1376" w:bottom="674" w:left="1467" w:header="0" w:footer="505" w:gutter="0"/>
          <w:pgNumType w:start="24"/>
          <w:cols w:space="708"/>
          <w:titlePg w:val="0"/>
        </w:sectPr>
      </w:pPr>
    </w:p>
    <w:p>
      <w:pPr>
        <w:pStyle w:val="BodyText"/>
        <w:spacing w:before="49" w:line="460" w:lineRule="exact"/>
      </w:pPr>
      <w:r>
        <w:rPr>
          <w:spacing w:val="-1"/>
          <w:position w:val="16"/>
        </w:rPr>
        <w:t>数据访问控制机制、安全机制有效性定期审计机制。</w:t>
      </w:r>
    </w:p>
    <w:p>
      <w:pPr>
        <w:pStyle w:val="BodyText"/>
        <w:spacing w:before="1" w:line="220" w:lineRule="auto"/>
        <w:ind w:left="11"/>
      </w:pPr>
      <w:r>
        <w:rPr>
          <w:spacing w:val="-5"/>
        </w:rPr>
        <w:t>12.4隐私保护措施</w:t>
      </w:r>
    </w:p>
    <w:p>
      <w:pPr>
        <w:pStyle w:val="BodyText"/>
        <w:spacing w:before="171" w:line="461" w:lineRule="exact"/>
        <w:ind w:left="482"/>
      </w:pPr>
      <w:r>
        <w:rPr>
          <w:position w:val="16"/>
        </w:rPr>
        <w:t>采用最小化原则，让用户了解和判断是否愿意提供个人信息，同时说明使用、存</w:t>
      </w:r>
    </w:p>
    <w:p>
      <w:pPr>
        <w:pStyle w:val="BodyText"/>
        <w:spacing w:line="220" w:lineRule="auto"/>
        <w:ind w:left="1"/>
      </w:pPr>
      <w:r>
        <w:rPr>
          <w:spacing w:val="-1"/>
        </w:rPr>
        <w:t>储和共享个人信息的安全保护措施，并获得用户的明确同意；</w:t>
      </w:r>
    </w:p>
    <w:p>
      <w:pPr>
        <w:pStyle w:val="BodyText"/>
        <w:spacing w:before="175" w:line="222" w:lineRule="auto"/>
        <w:ind w:left="11"/>
      </w:pPr>
      <w:r>
        <w:rPr>
          <w:spacing w:val="-5"/>
        </w:rPr>
        <w:t>12.5实施与监督</w:t>
      </w:r>
    </w:p>
    <w:p>
      <w:pPr>
        <w:pStyle w:val="BodyText"/>
        <w:spacing w:before="170" w:line="354" w:lineRule="auto"/>
        <w:ind w:left="5" w:right="116" w:firstLine="480"/>
        <w:jc w:val="both"/>
      </w:pPr>
      <w:r>
        <w:rPr>
          <w:spacing w:val="-1"/>
        </w:rPr>
        <w:t>实施：根据数据安全管理和隐私保护相关法律标准，明确数据安全管理目标，制</w:t>
      </w:r>
      <w:r>
        <w:rPr>
          <w:spacing w:val="13"/>
        </w:rPr>
        <w:t xml:space="preserve"> </w:t>
      </w:r>
      <w:r>
        <w:rPr>
          <w:spacing w:val="-1"/>
        </w:rPr>
        <w:t>定内部培训方案与计划，定期对数据安全管理和隐私保护标准实施情况进行评估，发</w:t>
      </w:r>
    </w:p>
    <w:p>
      <w:pPr>
        <w:pStyle w:val="BodyText"/>
        <w:spacing w:line="220" w:lineRule="auto"/>
      </w:pPr>
      <w:r>
        <w:rPr>
          <w:spacing w:val="-2"/>
        </w:rPr>
        <w:t>现问题并及时改进；</w:t>
      </w:r>
    </w:p>
    <w:p>
      <w:pPr>
        <w:pStyle w:val="BodyText"/>
        <w:spacing w:before="172" w:line="461" w:lineRule="exact"/>
        <w:ind w:left="487"/>
      </w:pPr>
      <w:r>
        <w:rPr>
          <w:spacing w:val="-1"/>
          <w:position w:val="16"/>
        </w:rPr>
        <w:t>监督：建立完善的内部监督机制，定期向上级管理部门汇报相关情况，接受监督</w:t>
      </w:r>
    </w:p>
    <w:p>
      <w:pPr>
        <w:pStyle w:val="BodyText"/>
        <w:spacing w:before="1" w:line="220" w:lineRule="auto"/>
      </w:pPr>
      <w:r>
        <w:rPr>
          <w:spacing w:val="-1"/>
        </w:rPr>
        <w:t>和指导，履行数据安全管理和隐私保护职责。</w:t>
      </w:r>
    </w:p>
    <w:p>
      <w:pPr>
        <w:pStyle w:val="BodyText"/>
        <w:spacing w:before="173" w:line="459" w:lineRule="exact"/>
        <w:ind w:left="11"/>
      </w:pPr>
      <w:r>
        <w:rPr>
          <w:spacing w:val="-4"/>
          <w:position w:val="16"/>
        </w:rPr>
        <w:t>13</w:t>
      </w:r>
      <w:r>
        <w:rPr>
          <w:spacing w:val="-4"/>
          <w:position w:val="16"/>
        </w:rPr>
        <w:t xml:space="preserve">  </w:t>
      </w:r>
      <w:r>
        <w:rPr>
          <w:spacing w:val="-4"/>
          <w:position w:val="16"/>
        </w:rPr>
        <w:t>智慧健康食堂等级评定</w:t>
      </w:r>
    </w:p>
    <w:p>
      <w:pPr>
        <w:pStyle w:val="BodyText"/>
        <w:spacing w:line="220" w:lineRule="auto"/>
        <w:ind w:left="11"/>
      </w:pPr>
      <w:r>
        <w:rPr>
          <w:spacing w:val="-5"/>
        </w:rPr>
        <w:t>13.1等级申请原则</w:t>
      </w:r>
    </w:p>
    <w:p>
      <w:pPr>
        <w:pStyle w:val="BodyText"/>
        <w:spacing w:before="175" w:line="220" w:lineRule="auto"/>
        <w:ind w:left="11"/>
      </w:pPr>
      <w:r>
        <w:rPr>
          <w:spacing w:val="-5"/>
        </w:rPr>
        <w:t>13.1.1申请人资格</w:t>
      </w:r>
    </w:p>
    <w:p>
      <w:pPr>
        <w:pStyle w:val="BodyText"/>
        <w:spacing w:before="174" w:line="459" w:lineRule="exact"/>
        <w:ind w:left="511"/>
      </w:pPr>
      <w:r>
        <w:rPr>
          <w:spacing w:val="-2"/>
          <w:position w:val="16"/>
        </w:rPr>
        <w:t>中国境内以智慧与健康为特色的食堂主体单位均可申请参加等级评定。</w:t>
      </w:r>
    </w:p>
    <w:p>
      <w:pPr>
        <w:pStyle w:val="BodyText"/>
        <w:spacing w:line="220" w:lineRule="auto"/>
        <w:ind w:left="11"/>
      </w:pPr>
      <w:r>
        <w:rPr>
          <w:spacing w:val="-5"/>
        </w:rPr>
        <w:t>13.1.2申请原则</w:t>
      </w:r>
    </w:p>
    <w:p>
      <w:pPr>
        <w:pStyle w:val="BodyText"/>
        <w:spacing w:before="175" w:line="220" w:lineRule="auto"/>
        <w:ind w:left="514"/>
      </w:pPr>
      <w:r>
        <w:rPr>
          <w:spacing w:val="-8"/>
        </w:rPr>
        <w:t>申请原则如下：</w:t>
      </w:r>
    </w:p>
    <w:p>
      <w:pPr>
        <w:pStyle w:val="BodyText"/>
        <w:spacing w:before="175" w:line="220" w:lineRule="auto"/>
        <w:ind w:left="414"/>
      </w:pPr>
      <w:r>
        <w:rPr>
          <w:spacing w:val="-4"/>
        </w:rPr>
        <w:t>a）</w:t>
      </w:r>
      <w:r>
        <w:rPr>
          <w:spacing w:val="-63"/>
        </w:rPr>
        <w:t xml:space="preserve"> </w:t>
      </w:r>
      <w:r>
        <w:rPr>
          <w:spacing w:val="-4"/>
        </w:rPr>
        <w:t>申请人采取自愿申报加入的原则；</w:t>
      </w:r>
    </w:p>
    <w:p>
      <w:pPr>
        <w:pStyle w:val="BodyText"/>
        <w:spacing w:before="172" w:line="220" w:lineRule="auto"/>
        <w:ind w:left="409"/>
      </w:pPr>
      <w:r>
        <w:rPr>
          <w:spacing w:val="-2"/>
        </w:rPr>
        <w:t>b）</w:t>
      </w:r>
      <w:r>
        <w:rPr>
          <w:spacing w:val="-62"/>
        </w:rPr>
        <w:t xml:space="preserve"> </w:t>
      </w:r>
      <w:r>
        <w:rPr>
          <w:spacing w:val="-2"/>
        </w:rPr>
        <w:t>申请人申请前1年内未出现食品安全事故及食品安全行政处罚情况；</w:t>
      </w:r>
    </w:p>
    <w:p>
      <w:pPr>
        <w:pStyle w:val="BodyText"/>
        <w:spacing w:before="175" w:line="460" w:lineRule="exact"/>
        <w:ind w:right="56"/>
        <w:jc w:val="right"/>
      </w:pPr>
      <w:r>
        <w:rPr>
          <w:spacing w:val="-2"/>
          <w:position w:val="16"/>
        </w:rPr>
        <w:t>c）</w:t>
      </w:r>
      <w:r>
        <w:rPr>
          <w:spacing w:val="-63"/>
          <w:position w:val="16"/>
        </w:rPr>
        <w:t xml:space="preserve"> </w:t>
      </w:r>
      <w:r>
        <w:rPr>
          <w:spacing w:val="-2"/>
          <w:position w:val="16"/>
        </w:rPr>
        <w:t>申请人申请参加智慧健康食堂等级评定，需承担不涉及商业机密信息统计报送</w:t>
      </w:r>
    </w:p>
    <w:p>
      <w:pPr>
        <w:pStyle w:val="BodyText"/>
        <w:spacing w:line="223" w:lineRule="auto"/>
        <w:ind w:left="421"/>
      </w:pPr>
      <w:r>
        <w:rPr>
          <w:spacing w:val="-6"/>
        </w:rPr>
        <w:t>义务。</w:t>
      </w:r>
    </w:p>
    <w:p>
      <w:pPr>
        <w:pStyle w:val="BodyText"/>
        <w:spacing w:before="169" w:line="222" w:lineRule="auto"/>
        <w:ind w:left="11"/>
      </w:pPr>
      <w:r>
        <w:rPr>
          <w:spacing w:val="-5"/>
        </w:rPr>
        <w:t>13.2等级评定原则</w:t>
      </w:r>
    </w:p>
    <w:p>
      <w:pPr>
        <w:pStyle w:val="BodyText"/>
        <w:spacing w:before="172" w:line="223" w:lineRule="auto"/>
        <w:ind w:left="11"/>
      </w:pPr>
      <w:r>
        <w:rPr>
          <w:spacing w:val="-4"/>
        </w:rPr>
        <w:t>13.2.1等级管理委员会组成</w:t>
      </w:r>
    </w:p>
    <w:p>
      <w:pPr>
        <w:pStyle w:val="BodyText"/>
        <w:spacing w:before="171" w:line="458" w:lineRule="exact"/>
        <w:ind w:left="480"/>
      </w:pPr>
      <w:r>
        <w:rPr>
          <w:spacing w:val="-1"/>
          <w:position w:val="16"/>
        </w:rPr>
        <w:t>智慧健康食堂等级管理委员会是智慧健康食堂等级评定的唯一评定单位，接受标</w:t>
      </w:r>
    </w:p>
    <w:p>
      <w:pPr>
        <w:pStyle w:val="BodyText"/>
        <w:spacing w:before="1" w:line="220" w:lineRule="auto"/>
        <w:ind w:left="3"/>
      </w:pPr>
      <w:r>
        <w:rPr>
          <w:spacing w:val="-1"/>
        </w:rPr>
        <w:t>准归口单位统一领导，由标准归口单位聘请相关专家组成。</w:t>
      </w:r>
    </w:p>
    <w:p>
      <w:pPr>
        <w:pStyle w:val="BodyText"/>
        <w:spacing w:before="175" w:line="222" w:lineRule="auto"/>
        <w:ind w:left="11"/>
      </w:pPr>
      <w:r>
        <w:rPr>
          <w:spacing w:val="-5"/>
        </w:rPr>
        <w:t>13.2.2审核原则</w:t>
      </w:r>
    </w:p>
    <w:p>
      <w:pPr>
        <w:pStyle w:val="BodyText"/>
        <w:spacing w:before="172" w:line="222" w:lineRule="auto"/>
        <w:ind w:left="499"/>
      </w:pPr>
      <w:r>
        <w:rPr>
          <w:spacing w:val="-5"/>
        </w:rPr>
        <w:t>审核原则如下：</w:t>
      </w:r>
    </w:p>
    <w:p>
      <w:pPr>
        <w:pStyle w:val="BodyText"/>
        <w:spacing w:before="169" w:line="220" w:lineRule="auto"/>
        <w:ind w:left="414"/>
      </w:pPr>
      <w:r>
        <w:rPr>
          <w:spacing w:val="-1"/>
        </w:rPr>
        <w:t>a）等级管理委员会对申报的单位进行资料和文件审核；</w:t>
      </w:r>
    </w:p>
    <w:p>
      <w:pPr>
        <w:pStyle w:val="BodyText"/>
        <w:spacing w:before="175" w:line="221" w:lineRule="auto"/>
        <w:ind w:left="409"/>
      </w:pPr>
      <w:r>
        <w:t>b）等级管理委员会委派专家组进行现场核查确认，提</w:t>
      </w:r>
      <w:r>
        <w:rPr>
          <w:spacing w:val="-1"/>
        </w:rPr>
        <w:t>交核查报告；</w:t>
      </w:r>
    </w:p>
    <w:p>
      <w:pPr>
        <w:pStyle w:val="BodyText"/>
        <w:spacing w:before="174" w:line="222" w:lineRule="auto"/>
        <w:ind w:left="418"/>
        <w:sectPr>
          <w:footerReference w:type="default" r:id="rId31"/>
          <w:pgSz w:w="11905" w:h="16839"/>
          <w:pgMar w:top="969" w:right="1456" w:bottom="674" w:left="1467" w:header="0" w:footer="505" w:gutter="0"/>
          <w:pgNumType w:start="25"/>
          <w:cols w:space="708"/>
        </w:sectPr>
      </w:pPr>
      <w:r>
        <w:t>c）等级管理委员会依据智慧健康食堂等级评</w:t>
      </w:r>
      <w:r>
        <w:rPr>
          <w:spacing w:val="-1"/>
        </w:rPr>
        <w:t>分细则评级，评分细则见附录A；</w:t>
      </w:r>
    </w:p>
    <w:p>
      <w:pPr>
        <w:pStyle w:val="BodyText"/>
        <w:spacing w:before="171" w:line="354" w:lineRule="auto"/>
        <w:ind w:left="431" w:right="56" w:hanging="13"/>
        <w:jc w:val="both"/>
      </w:pPr>
      <w:r>
        <w:rPr>
          <w:spacing w:val="-1"/>
        </w:rPr>
        <w:t>d）审核合格的食堂由智慧健康食堂等级管理委员会颁发</w:t>
      </w:r>
      <w:r>
        <w:rPr>
          <w:spacing w:val="-2"/>
        </w:rPr>
        <w:t>“智慧健康食堂</w:t>
      </w:r>
      <w:r>
        <w:rPr>
          <w:spacing w:val="-88"/>
        </w:rPr>
        <w:t xml:space="preserve"> </w:t>
      </w:r>
      <w:r>
        <w:rPr>
          <w:spacing w:val="-2"/>
        </w:rPr>
        <w:t>”等级证</w:t>
      </w:r>
      <w:r>
        <w:t xml:space="preserve"> </w:t>
      </w:r>
      <w:r>
        <w:rPr>
          <w:spacing w:val="-1"/>
        </w:rPr>
        <w:t>书、牌匾，证书和牌匾由智慧健康食堂等级管理委员会统一制定、颁发，向社会</w:t>
      </w:r>
    </w:p>
    <w:p>
      <w:pPr>
        <w:pStyle w:val="BodyText"/>
        <w:spacing w:line="223" w:lineRule="auto"/>
        <w:ind w:left="425"/>
      </w:pPr>
      <w:r>
        <w:rPr>
          <w:spacing w:val="-7"/>
        </w:rPr>
        <w:t>公告。</w:t>
      </w:r>
    </w:p>
    <w:p>
      <w:pPr>
        <w:pStyle w:val="BodyText"/>
        <w:spacing w:before="168" w:line="221" w:lineRule="auto"/>
        <w:ind w:left="419"/>
      </w:pPr>
      <w:r>
        <w:rPr>
          <w:spacing w:val="-1"/>
        </w:rPr>
        <w:t>e）审核合格的食堂可以使用“智慧健康食堂</w:t>
      </w:r>
      <w:r>
        <w:rPr>
          <w:spacing w:val="-88"/>
        </w:rPr>
        <w:t xml:space="preserve"> </w:t>
      </w:r>
      <w:r>
        <w:rPr>
          <w:spacing w:val="-1"/>
        </w:rPr>
        <w:t>”等</w:t>
      </w:r>
      <w:r>
        <w:rPr>
          <w:spacing w:val="-2"/>
        </w:rPr>
        <w:t>级称号和标志，有效期3年。</w:t>
      </w:r>
    </w:p>
    <w:p>
      <w:pPr>
        <w:spacing w:line="221"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https://d.book118.com/296105212134010035</w:t>
        </w:r>
      </w:hyperlink>
    </w:p>
    <w:p>
      <w:pPr>
        <w:spacing w:line="221" w:lineRule="auto"/>
      </w:pPr>
    </w:p>
    <w:sectPr>
      <w:footerReference w:type="default" r:id="rId33"/>
      <w:type w:val="nextPage"/>
      <w:pgSz w:w="11905" w:h="16839"/>
      <w:pgMar w:top="969" w:right="1456" w:bottom="674" w:left="1467" w:header="0" w:footer="505" w:gutter="0"/>
      <w:pgNumType w:start="2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93"/>
      <w:rPr>
        <w:rFonts w:ascii="Arial" w:eastAsia="Arial" w:hAnsi="Arial" w:cs="Arial"/>
        <w:sz w:val="18"/>
        <w:szCs w:val="18"/>
      </w:rPr>
    </w:pPr>
    <w:r>
      <w:rPr>
        <w:rFonts w:ascii="Arial" w:eastAsia="Arial" w:hAnsi="Arial" w:cs="Arial"/>
        <w:sz w:val="18"/>
        <w:szCs w:val="18"/>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93"/>
      <w:rPr>
        <w:rFonts w:ascii="Arial" w:eastAsia="Arial" w:hAnsi="Arial" w:cs="Arial"/>
        <w:sz w:val="18"/>
        <w:szCs w:val="18"/>
      </w:rPr>
    </w:pPr>
    <w:r>
      <w:rPr>
        <w:rFonts w:ascii="Arial" w:eastAsia="Arial" w:hAnsi="Arial" w:cs="Arial"/>
        <w:sz w:val="18"/>
        <w:szCs w:val="18"/>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85"/>
      <w:rPr>
        <w:rFonts w:ascii="Arial" w:eastAsia="Arial" w:hAnsi="Arial" w:cs="Arial"/>
        <w:sz w:val="18"/>
        <w:szCs w:val="18"/>
      </w:rPr>
    </w:pPr>
    <w:r>
      <w:rPr>
        <w:rFonts w:ascii="Arial" w:eastAsia="Arial" w:hAnsi="Arial" w:cs="Arial"/>
        <w:sz w:val="18"/>
        <w:szCs w:val="18"/>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85"/>
      <w:rPr>
        <w:rFonts w:ascii="Arial" w:eastAsia="Arial" w:hAnsi="Arial" w:cs="Arial"/>
        <w:sz w:val="18"/>
        <w:szCs w:val="18"/>
      </w:rPr>
    </w:pPr>
    <w:r>
      <w:rPr>
        <w:rFonts w:ascii="Arial" w:eastAsia="Arial" w:hAnsi="Arial" w:cs="Arial"/>
        <w:sz w:val="18"/>
        <w:szCs w:val="18"/>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8896"/>
      <w:rPr>
        <w:rFonts w:ascii="Arial" w:eastAsia="Arial" w:hAnsi="Arial" w:cs="Arial"/>
        <w:sz w:val="18"/>
        <w:szCs w:val="18"/>
      </w:rPr>
    </w:pPr>
    <w:r>
      <w:rPr>
        <w:rFonts w:ascii="Arial" w:eastAsia="Arial" w:hAnsi="Arial" w:cs="Arial"/>
        <w:sz w:val="18"/>
        <w:szCs w:val="18"/>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8896"/>
      <w:rPr>
        <w:rFonts w:ascii="Arial" w:eastAsia="Arial" w:hAnsi="Arial" w:cs="Arial"/>
        <w:sz w:val="18"/>
        <w:szCs w:val="18"/>
      </w:rPr>
    </w:pPr>
    <w:r>
      <w:rPr>
        <w:rFonts w:ascii="Arial" w:eastAsia="Arial" w:hAnsi="Arial" w:cs="Arial"/>
        <w:sz w:val="18"/>
        <w:szCs w:val="18"/>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90"/>
      <w:rPr>
        <w:rFonts w:ascii="Arial" w:eastAsia="Arial" w:hAnsi="Arial" w:cs="Arial"/>
        <w:sz w:val="18"/>
        <w:szCs w:val="18"/>
      </w:rPr>
    </w:pPr>
    <w:r>
      <w:rPr>
        <w:rFonts w:ascii="Arial" w:eastAsia="Arial" w:hAnsi="Arial" w:cs="Arial"/>
        <w:sz w:val="18"/>
        <w:szCs w:val="18"/>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90"/>
      <w:rPr>
        <w:rFonts w:ascii="Arial" w:eastAsia="Arial" w:hAnsi="Arial" w:cs="Arial"/>
        <w:sz w:val="18"/>
        <w:szCs w:val="18"/>
      </w:rPr>
    </w:pPr>
    <w:r>
      <w:rPr>
        <w:rFonts w:ascii="Arial" w:eastAsia="Arial" w:hAnsi="Arial" w:cs="Arial"/>
        <w:sz w:val="18"/>
        <w:szCs w:val="18"/>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8894"/>
      <w:rPr>
        <w:rFonts w:ascii="Arial" w:eastAsia="Arial" w:hAnsi="Arial" w:cs="Arial"/>
        <w:sz w:val="18"/>
        <w:szCs w:val="18"/>
      </w:rPr>
    </w:pPr>
    <w:r>
      <w:rPr>
        <w:rFonts w:ascii="Arial" w:eastAsia="Arial" w:hAnsi="Arial" w:cs="Arial"/>
        <w:sz w:val="18"/>
        <w:szCs w:val="18"/>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8894"/>
      <w:rPr>
        <w:rFonts w:ascii="Arial" w:eastAsia="Arial" w:hAnsi="Arial" w:cs="Arial"/>
        <w:sz w:val="18"/>
        <w:szCs w:val="18"/>
      </w:rPr>
    </w:pPr>
    <w:r>
      <w:rPr>
        <w:rFonts w:ascii="Arial" w:eastAsia="Arial" w:hAnsi="Arial" w:cs="Arial"/>
        <w:sz w:val="18"/>
        <w:szCs w:val="18"/>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228"/>
      <w:rPr>
        <w:rFonts w:ascii="Arial" w:eastAsia="Arial" w:hAnsi="Arial" w:cs="Arial"/>
        <w:sz w:val="18"/>
        <w:szCs w:val="18"/>
      </w:rPr>
    </w:pPr>
    <w:r>
      <w:rPr>
        <w:rFonts w:ascii="Arial" w:eastAsia="Arial" w:hAnsi="Arial" w:cs="Arial"/>
        <w:sz w:val="18"/>
        <w:szCs w:val="18"/>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228"/>
      <w:rPr>
        <w:rFonts w:ascii="Arial" w:eastAsia="Arial" w:hAnsi="Arial" w:cs="Arial"/>
        <w:sz w:val="18"/>
        <w:szCs w:val="18"/>
      </w:rPr>
    </w:pPr>
    <w:r>
      <w:rPr>
        <w:rFonts w:ascii="Arial" w:eastAsia="Arial" w:hAnsi="Arial" w:cs="Arial"/>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229"/>
      <w:rPr>
        <w:rFonts w:ascii="Arial" w:eastAsia="Arial" w:hAnsi="Arial" w:cs="Arial"/>
        <w:sz w:val="18"/>
        <w:szCs w:val="18"/>
      </w:rPr>
    </w:pPr>
    <w:r>
      <w:rPr>
        <w:rFonts w:ascii="Arial" w:eastAsia="Arial" w:hAnsi="Arial" w:cs="Arial"/>
        <w:sz w:val="18"/>
        <w:szCs w:val="18"/>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229"/>
      <w:rPr>
        <w:rFonts w:ascii="Arial" w:eastAsia="Arial" w:hAnsi="Arial" w:cs="Arial"/>
        <w:sz w:val="18"/>
        <w:szCs w:val="18"/>
      </w:rPr>
    </w:pPr>
    <w:r>
      <w:rPr>
        <w:rFonts w:ascii="Arial" w:eastAsia="Arial" w:hAnsi="Arial" w:cs="Arial"/>
        <w:sz w:val="18"/>
        <w:szCs w:val="18"/>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06"/>
      <w:rPr>
        <w:rFonts w:ascii="Arial" w:eastAsia="Arial" w:hAnsi="Arial" w:cs="Arial"/>
        <w:sz w:val="18"/>
        <w:szCs w:val="18"/>
      </w:rPr>
    </w:pPr>
    <w:r>
      <w:rPr>
        <w:rFonts w:ascii="Arial" w:eastAsia="Arial" w:hAnsi="Arial" w:cs="Arial"/>
        <w:spacing w:val="-10"/>
        <w:sz w:val="18"/>
        <w:szCs w:val="18"/>
      </w:rPr>
      <w:t>10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06"/>
      <w:rPr>
        <w:rFonts w:ascii="Arial" w:eastAsia="Arial" w:hAnsi="Arial" w:cs="Arial"/>
        <w:sz w:val="18"/>
        <w:szCs w:val="18"/>
      </w:rPr>
    </w:pPr>
    <w:r>
      <w:rPr>
        <w:rFonts w:ascii="Arial" w:eastAsia="Arial" w:hAnsi="Arial" w:cs="Arial"/>
        <w:spacing w:val="-10"/>
        <w:sz w:val="18"/>
        <w:szCs w:val="18"/>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06"/>
      <w:rPr>
        <w:rFonts w:ascii="Arial" w:eastAsia="Arial" w:hAnsi="Arial" w:cs="Arial"/>
        <w:sz w:val="18"/>
        <w:szCs w:val="18"/>
      </w:rPr>
    </w:pPr>
    <w:r>
      <w:rPr>
        <w:rFonts w:ascii="Arial" w:eastAsia="Arial" w:hAnsi="Arial" w:cs="Arial"/>
        <w:spacing w:val="-10"/>
        <w:sz w:val="18"/>
        <w:szCs w:val="18"/>
      </w:rPr>
      <w:t>11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06"/>
      <w:rPr>
        <w:rFonts w:ascii="Arial" w:eastAsia="Arial" w:hAnsi="Arial" w:cs="Arial"/>
        <w:sz w:val="18"/>
        <w:szCs w:val="18"/>
      </w:rPr>
    </w:pPr>
    <w:r>
      <w:rPr>
        <w:rFonts w:ascii="Arial" w:eastAsia="Arial" w:hAnsi="Arial" w:cs="Arial"/>
        <w:spacing w:val="-10"/>
        <w:sz w:val="18"/>
        <w:szCs w:val="18"/>
      </w:rPr>
      <w:t>11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3"/>
      <w:jc w:val="right"/>
      <w:rPr>
        <w:rFonts w:ascii="Arial" w:eastAsia="Arial" w:hAnsi="Arial" w:cs="Arial"/>
        <w:sz w:val="18"/>
        <w:szCs w:val="18"/>
      </w:rPr>
    </w:pPr>
    <w:r>
      <w:rPr>
        <w:rFonts w:ascii="Arial" w:eastAsia="Arial" w:hAnsi="Arial" w:cs="Arial"/>
        <w:spacing w:val="-10"/>
        <w:sz w:val="18"/>
        <w:szCs w:val="18"/>
      </w:rPr>
      <w:t>12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3"/>
      <w:jc w:val="right"/>
      <w:rPr>
        <w:rFonts w:ascii="Arial" w:eastAsia="Arial" w:hAnsi="Arial" w:cs="Arial"/>
        <w:sz w:val="18"/>
        <w:szCs w:val="18"/>
      </w:rPr>
    </w:pPr>
    <w:r>
      <w:rPr>
        <w:rFonts w:ascii="Arial" w:eastAsia="Arial" w:hAnsi="Arial" w:cs="Arial"/>
        <w:spacing w:val="-10"/>
        <w:sz w:val="18"/>
        <w:szCs w:val="18"/>
      </w:rPr>
      <w:t>12</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00"/>
      <w:rPr>
        <w:rFonts w:ascii="Arial" w:eastAsia="Arial" w:hAnsi="Arial" w:cs="Arial"/>
        <w:sz w:val="18"/>
        <w:szCs w:val="18"/>
      </w:rPr>
    </w:pPr>
    <w:r>
      <w:rPr>
        <w:rFonts w:ascii="Arial" w:eastAsia="Arial" w:hAnsi="Arial" w:cs="Arial"/>
        <w:spacing w:val="-10"/>
        <w:sz w:val="18"/>
        <w:szCs w:val="18"/>
      </w:rPr>
      <w:t>13</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00"/>
      <w:rPr>
        <w:rFonts w:ascii="Arial" w:eastAsia="Arial" w:hAnsi="Arial" w:cs="Arial"/>
        <w:sz w:val="18"/>
        <w:szCs w:val="18"/>
      </w:rPr>
    </w:pPr>
    <w:r>
      <w:rPr>
        <w:rFonts w:ascii="Arial" w:eastAsia="Arial" w:hAnsi="Arial" w:cs="Arial"/>
        <w:spacing w:val="-10"/>
        <w:sz w:val="18"/>
        <w:szCs w:val="18"/>
      </w:rPr>
      <w:t>13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799"/>
      <w:rPr>
        <w:rFonts w:ascii="Arial" w:eastAsia="Arial" w:hAnsi="Arial" w:cs="Arial"/>
        <w:sz w:val="18"/>
        <w:szCs w:val="18"/>
      </w:rPr>
    </w:pPr>
    <w:r>
      <w:rPr>
        <w:rFonts w:ascii="Arial" w:eastAsia="Arial" w:hAnsi="Arial" w:cs="Arial"/>
        <w:spacing w:val="-10"/>
        <w:sz w:val="18"/>
        <w:szCs w:val="18"/>
      </w:rPr>
      <w:t>14</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799"/>
      <w:rPr>
        <w:rFonts w:ascii="Arial" w:eastAsia="Arial" w:hAnsi="Arial" w:cs="Arial"/>
        <w:sz w:val="18"/>
        <w:szCs w:val="18"/>
      </w:rPr>
    </w:pPr>
    <w:r>
      <w:rPr>
        <w:rFonts w:ascii="Arial" w:eastAsia="Arial" w:hAnsi="Arial" w:cs="Arial"/>
        <w:spacing w:val="-10"/>
        <w:sz w:val="18"/>
        <w:szCs w:val="18"/>
      </w:rPr>
      <w:t>14</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Arial" w:eastAsia="Arial" w:hAnsi="Arial" w:cs="Arial"/>
        <w:sz w:val="18"/>
        <w:szCs w:val="18"/>
      </w:rPr>
    </w:pPr>
    <w:r>
      <w:rPr>
        <w:rFonts w:ascii="Arial" w:eastAsia="Arial" w:hAnsi="Arial" w:cs="Arial"/>
        <w:spacing w:val="-12"/>
        <w:sz w:val="18"/>
        <w:szCs w:val="18"/>
      </w:rPr>
      <w:t>1</w:t>
    </w:r>
    <w:r>
      <w:rPr>
        <w:rFonts w:ascii="Arial" w:eastAsia="Arial" w:hAnsi="Arial" w:cs="Arial"/>
        <w:spacing w:val="-8"/>
        <w:sz w:val="18"/>
        <w:szCs w:val="18"/>
      </w:rPr>
      <w:t>5</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Arial" w:eastAsia="Arial" w:hAnsi="Arial" w:cs="Arial"/>
        <w:sz w:val="18"/>
        <w:szCs w:val="18"/>
      </w:rPr>
    </w:pPr>
    <w:r>
      <w:rPr>
        <w:rFonts w:ascii="Arial" w:eastAsia="Arial" w:hAnsi="Arial" w:cs="Arial"/>
        <w:spacing w:val="-12"/>
        <w:sz w:val="18"/>
        <w:szCs w:val="18"/>
      </w:rPr>
      <w:t>1</w:t>
    </w:r>
    <w:r>
      <w:rPr>
        <w:rFonts w:ascii="Arial" w:eastAsia="Arial" w:hAnsi="Arial" w:cs="Arial"/>
        <w:spacing w:val="-8"/>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24"/>
      <w:szCs w:val="24"/>
      <w:lang w:val="en-US" w:eastAsia="en-US" w:bidi="ar-SA"/>
    </w:rPr>
  </w:style>
  <w:style w:type="paragraph" w:customStyle="1" w:styleId="TableText">
    <w:name w:val="Table Text"/>
    <w:basedOn w:val="Normal"/>
    <w:semiHidden/>
    <w:qFormat/>
    <w:rPr>
      <w:rFonts w:ascii="FangSong" w:eastAsia="FangSong" w:hAnsi="FangSong" w:cs="FangSong"/>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image" Target="media/image2.png"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image" Target="media/image3.png"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footer" Target="footer25.xml" /><Relationship Id="rId32" Type="http://schemas.openxmlformats.org/officeDocument/2006/relationships/hyperlink" Target="https://d.book118.com/296105212134010035" TargetMode="External" /><Relationship Id="rId33" Type="http://schemas.openxmlformats.org/officeDocument/2006/relationships/footer" Target="footer26.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2024-01-19T20:29:43Z</vt:filetime>
  </property>
  <property fmtid="{D5CDD505-2E9C-101B-9397-08002B2CF9AE}" pid="3" name="CRO">
    <vt:lpwstr>wqlLaW5nc29mdCBQREYgdG8gV1BTIDkw</vt:lpwstr>
  </property>
  <property fmtid="{D5CDD505-2E9C-101B-9397-08002B2CF9AE}" pid="4" name="UsrData">
    <vt:lpwstr>65aa6b31b251f9001f20ffaewl</vt:lpwstr>
  </property>
</Properties>
</file>