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铜杆项目可行性研究报告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821356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铜杆项目建设背景及必要性分析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铜杆项目技术工艺分析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三)、铜杆项目技术流程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、铜杆项目概论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)、铜杆项目承办单位基本情况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二)、铜杆项目概况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三)、铜杆项目评价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(一)、铜杆项目建设期原辅材料供应情况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、铜杆项目运营期原辅材料供应及质量管理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一)、铜杆项目风险分析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二)、铜杆项目风险对策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五)、铜杆项目实施保障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)、铜杆项目对环境的主要影响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69034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十、铜杆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(一)、铜杆项目管理方法论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841229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)、铜杆项目计划与进度管理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、铜杆项目风险管理与应对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面介绍和规划一个创新性的铜杆项目，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满足需求。该方案的目的是为了提供铜杆项目的全面概览，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铜杆行业作为一个充满活力的领域，涵盖了广泛的产品和服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铜杆行业在技术上取得了显著的突破。高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*铜杆行业**是一片充满活力的领域，囊括了广泛的产品和服务。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铜杆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6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铜杆行业在技术上取得了显著的突破。高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二、铜杆项目建设背景及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二)、铜杆项目技术工艺分析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提供优质产品和服务。保障工艺流程能够满足铜杆项目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铜杆项目建设贯彻“三同时”的原则，注重环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铜杆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铜</w:t>
      </w:r>
      <w:r>
        <w:rPr>
          <w:rFonts w:ascii="FangSong" w:eastAsia="FangSong" w:hAnsi="FangSong" w:cs="FangSong"/>
          <w:spacing w:val="-4"/>
          <w:sz w:val="28"/>
          <w:szCs w:val="28"/>
        </w:rPr>
        <w:t>杆项目的技术保障措施从设计、施工、试运行到投产、销售等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以确保铜杆项目在技术开发和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杆项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(三)、铜杆项目技术流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铜杆项目运营中，进行技术持续改进。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工具监测和分析铜杆项目各环节数据。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共同构建了高效、稳定的铜杆项目技术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，确保铜杆项目顺利推进。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用的设备能够满足铜杆项目的技术要求，例如：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备与铜杆项目工艺流程相匹配，例如：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产能力是否符合铜杆项目的产能需求。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、铜杆项目概论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一)、铜杆项目承办单位基本情况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(二)、铜杆项目概况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铜杆项目名称：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铜杆项目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铜杆项目类型：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铜</w:t>
      </w:r>
      <w:r>
        <w:rPr>
          <w:rFonts w:ascii="FangSong" w:eastAsia="FangSong" w:hAnsi="FangSong" w:cs="FangSong"/>
          <w:spacing w:val="-18"/>
          <w:sz w:val="28"/>
          <w:szCs w:val="28"/>
        </w:rPr>
        <w:t>杆项目地点：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铜</w:t>
      </w:r>
      <w:r>
        <w:rPr>
          <w:rFonts w:ascii="FangSong" w:eastAsia="FangSong" w:hAnsi="FangSong" w:cs="FangSong"/>
          <w:spacing w:val="-18"/>
          <w:sz w:val="28"/>
          <w:szCs w:val="28"/>
        </w:rPr>
        <w:t>杆项目规模：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铜</w:t>
      </w:r>
      <w:r>
        <w:rPr>
          <w:rFonts w:ascii="FangSong" w:eastAsia="FangSong" w:hAnsi="FangSong" w:cs="FangSong"/>
          <w:spacing w:val="-15"/>
          <w:sz w:val="28"/>
          <w:szCs w:val="28"/>
        </w:rPr>
        <w:t>杆项目周期：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铜杆项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铜杆项目的建设旨在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(三)、铜杆项目评价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该铜杆项目处于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杆项目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铜杆项目建设期原辅材料供应情况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杆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稳定的重要环节。本章将详细探讨铜杆项目建设期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铜杆项目建设期原辅材料供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0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在铜</w:t>
      </w:r>
      <w:r>
        <w:rPr>
          <w:rFonts w:ascii="FangSong" w:eastAsia="FangSong" w:hAnsi="FangSong" w:cs="FangSong"/>
          <w:spacing w:val="-15"/>
          <w:sz w:val="28"/>
          <w:szCs w:val="28"/>
        </w:rPr>
        <w:t>杆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接的影响。下面是铜杆项目建设期原辅材料供应情况的主要内容：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(二)、铜杆项目运营期原辅材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铜杆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。下面是铜杆项目运营期原辅材料供应及质量管理的关键方面：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69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)、铜杆项目风险分析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受市场变化和竞争压力的影响，铜杆项目面临市场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影响铜杆项目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技术方面的不确定性可能导致铜杆项目进度延误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成本增加。新技术的引入或技术问题的发生可能对铜杆项目的顺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政府政策和法规的变化可能对铜杆项目产生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保、安全等法规要求可能导致铜杆项目的停工或罚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pacing w:before="1" w:line="415" w:lineRule="auto"/>
        <w:ind w:left="31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资金紧张或融资渠道受限可能导致铜杆项目无法按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动和利率上升也可能对铜杆项目的资金需求和成本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地震、洪水等自然灾害可能对铜杆项目区域产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(二)、铜杆项目风险对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我们旨在最大程度地降低铜杆项目面临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种风险，确保铜杆项目能够在复杂多变的环境中稳健前行。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在铜杆项目开始前进行充分的技术可行性研究，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确保铜杆项目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降低法规变更对铜杆项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轻铜杆项目因不可抗力而受到的损失，确保铜杆项目的可持续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铜杆项目的建设周期被设定为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个月，其中包括铜杆项目前期</w:t>
      </w:r>
    </w:p>
    <w:p>
      <w:pPr>
        <w:sectPr>
          <w:type w:val="nextPage"/>
          <w:pgSz w:w="11906" w:h="16839"/>
          <w:pgMar w:top="1431" w:right="1718" w:bottom="0" w:left="1785" w:header="0" w:footer="0" w:gutter="0"/>
          <w:pgNumType w:start="21"/>
          <w:cols w:space="708"/>
          <w:titlePg w:val="0"/>
        </w:sectPr>
      </w:pPr>
    </w:p>
    <w:p>
      <w:pPr>
        <w:spacing w:before="181" w:line="415" w:lineRule="auto"/>
        <w:ind w:left="39" w:right="14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准备、工程勘察与设计、土建工程施工、设备采购、设备安装调试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4"/>
          <w:sz w:val="28"/>
          <w:szCs w:val="28"/>
        </w:rPr>
        <w:t>键阶段。这个时间框架将充分考虑到各个阶段的工作内容和交叉影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响，以确保铜杆项目的高效推进。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具体的建设进度将在铜杆项目启动时明确制定，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并按照里程碑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划进行监测和调整</w:t>
      </w:r>
      <w:r>
        <w:rPr>
          <w:rFonts w:ascii="FangSong" w:eastAsia="FangSong" w:hAnsi="FangSong" w:cs="FangSong"/>
          <w:spacing w:val="-3"/>
          <w:sz w:val="28"/>
          <w:szCs w:val="28"/>
        </w:rPr>
        <w:t>。各个阶段的完成情况将通过定期的进度报告进行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跟踪，确保整个建设过程按照计划进行。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5" w:line="415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铜杆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以保障铜杆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各方面的需要。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https://d.book118.com/296224034043010102</w:t>
        </w:r>
      </w:hyperlink>
    </w:p>
    <w:p/>
    <w:sectPr>
      <w:pgSz w:w="11906" w:h="16839"/>
      <w:pgMar w:top="1431" w:right="1785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6224034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2024-03-13T12:58:47Z</vt:filetime>
  </property>
  <property fmtid="{D5CDD505-2E9C-101B-9397-08002B2CF9AE}" pid="3" name="CRO">
    <vt:lpwstr>wqlLaW5nc29mdCBQREYgdG8gV1BTIDgw</vt:lpwstr>
  </property>
</Properties>
</file>