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建筑用木料及加工木材组件项目计划设计方案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89" w:history="1">
        <w:r>
          <w:rPr>
            <w:rFonts w:ascii="仿宋" w:eastAsia="仿宋" w:hAnsi="仿宋" w:cs="仿宋" w:hint="eastAsia"/>
            <w:lang w:eastAsia="zh-CN"/>
          </w:rPr>
          <w:t>前言</w:t>
        </w:r>
        <w:r>
          <w:tab/>
        </w:r>
        <w:r>
          <w:fldChar w:fldCharType="begin"/>
        </w:r>
        <w:r>
          <w:instrText xml:space="preserve"> PAGEREF _Toc26389 \h </w:instrText>
        </w:r>
        <w:r>
          <w:fldChar w:fldCharType="separate"/>
        </w:r>
        <w:r>
          <w:t>3</w:t>
        </w:r>
        <w:r>
          <w:fldChar w:fldCharType="end"/>
        </w:r>
      </w:hyperlink>
    </w:p>
    <w:p>
      <w:pPr>
        <w:pStyle w:val="TOC1"/>
        <w:tabs>
          <w:tab w:val="right" w:leader="dot" w:pos="8306"/>
        </w:tabs>
      </w:pPr>
      <w:hyperlink w:anchor="_Toc22599" w:history="1">
        <w:r>
          <w:rPr>
            <w:rFonts w:ascii="仿宋" w:eastAsia="仿宋" w:hAnsi="仿宋" w:cs="仿宋" w:hint="eastAsia"/>
            <w:lang w:eastAsia="zh-CN"/>
          </w:rPr>
          <w:t>一、建筑用木料及加工木材组件项目建设单位说明</w:t>
        </w:r>
        <w:r>
          <w:tab/>
        </w:r>
        <w:r>
          <w:fldChar w:fldCharType="begin"/>
        </w:r>
        <w:r>
          <w:instrText xml:space="preserve"> PAGEREF _Toc22599 \h </w:instrText>
        </w:r>
        <w:r>
          <w:fldChar w:fldCharType="separate"/>
        </w:r>
        <w:r>
          <w:t>3</w:t>
        </w:r>
        <w:r>
          <w:fldChar w:fldCharType="end"/>
        </w:r>
      </w:hyperlink>
    </w:p>
    <w:p>
      <w:pPr>
        <w:pStyle w:val="TOC2"/>
        <w:tabs>
          <w:tab w:val="right" w:leader="dot" w:pos="8306"/>
        </w:tabs>
      </w:pPr>
      <w:hyperlink w:anchor="_Toc28096" w:history="1">
        <w:r>
          <w:rPr>
            <w:rFonts w:ascii="仿宋" w:eastAsia="仿宋" w:hAnsi="仿宋" w:cs="仿宋" w:hint="eastAsia"/>
            <w:lang w:eastAsia="zh-CN"/>
          </w:rPr>
          <w:t>(一)、建筑用木料及加工木材组件项目承办单位基本情况</w:t>
        </w:r>
        <w:r>
          <w:tab/>
        </w:r>
        <w:r>
          <w:fldChar w:fldCharType="begin"/>
        </w:r>
        <w:r>
          <w:instrText xml:space="preserve"> PAGEREF _Toc28096 \h </w:instrText>
        </w:r>
        <w:r>
          <w:fldChar w:fldCharType="separate"/>
        </w:r>
        <w:r>
          <w:t>3</w:t>
        </w:r>
        <w:r>
          <w:fldChar w:fldCharType="end"/>
        </w:r>
      </w:hyperlink>
    </w:p>
    <w:p>
      <w:pPr>
        <w:pStyle w:val="TOC2"/>
        <w:tabs>
          <w:tab w:val="right" w:leader="dot" w:pos="8306"/>
        </w:tabs>
      </w:pPr>
      <w:hyperlink w:anchor="_Toc23512" w:history="1">
        <w:r>
          <w:rPr>
            <w:rFonts w:ascii="仿宋" w:eastAsia="仿宋" w:hAnsi="仿宋" w:cs="仿宋" w:hint="eastAsia"/>
            <w:lang w:eastAsia="zh-CN"/>
          </w:rPr>
          <w:t>(二)、公司经济效益分析</w:t>
        </w:r>
        <w:r>
          <w:tab/>
        </w:r>
        <w:r>
          <w:fldChar w:fldCharType="begin"/>
        </w:r>
        <w:r>
          <w:instrText xml:space="preserve"> PAGEREF _Toc23512 \h </w:instrText>
        </w:r>
        <w:r>
          <w:fldChar w:fldCharType="separate"/>
        </w:r>
        <w:r>
          <w:t>4</w:t>
        </w:r>
        <w:r>
          <w:fldChar w:fldCharType="end"/>
        </w:r>
      </w:hyperlink>
    </w:p>
    <w:p>
      <w:pPr>
        <w:pStyle w:val="TOC1"/>
        <w:tabs>
          <w:tab w:val="right" w:leader="dot" w:pos="8306"/>
        </w:tabs>
      </w:pPr>
      <w:hyperlink w:anchor="_Toc2293" w:history="1">
        <w:r>
          <w:rPr>
            <w:rFonts w:ascii="仿宋" w:eastAsia="仿宋" w:hAnsi="仿宋" w:cs="仿宋" w:hint="eastAsia"/>
            <w:lang w:eastAsia="zh-CN"/>
          </w:rPr>
          <w:t>二、建筑用木料及加工木材组件项目概论</w:t>
        </w:r>
        <w:r>
          <w:tab/>
        </w:r>
        <w:r>
          <w:fldChar w:fldCharType="begin"/>
        </w:r>
        <w:r>
          <w:instrText xml:space="preserve"> PAGEREF _Toc2293 \h </w:instrText>
        </w:r>
        <w:r>
          <w:fldChar w:fldCharType="separate"/>
        </w:r>
        <w:r>
          <w:t>5</w:t>
        </w:r>
        <w:r>
          <w:fldChar w:fldCharType="end"/>
        </w:r>
      </w:hyperlink>
    </w:p>
    <w:p>
      <w:pPr>
        <w:pStyle w:val="TOC2"/>
        <w:tabs>
          <w:tab w:val="right" w:leader="dot" w:pos="8306"/>
        </w:tabs>
      </w:pPr>
      <w:hyperlink w:anchor="_Toc21153" w:history="1">
        <w:r>
          <w:rPr>
            <w:rFonts w:ascii="仿宋" w:eastAsia="仿宋" w:hAnsi="仿宋" w:cs="仿宋" w:hint="eastAsia"/>
            <w:lang w:eastAsia="zh-CN"/>
          </w:rPr>
          <w:t>(一)、建筑用木料及加工木材组件项目概况</w:t>
        </w:r>
        <w:r>
          <w:tab/>
        </w:r>
        <w:r>
          <w:fldChar w:fldCharType="begin"/>
        </w:r>
        <w:r>
          <w:instrText xml:space="preserve"> PAGEREF _Toc21153 \h </w:instrText>
        </w:r>
        <w:r>
          <w:fldChar w:fldCharType="separate"/>
        </w:r>
        <w:r>
          <w:t>5</w:t>
        </w:r>
        <w:r>
          <w:fldChar w:fldCharType="end"/>
        </w:r>
      </w:hyperlink>
    </w:p>
    <w:p>
      <w:pPr>
        <w:pStyle w:val="TOC2"/>
        <w:tabs>
          <w:tab w:val="right" w:leader="dot" w:pos="8306"/>
        </w:tabs>
      </w:pPr>
      <w:hyperlink w:anchor="_Toc7426" w:history="1">
        <w:r>
          <w:rPr>
            <w:rFonts w:ascii="仿宋" w:eastAsia="仿宋" w:hAnsi="仿宋" w:cs="仿宋" w:hint="eastAsia"/>
            <w:lang w:eastAsia="zh-CN"/>
          </w:rPr>
          <w:t>(二)、建筑用木料及加工木材组件项目目标</w:t>
        </w:r>
        <w:r>
          <w:tab/>
        </w:r>
        <w:r>
          <w:fldChar w:fldCharType="begin"/>
        </w:r>
        <w:r>
          <w:instrText xml:space="preserve"> PAGEREF _Toc7426 \h </w:instrText>
        </w:r>
        <w:r>
          <w:fldChar w:fldCharType="separate"/>
        </w:r>
        <w:r>
          <w:t>7</w:t>
        </w:r>
        <w:r>
          <w:fldChar w:fldCharType="end"/>
        </w:r>
      </w:hyperlink>
    </w:p>
    <w:p>
      <w:pPr>
        <w:pStyle w:val="TOC2"/>
        <w:tabs>
          <w:tab w:val="right" w:leader="dot" w:pos="8306"/>
        </w:tabs>
      </w:pPr>
      <w:hyperlink w:anchor="_Toc14434" w:history="1">
        <w:r>
          <w:rPr>
            <w:rFonts w:ascii="仿宋" w:eastAsia="仿宋" w:hAnsi="仿宋" w:cs="仿宋" w:hint="eastAsia"/>
            <w:lang w:eastAsia="zh-CN"/>
          </w:rPr>
          <w:t>(三)、建筑用木料及加工木材组件项目提出的理由</w:t>
        </w:r>
        <w:r>
          <w:tab/>
        </w:r>
        <w:r>
          <w:fldChar w:fldCharType="begin"/>
        </w:r>
        <w:r>
          <w:instrText xml:space="preserve"> PAGEREF _Toc14434 \h </w:instrText>
        </w:r>
        <w:r>
          <w:fldChar w:fldCharType="separate"/>
        </w:r>
        <w:r>
          <w:t>8</w:t>
        </w:r>
        <w:r>
          <w:fldChar w:fldCharType="end"/>
        </w:r>
      </w:hyperlink>
    </w:p>
    <w:p>
      <w:pPr>
        <w:pStyle w:val="TOC2"/>
        <w:tabs>
          <w:tab w:val="right" w:leader="dot" w:pos="8306"/>
        </w:tabs>
      </w:pPr>
      <w:hyperlink w:anchor="_Toc25770" w:history="1">
        <w:r>
          <w:rPr>
            <w:rFonts w:ascii="仿宋" w:eastAsia="仿宋" w:hAnsi="仿宋" w:cs="仿宋" w:hint="eastAsia"/>
            <w:lang w:eastAsia="zh-CN"/>
          </w:rPr>
          <w:t>(四)、建筑用木料及加工木材组件项目意义</w:t>
        </w:r>
        <w:r>
          <w:tab/>
        </w:r>
        <w:r>
          <w:fldChar w:fldCharType="begin"/>
        </w:r>
        <w:r>
          <w:instrText xml:space="preserve"> PAGEREF _Toc25770 \h </w:instrText>
        </w:r>
        <w:r>
          <w:fldChar w:fldCharType="separate"/>
        </w:r>
        <w:r>
          <w:t>10</w:t>
        </w:r>
        <w:r>
          <w:fldChar w:fldCharType="end"/>
        </w:r>
      </w:hyperlink>
    </w:p>
    <w:p>
      <w:pPr>
        <w:pStyle w:val="TOC2"/>
        <w:tabs>
          <w:tab w:val="right" w:leader="dot" w:pos="8306"/>
        </w:tabs>
      </w:pPr>
      <w:hyperlink w:anchor="_Toc23243" w:history="1">
        <w:r>
          <w:rPr>
            <w:rFonts w:ascii="仿宋" w:eastAsia="仿宋" w:hAnsi="仿宋" w:cs="仿宋" w:hint="eastAsia"/>
            <w:lang w:eastAsia="zh-CN"/>
          </w:rPr>
          <w:t>(五)、建筑用木料及加工木材组件项目背景</w:t>
        </w:r>
        <w:r>
          <w:tab/>
        </w:r>
        <w:r>
          <w:fldChar w:fldCharType="begin"/>
        </w:r>
        <w:r>
          <w:instrText xml:space="preserve"> PAGEREF _Toc23243 \h </w:instrText>
        </w:r>
        <w:r>
          <w:fldChar w:fldCharType="separate"/>
        </w:r>
        <w:r>
          <w:t>11</w:t>
        </w:r>
        <w:r>
          <w:fldChar w:fldCharType="end"/>
        </w:r>
      </w:hyperlink>
    </w:p>
    <w:p>
      <w:pPr>
        <w:pStyle w:val="TOC1"/>
        <w:tabs>
          <w:tab w:val="right" w:leader="dot" w:pos="8306"/>
        </w:tabs>
      </w:pPr>
      <w:hyperlink w:anchor="_Toc25838" w:history="1">
        <w:r>
          <w:rPr>
            <w:rFonts w:ascii="仿宋" w:eastAsia="仿宋" w:hAnsi="仿宋" w:cs="仿宋" w:hint="eastAsia"/>
            <w:lang w:eastAsia="zh-CN"/>
          </w:rPr>
          <w:t>三、建筑用木料及加工木材组件项目选址可行性分析</w:t>
        </w:r>
        <w:r>
          <w:tab/>
        </w:r>
        <w:r>
          <w:fldChar w:fldCharType="begin"/>
        </w:r>
        <w:r>
          <w:instrText xml:space="preserve"> PAGEREF _Toc25838 \h </w:instrText>
        </w:r>
        <w:r>
          <w:fldChar w:fldCharType="separate"/>
        </w:r>
        <w:r>
          <w:t>12</w:t>
        </w:r>
        <w:r>
          <w:fldChar w:fldCharType="end"/>
        </w:r>
      </w:hyperlink>
    </w:p>
    <w:p>
      <w:pPr>
        <w:pStyle w:val="TOC2"/>
        <w:tabs>
          <w:tab w:val="right" w:leader="dot" w:pos="8306"/>
        </w:tabs>
      </w:pPr>
      <w:hyperlink w:anchor="_Toc10403" w:history="1">
        <w:r>
          <w:rPr>
            <w:rFonts w:ascii="仿宋" w:eastAsia="仿宋" w:hAnsi="仿宋" w:cs="仿宋" w:hint="eastAsia"/>
            <w:lang w:eastAsia="zh-CN"/>
          </w:rPr>
          <w:t>(一)、建筑用木料及加工木材组件项目选址</w:t>
        </w:r>
        <w:r>
          <w:tab/>
        </w:r>
        <w:r>
          <w:fldChar w:fldCharType="begin"/>
        </w:r>
        <w:r>
          <w:instrText xml:space="preserve"> PAGEREF _Toc10403 \h </w:instrText>
        </w:r>
        <w:r>
          <w:fldChar w:fldCharType="separate"/>
        </w:r>
        <w:r>
          <w:t>12</w:t>
        </w:r>
        <w:r>
          <w:fldChar w:fldCharType="end"/>
        </w:r>
      </w:hyperlink>
    </w:p>
    <w:p>
      <w:pPr>
        <w:pStyle w:val="TOC2"/>
        <w:tabs>
          <w:tab w:val="right" w:leader="dot" w:pos="8306"/>
        </w:tabs>
      </w:pPr>
      <w:hyperlink w:anchor="_Toc26" w:history="1">
        <w:r>
          <w:rPr>
            <w:rFonts w:ascii="仿宋" w:eastAsia="仿宋" w:hAnsi="仿宋" w:cs="仿宋" w:hint="eastAsia"/>
            <w:lang w:eastAsia="zh-CN"/>
          </w:rPr>
          <w:t>(二)、用地控制指标</w:t>
        </w:r>
        <w:r>
          <w:tab/>
        </w:r>
        <w:r>
          <w:fldChar w:fldCharType="begin"/>
        </w:r>
        <w:r>
          <w:instrText xml:space="preserve"> PAGEREF _Toc26 \h </w:instrText>
        </w:r>
        <w:r>
          <w:fldChar w:fldCharType="separate"/>
        </w:r>
        <w:r>
          <w:t>12</w:t>
        </w:r>
        <w:r>
          <w:fldChar w:fldCharType="end"/>
        </w:r>
      </w:hyperlink>
    </w:p>
    <w:p>
      <w:pPr>
        <w:pStyle w:val="TOC2"/>
        <w:tabs>
          <w:tab w:val="right" w:leader="dot" w:pos="8306"/>
        </w:tabs>
      </w:pPr>
      <w:hyperlink w:anchor="_Toc30496" w:history="1">
        <w:r>
          <w:rPr>
            <w:rFonts w:ascii="仿宋" w:eastAsia="仿宋" w:hAnsi="仿宋" w:cs="仿宋" w:hint="eastAsia"/>
            <w:lang w:eastAsia="zh-CN"/>
          </w:rPr>
          <w:t>(三)、节约用地措施</w:t>
        </w:r>
        <w:r>
          <w:tab/>
        </w:r>
        <w:r>
          <w:fldChar w:fldCharType="begin"/>
        </w:r>
        <w:r>
          <w:instrText xml:space="preserve"> PAGEREF _Toc30496 \h </w:instrText>
        </w:r>
        <w:r>
          <w:fldChar w:fldCharType="separate"/>
        </w:r>
        <w:r>
          <w:t>14</w:t>
        </w:r>
        <w:r>
          <w:fldChar w:fldCharType="end"/>
        </w:r>
      </w:hyperlink>
    </w:p>
    <w:p>
      <w:pPr>
        <w:pStyle w:val="TOC2"/>
        <w:tabs>
          <w:tab w:val="right" w:leader="dot" w:pos="8306"/>
        </w:tabs>
      </w:pPr>
      <w:hyperlink w:anchor="_Toc10816" w:history="1">
        <w:r>
          <w:rPr>
            <w:rFonts w:ascii="仿宋" w:eastAsia="仿宋" w:hAnsi="仿宋" w:cs="仿宋" w:hint="eastAsia"/>
            <w:lang w:eastAsia="zh-CN"/>
          </w:rPr>
          <w:t>(四)、总图布置方案</w:t>
        </w:r>
        <w:r>
          <w:tab/>
        </w:r>
        <w:r>
          <w:fldChar w:fldCharType="begin"/>
        </w:r>
        <w:r>
          <w:instrText xml:space="preserve"> PAGEREF _Toc10816 \h </w:instrText>
        </w:r>
        <w:r>
          <w:fldChar w:fldCharType="separate"/>
        </w:r>
        <w:r>
          <w:t>16</w:t>
        </w:r>
        <w:r>
          <w:fldChar w:fldCharType="end"/>
        </w:r>
      </w:hyperlink>
    </w:p>
    <w:p>
      <w:pPr>
        <w:pStyle w:val="TOC2"/>
        <w:tabs>
          <w:tab w:val="right" w:leader="dot" w:pos="8306"/>
        </w:tabs>
      </w:pPr>
      <w:hyperlink w:anchor="_Toc22261" w:history="1">
        <w:r>
          <w:rPr>
            <w:rFonts w:ascii="仿宋" w:eastAsia="仿宋" w:hAnsi="仿宋" w:cs="仿宋" w:hint="eastAsia"/>
            <w:lang w:eastAsia="zh-CN"/>
          </w:rPr>
          <w:t>(五)、选址综合评价</w:t>
        </w:r>
        <w:r>
          <w:tab/>
        </w:r>
        <w:r>
          <w:fldChar w:fldCharType="begin"/>
        </w:r>
        <w:r>
          <w:instrText xml:space="preserve"> PAGEREF _Toc22261 \h </w:instrText>
        </w:r>
        <w:r>
          <w:fldChar w:fldCharType="separate"/>
        </w:r>
        <w:r>
          <w:t>17</w:t>
        </w:r>
        <w:r>
          <w:fldChar w:fldCharType="end"/>
        </w:r>
      </w:hyperlink>
    </w:p>
    <w:p>
      <w:pPr>
        <w:pStyle w:val="TOC1"/>
        <w:tabs>
          <w:tab w:val="right" w:leader="dot" w:pos="8306"/>
        </w:tabs>
      </w:pPr>
      <w:hyperlink w:anchor="_Toc4744" w:history="1">
        <w:r>
          <w:rPr>
            <w:rFonts w:ascii="仿宋" w:eastAsia="仿宋" w:hAnsi="仿宋" w:cs="仿宋" w:hint="eastAsia"/>
            <w:lang w:eastAsia="zh-CN"/>
          </w:rPr>
          <w:t>四、建筑用木料及加工木材组件项目绩效评估</w:t>
        </w:r>
        <w:r>
          <w:tab/>
        </w:r>
        <w:r>
          <w:fldChar w:fldCharType="begin"/>
        </w:r>
        <w:r>
          <w:instrText xml:space="preserve"> PAGEREF _Toc4744 \h </w:instrText>
        </w:r>
        <w:r>
          <w:fldChar w:fldCharType="separate"/>
        </w:r>
        <w:r>
          <w:t>18</w:t>
        </w:r>
        <w:r>
          <w:fldChar w:fldCharType="end"/>
        </w:r>
      </w:hyperlink>
    </w:p>
    <w:p>
      <w:pPr>
        <w:pStyle w:val="TOC2"/>
        <w:tabs>
          <w:tab w:val="right" w:leader="dot" w:pos="8306"/>
        </w:tabs>
      </w:pPr>
      <w:hyperlink w:anchor="_Toc7909" w:history="1">
        <w:r>
          <w:rPr>
            <w:rFonts w:ascii="仿宋" w:eastAsia="仿宋" w:hAnsi="仿宋" w:cs="仿宋" w:hint="eastAsia"/>
            <w:lang w:eastAsia="zh-CN"/>
          </w:rPr>
          <w:t>(一)、绩效评估指标</w:t>
        </w:r>
        <w:r>
          <w:tab/>
        </w:r>
        <w:r>
          <w:fldChar w:fldCharType="begin"/>
        </w:r>
        <w:r>
          <w:instrText xml:space="preserve"> PAGEREF _Toc7909 \h </w:instrText>
        </w:r>
        <w:r>
          <w:fldChar w:fldCharType="separate"/>
        </w:r>
        <w:r>
          <w:t>18</w:t>
        </w:r>
        <w:r>
          <w:fldChar w:fldCharType="end"/>
        </w:r>
      </w:hyperlink>
    </w:p>
    <w:p>
      <w:pPr>
        <w:pStyle w:val="TOC2"/>
        <w:tabs>
          <w:tab w:val="right" w:leader="dot" w:pos="8306"/>
        </w:tabs>
      </w:pPr>
      <w:hyperlink w:anchor="_Toc28669" w:history="1">
        <w:r>
          <w:rPr>
            <w:rFonts w:ascii="仿宋" w:eastAsia="仿宋" w:hAnsi="仿宋" w:cs="仿宋" w:hint="eastAsia"/>
            <w:lang w:eastAsia="zh-CN"/>
          </w:rPr>
          <w:t>(二)、绩效评估方法</w:t>
        </w:r>
        <w:r>
          <w:tab/>
        </w:r>
        <w:r>
          <w:fldChar w:fldCharType="begin"/>
        </w:r>
        <w:r>
          <w:instrText xml:space="preserve"> PAGEREF _Toc28669 \h </w:instrText>
        </w:r>
        <w:r>
          <w:fldChar w:fldCharType="separate"/>
        </w:r>
        <w:r>
          <w:t>19</w:t>
        </w:r>
        <w:r>
          <w:fldChar w:fldCharType="end"/>
        </w:r>
      </w:hyperlink>
    </w:p>
    <w:p>
      <w:pPr>
        <w:pStyle w:val="TOC2"/>
        <w:tabs>
          <w:tab w:val="right" w:leader="dot" w:pos="8306"/>
        </w:tabs>
      </w:pPr>
      <w:hyperlink w:anchor="_Toc16347" w:history="1">
        <w:r>
          <w:rPr>
            <w:rFonts w:ascii="仿宋" w:eastAsia="仿宋" w:hAnsi="仿宋" w:cs="仿宋" w:hint="eastAsia"/>
            <w:lang w:eastAsia="zh-CN"/>
          </w:rPr>
          <w:t>(三)、绩效评估周期</w:t>
        </w:r>
        <w:r>
          <w:tab/>
        </w:r>
        <w:r>
          <w:fldChar w:fldCharType="begin"/>
        </w:r>
        <w:r>
          <w:instrText xml:space="preserve"> PAGEREF _Toc16347 \h </w:instrText>
        </w:r>
        <w:r>
          <w:fldChar w:fldCharType="separate"/>
        </w:r>
        <w:r>
          <w:t>20</w:t>
        </w:r>
        <w:r>
          <w:fldChar w:fldCharType="end"/>
        </w:r>
      </w:hyperlink>
    </w:p>
    <w:p>
      <w:pPr>
        <w:pStyle w:val="TOC1"/>
        <w:tabs>
          <w:tab w:val="right" w:leader="dot" w:pos="8306"/>
        </w:tabs>
      </w:pPr>
      <w:hyperlink w:anchor="_Toc21948" w:history="1">
        <w:r>
          <w:rPr>
            <w:rFonts w:ascii="仿宋" w:eastAsia="仿宋" w:hAnsi="仿宋" w:cs="仿宋" w:hint="eastAsia"/>
            <w:lang w:eastAsia="zh-CN"/>
          </w:rPr>
          <w:t>五、市场分析、调研</w:t>
        </w:r>
        <w:r>
          <w:tab/>
        </w:r>
        <w:r>
          <w:fldChar w:fldCharType="begin"/>
        </w:r>
        <w:r>
          <w:instrText xml:space="preserve"> PAGEREF _Toc21948 \h </w:instrText>
        </w:r>
        <w:r>
          <w:fldChar w:fldCharType="separate"/>
        </w:r>
        <w:r>
          <w:t>22</w:t>
        </w:r>
        <w:r>
          <w:fldChar w:fldCharType="end"/>
        </w:r>
      </w:hyperlink>
    </w:p>
    <w:p>
      <w:pPr>
        <w:pStyle w:val="TOC2"/>
        <w:tabs>
          <w:tab w:val="right" w:leader="dot" w:pos="8306"/>
        </w:tabs>
      </w:pPr>
      <w:hyperlink w:anchor="_Toc22233" w:history="1">
        <w:r>
          <w:rPr>
            <w:rFonts w:ascii="仿宋" w:eastAsia="仿宋" w:hAnsi="仿宋" w:cs="仿宋" w:hint="eastAsia"/>
            <w:lang w:eastAsia="zh-CN"/>
          </w:rPr>
          <w:t>(一)、建筑用木料及加工木材组件行业分析</w:t>
        </w:r>
        <w:r>
          <w:tab/>
        </w:r>
        <w:r>
          <w:fldChar w:fldCharType="begin"/>
        </w:r>
        <w:r>
          <w:instrText xml:space="preserve"> PAGEREF _Toc22233 \h </w:instrText>
        </w:r>
        <w:r>
          <w:fldChar w:fldCharType="separate"/>
        </w:r>
        <w:r>
          <w:t>22</w:t>
        </w:r>
        <w:r>
          <w:fldChar w:fldCharType="end"/>
        </w:r>
      </w:hyperlink>
    </w:p>
    <w:p>
      <w:pPr>
        <w:pStyle w:val="TOC2"/>
        <w:tabs>
          <w:tab w:val="right" w:leader="dot" w:pos="8306"/>
        </w:tabs>
      </w:pPr>
      <w:hyperlink w:anchor="_Toc20917" w:history="1">
        <w:r>
          <w:rPr>
            <w:rFonts w:ascii="仿宋" w:eastAsia="仿宋" w:hAnsi="仿宋" w:cs="仿宋" w:hint="eastAsia"/>
            <w:lang w:eastAsia="zh-CN"/>
          </w:rPr>
          <w:t>(二)、建筑用木料及加工木材组件市场分析预测</w:t>
        </w:r>
        <w:r>
          <w:tab/>
        </w:r>
        <w:r>
          <w:fldChar w:fldCharType="begin"/>
        </w:r>
        <w:r>
          <w:instrText xml:space="preserve"> PAGEREF _Toc20917 \h </w:instrText>
        </w:r>
        <w:r>
          <w:fldChar w:fldCharType="separate"/>
        </w:r>
        <w:r>
          <w:t>23</w:t>
        </w:r>
        <w:r>
          <w:fldChar w:fldCharType="end"/>
        </w:r>
      </w:hyperlink>
    </w:p>
    <w:p>
      <w:pPr>
        <w:pStyle w:val="TOC1"/>
        <w:tabs>
          <w:tab w:val="right" w:leader="dot" w:pos="8306"/>
        </w:tabs>
      </w:pPr>
      <w:hyperlink w:anchor="_Toc21304" w:history="1">
        <w:r>
          <w:rPr>
            <w:rFonts w:ascii="仿宋" w:eastAsia="仿宋" w:hAnsi="仿宋" w:cs="仿宋" w:hint="eastAsia"/>
            <w:lang w:eastAsia="zh-CN"/>
          </w:rPr>
          <w:t>六、产品规划分析</w:t>
        </w:r>
        <w:r>
          <w:tab/>
        </w:r>
        <w:r>
          <w:fldChar w:fldCharType="begin"/>
        </w:r>
        <w:r>
          <w:instrText xml:space="preserve"> PAGEREF _Toc21304 \h </w:instrText>
        </w:r>
        <w:r>
          <w:fldChar w:fldCharType="separate"/>
        </w:r>
        <w:r>
          <w:t>23</w:t>
        </w:r>
        <w:r>
          <w:fldChar w:fldCharType="end"/>
        </w:r>
      </w:hyperlink>
    </w:p>
    <w:p>
      <w:pPr>
        <w:pStyle w:val="TOC2"/>
        <w:tabs>
          <w:tab w:val="right" w:leader="dot" w:pos="8306"/>
        </w:tabs>
      </w:pPr>
      <w:hyperlink w:anchor="_Toc29278" w:history="1">
        <w:r>
          <w:rPr>
            <w:rFonts w:ascii="仿宋" w:eastAsia="仿宋" w:hAnsi="仿宋" w:cs="仿宋" w:hint="eastAsia"/>
            <w:lang w:eastAsia="zh-CN"/>
          </w:rPr>
          <w:t>(一)、产品规划</w:t>
        </w:r>
        <w:r>
          <w:tab/>
        </w:r>
        <w:r>
          <w:fldChar w:fldCharType="begin"/>
        </w:r>
        <w:r>
          <w:instrText xml:space="preserve"> PAGEREF _Toc29278 \h </w:instrText>
        </w:r>
        <w:r>
          <w:fldChar w:fldCharType="separate"/>
        </w:r>
        <w:r>
          <w:t>23</w:t>
        </w:r>
        <w:r>
          <w:fldChar w:fldCharType="end"/>
        </w:r>
      </w:hyperlink>
    </w:p>
    <w:p>
      <w:pPr>
        <w:pStyle w:val="TOC2"/>
        <w:tabs>
          <w:tab w:val="right" w:leader="dot" w:pos="8306"/>
        </w:tabs>
      </w:pPr>
      <w:hyperlink w:anchor="_Toc31757" w:history="1">
        <w:r>
          <w:rPr>
            <w:rFonts w:ascii="仿宋" w:eastAsia="仿宋" w:hAnsi="仿宋" w:cs="仿宋" w:hint="eastAsia"/>
            <w:lang w:eastAsia="zh-CN"/>
          </w:rPr>
          <w:t>(二)、建设规模</w:t>
        </w:r>
        <w:r>
          <w:tab/>
        </w:r>
        <w:r>
          <w:fldChar w:fldCharType="begin"/>
        </w:r>
        <w:r>
          <w:instrText xml:space="preserve"> PAGEREF _Toc31757 \h </w:instrText>
        </w:r>
        <w:r>
          <w:fldChar w:fldCharType="separate"/>
        </w:r>
        <w:r>
          <w:t>24</w:t>
        </w:r>
        <w:r>
          <w:fldChar w:fldCharType="end"/>
        </w:r>
      </w:hyperlink>
    </w:p>
    <w:p>
      <w:pPr>
        <w:pStyle w:val="TOC1"/>
        <w:tabs>
          <w:tab w:val="right" w:leader="dot" w:pos="8306"/>
        </w:tabs>
      </w:pPr>
      <w:hyperlink w:anchor="_Toc29445" w:history="1">
        <w:r>
          <w:rPr>
            <w:rFonts w:ascii="仿宋" w:eastAsia="仿宋" w:hAnsi="仿宋" w:cs="仿宋" w:hint="eastAsia"/>
            <w:lang w:eastAsia="zh-CN"/>
          </w:rPr>
          <w:t>七、建筑用木料及加工木材组件项目投资规划</w:t>
        </w:r>
        <w:r>
          <w:tab/>
        </w:r>
        <w:r>
          <w:fldChar w:fldCharType="begin"/>
        </w:r>
        <w:r>
          <w:instrText xml:space="preserve"> PAGEREF _Toc29445 \h </w:instrText>
        </w:r>
        <w:r>
          <w:fldChar w:fldCharType="separate"/>
        </w:r>
        <w:r>
          <w:t>26</w:t>
        </w:r>
        <w:r>
          <w:fldChar w:fldCharType="end"/>
        </w:r>
      </w:hyperlink>
    </w:p>
    <w:p>
      <w:pPr>
        <w:pStyle w:val="TOC2"/>
        <w:tabs>
          <w:tab w:val="right" w:leader="dot" w:pos="8306"/>
        </w:tabs>
      </w:pPr>
      <w:hyperlink w:anchor="_Toc13758" w:history="1">
        <w:r>
          <w:rPr>
            <w:rFonts w:ascii="仿宋" w:eastAsia="仿宋" w:hAnsi="仿宋" w:cs="仿宋" w:hint="eastAsia"/>
            <w:lang w:eastAsia="zh-CN"/>
          </w:rPr>
          <w:t>(一)、建筑用木料及加工木材组件项目总投资估算</w:t>
        </w:r>
        <w:r>
          <w:tab/>
        </w:r>
        <w:r>
          <w:fldChar w:fldCharType="begin"/>
        </w:r>
        <w:r>
          <w:instrText xml:space="preserve"> PAGEREF _Toc13758 \h </w:instrText>
        </w:r>
        <w:r>
          <w:fldChar w:fldCharType="separate"/>
        </w:r>
        <w:r>
          <w:t>26</w:t>
        </w:r>
        <w:r>
          <w:fldChar w:fldCharType="end"/>
        </w:r>
      </w:hyperlink>
    </w:p>
    <w:p>
      <w:pPr>
        <w:pStyle w:val="TOC2"/>
        <w:tabs>
          <w:tab w:val="right" w:leader="dot" w:pos="8306"/>
        </w:tabs>
      </w:pPr>
      <w:hyperlink w:anchor="_Toc2980" w:history="1">
        <w:r>
          <w:rPr>
            <w:rFonts w:ascii="仿宋" w:eastAsia="仿宋" w:hAnsi="仿宋" w:cs="仿宋" w:hint="eastAsia"/>
            <w:lang w:eastAsia="zh-CN"/>
          </w:rPr>
          <w:t>(二)、资金筹措</w:t>
        </w:r>
        <w:r>
          <w:tab/>
        </w:r>
        <w:r>
          <w:fldChar w:fldCharType="begin"/>
        </w:r>
        <w:r>
          <w:instrText xml:space="preserve"> PAGEREF _Toc2980 \h </w:instrText>
        </w:r>
        <w:r>
          <w:fldChar w:fldCharType="separate"/>
        </w:r>
        <w:r>
          <w:t>27</w:t>
        </w:r>
        <w:r>
          <w:fldChar w:fldCharType="end"/>
        </w:r>
      </w:hyperlink>
    </w:p>
    <w:p>
      <w:pPr>
        <w:pStyle w:val="TOC1"/>
        <w:tabs>
          <w:tab w:val="right" w:leader="dot" w:pos="8306"/>
        </w:tabs>
      </w:pPr>
      <w:hyperlink w:anchor="_Toc12534" w:history="1">
        <w:r>
          <w:rPr>
            <w:rFonts w:ascii="仿宋" w:eastAsia="仿宋" w:hAnsi="仿宋" w:cs="仿宋" w:hint="eastAsia"/>
            <w:lang w:eastAsia="zh-CN"/>
          </w:rPr>
          <w:t>八、建筑用木料及加工木材组件项目技术管理</w:t>
        </w:r>
        <w:r>
          <w:tab/>
        </w:r>
        <w:r>
          <w:fldChar w:fldCharType="begin"/>
        </w:r>
        <w:r>
          <w:instrText xml:space="preserve"> PAGEREF _Toc12534 \h </w:instrText>
        </w:r>
        <w:r>
          <w:fldChar w:fldCharType="separate"/>
        </w:r>
        <w:r>
          <w:t>28</w:t>
        </w:r>
        <w:r>
          <w:fldChar w:fldCharType="end"/>
        </w:r>
      </w:hyperlink>
    </w:p>
    <w:p>
      <w:pPr>
        <w:pStyle w:val="TOC2"/>
        <w:tabs>
          <w:tab w:val="right" w:leader="dot" w:pos="8306"/>
        </w:tabs>
      </w:pPr>
      <w:hyperlink w:anchor="_Toc2145" w:history="1">
        <w:r>
          <w:rPr>
            <w:rFonts w:ascii="仿宋" w:eastAsia="仿宋" w:hAnsi="仿宋" w:cs="仿宋" w:hint="eastAsia"/>
            <w:lang w:eastAsia="zh-CN"/>
          </w:rPr>
          <w:t>(一)、技术方案选用方向</w:t>
        </w:r>
        <w:r>
          <w:tab/>
        </w:r>
        <w:r>
          <w:fldChar w:fldCharType="begin"/>
        </w:r>
        <w:r>
          <w:instrText xml:space="preserve"> PAGEREF _Toc2145 \h </w:instrText>
        </w:r>
        <w:r>
          <w:fldChar w:fldCharType="separate"/>
        </w:r>
        <w:r>
          <w:t>28</w:t>
        </w:r>
        <w:r>
          <w:fldChar w:fldCharType="end"/>
        </w:r>
      </w:hyperlink>
    </w:p>
    <w:p>
      <w:pPr>
        <w:pStyle w:val="TOC2"/>
        <w:tabs>
          <w:tab w:val="right" w:leader="dot" w:pos="8306"/>
        </w:tabs>
      </w:pPr>
      <w:hyperlink w:anchor="_Toc13992" w:history="1">
        <w:r>
          <w:rPr>
            <w:rFonts w:ascii="仿宋" w:eastAsia="仿宋" w:hAnsi="仿宋" w:cs="仿宋" w:hint="eastAsia"/>
            <w:lang w:eastAsia="zh-CN"/>
          </w:rPr>
          <w:t>(二)、工艺技术方案选用原则</w:t>
        </w:r>
        <w:r>
          <w:tab/>
        </w:r>
        <w:r>
          <w:fldChar w:fldCharType="begin"/>
        </w:r>
        <w:r>
          <w:instrText xml:space="preserve"> PAGEREF _Toc13992 \h </w:instrText>
        </w:r>
        <w:r>
          <w:fldChar w:fldCharType="separate"/>
        </w:r>
        <w:r>
          <w:t>30</w:t>
        </w:r>
        <w:r>
          <w:fldChar w:fldCharType="end"/>
        </w:r>
      </w:hyperlink>
    </w:p>
    <w:p>
      <w:pPr>
        <w:pStyle w:val="TOC2"/>
        <w:tabs>
          <w:tab w:val="right" w:leader="dot" w:pos="8306"/>
        </w:tabs>
      </w:pPr>
      <w:hyperlink w:anchor="_Toc11821" w:history="1">
        <w:r>
          <w:rPr>
            <w:rFonts w:ascii="仿宋" w:eastAsia="仿宋" w:hAnsi="仿宋" w:cs="仿宋" w:hint="eastAsia"/>
            <w:lang w:eastAsia="zh-CN"/>
          </w:rPr>
          <w:t>(三)、工艺技术方案要求</w:t>
        </w:r>
        <w:r>
          <w:tab/>
        </w:r>
        <w:r>
          <w:fldChar w:fldCharType="begin"/>
        </w:r>
        <w:r>
          <w:instrText xml:space="preserve"> PAGEREF _Toc11821 \h </w:instrText>
        </w:r>
        <w:r>
          <w:fldChar w:fldCharType="separate"/>
        </w:r>
        <w:r>
          <w:t>32</w:t>
        </w:r>
        <w:r>
          <w:fldChar w:fldCharType="end"/>
        </w:r>
      </w:hyperlink>
    </w:p>
    <w:p>
      <w:pPr>
        <w:pStyle w:val="TOC1"/>
        <w:tabs>
          <w:tab w:val="right" w:leader="dot" w:pos="8306"/>
        </w:tabs>
      </w:pPr>
      <w:hyperlink w:anchor="_Toc8385" w:history="1">
        <w:r>
          <w:rPr>
            <w:rFonts w:ascii="仿宋" w:eastAsia="仿宋" w:hAnsi="仿宋" w:cs="仿宋" w:hint="eastAsia"/>
            <w:lang w:eastAsia="zh-CN"/>
          </w:rPr>
          <w:t>九、建筑用木料及加工木材组件项目人力资源培养与发展</w:t>
        </w:r>
        <w:r>
          <w:tab/>
        </w:r>
        <w:r>
          <w:fldChar w:fldCharType="begin"/>
        </w:r>
        <w:r>
          <w:instrText xml:space="preserve"> PAGEREF _Toc8385 \h </w:instrText>
        </w:r>
        <w:r>
          <w:fldChar w:fldCharType="separate"/>
        </w:r>
        <w:r>
          <w:t>34</w:t>
        </w:r>
        <w:r>
          <w:fldChar w:fldCharType="end"/>
        </w:r>
      </w:hyperlink>
    </w:p>
    <w:p>
      <w:pPr>
        <w:pStyle w:val="TOC2"/>
        <w:tabs>
          <w:tab w:val="right" w:leader="dot" w:pos="8306"/>
        </w:tabs>
      </w:pPr>
      <w:hyperlink w:anchor="_Toc23824" w:history="1">
        <w:r>
          <w:rPr>
            <w:rFonts w:ascii="仿宋" w:eastAsia="仿宋" w:hAnsi="仿宋" w:cs="仿宋" w:hint="eastAsia"/>
            <w:lang w:eastAsia="zh-CN"/>
          </w:rPr>
          <w:t>(一)、人才需求与规划</w:t>
        </w:r>
        <w:r>
          <w:tab/>
        </w:r>
        <w:r>
          <w:fldChar w:fldCharType="begin"/>
        </w:r>
        <w:r>
          <w:instrText xml:space="preserve"> PAGEREF _Toc23824 \h </w:instrText>
        </w:r>
        <w:r>
          <w:fldChar w:fldCharType="separate"/>
        </w:r>
        <w:r>
          <w:t>34</w:t>
        </w:r>
        <w:r>
          <w:fldChar w:fldCharType="end"/>
        </w:r>
      </w:hyperlink>
    </w:p>
    <w:p>
      <w:pPr>
        <w:pStyle w:val="TOC2"/>
        <w:tabs>
          <w:tab w:val="right" w:leader="dot" w:pos="8306"/>
        </w:tabs>
      </w:pPr>
      <w:hyperlink w:anchor="_Toc19884" w:history="1">
        <w:r>
          <w:rPr>
            <w:rFonts w:ascii="仿宋" w:eastAsia="仿宋" w:hAnsi="仿宋" w:cs="仿宋" w:hint="eastAsia"/>
            <w:lang w:eastAsia="zh-CN"/>
          </w:rPr>
          <w:t>(二)、培训与发展计划</w:t>
        </w:r>
        <w:r>
          <w:tab/>
        </w:r>
        <w:r>
          <w:fldChar w:fldCharType="begin"/>
        </w:r>
        <w:r>
          <w:instrText xml:space="preserve"> PAGEREF _Toc19884 \h </w:instrText>
        </w:r>
        <w:r>
          <w:fldChar w:fldCharType="separate"/>
        </w:r>
        <w:r>
          <w:t>35</w:t>
        </w:r>
        <w:r>
          <w:fldChar w:fldCharType="end"/>
        </w:r>
      </w:hyperlink>
    </w:p>
    <w:p>
      <w:pPr>
        <w:pStyle w:val="TOC1"/>
        <w:tabs>
          <w:tab w:val="right" w:leader="dot" w:pos="8306"/>
        </w:tabs>
      </w:pPr>
      <w:hyperlink w:anchor="_Toc9772" w:history="1">
        <w:r>
          <w:rPr>
            <w:rFonts w:ascii="仿宋" w:eastAsia="仿宋" w:hAnsi="仿宋" w:cs="仿宋" w:hint="eastAsia"/>
            <w:lang w:eastAsia="zh-CN"/>
          </w:rPr>
          <w:t>十、建筑用木料及加工木材组件项目人力资源管理</w:t>
        </w:r>
        <w:r>
          <w:tab/>
        </w:r>
        <w:r>
          <w:fldChar w:fldCharType="begin"/>
        </w:r>
        <w:r>
          <w:instrText xml:space="preserve"> PAGEREF _Toc9772 \h </w:instrText>
        </w:r>
        <w:r>
          <w:fldChar w:fldCharType="separate"/>
        </w:r>
        <w:r>
          <w:t>35</w:t>
        </w:r>
        <w:r>
          <w:fldChar w:fldCharType="end"/>
        </w:r>
      </w:hyperlink>
    </w:p>
    <w:p>
      <w:pPr>
        <w:pStyle w:val="TOC2"/>
        <w:tabs>
          <w:tab w:val="right" w:leader="dot" w:pos="8306"/>
        </w:tabs>
      </w:pPr>
      <w:hyperlink w:anchor="_Toc3302" w:history="1">
        <w:r>
          <w:rPr>
            <w:rFonts w:ascii="仿宋" w:eastAsia="仿宋" w:hAnsi="仿宋" w:cs="仿宋" w:hint="eastAsia"/>
            <w:lang w:eastAsia="zh-CN"/>
          </w:rPr>
          <w:t>(一)、建立健全的预算管理制度</w:t>
        </w:r>
        <w:r>
          <w:tab/>
        </w:r>
        <w:r>
          <w:fldChar w:fldCharType="begin"/>
        </w:r>
        <w:r>
          <w:instrText xml:space="preserve"> PAGEREF _Toc3302 \h </w:instrText>
        </w:r>
        <w:r>
          <w:fldChar w:fldCharType="separate"/>
        </w:r>
        <w:r>
          <w:t>35</w:t>
        </w:r>
        <w:r>
          <w:fldChar w:fldCharType="end"/>
        </w:r>
      </w:hyperlink>
    </w:p>
    <w:p>
      <w:pPr>
        <w:pStyle w:val="TOC2"/>
        <w:tabs>
          <w:tab w:val="right" w:leader="dot" w:pos="8306"/>
        </w:tabs>
      </w:pPr>
      <w:hyperlink w:anchor="_Toc31352" w:history="1">
        <w:r>
          <w:rPr>
            <w:rFonts w:ascii="仿宋" w:eastAsia="仿宋" w:hAnsi="仿宋" w:cs="仿宋" w:hint="eastAsia"/>
            <w:lang w:eastAsia="zh-CN"/>
          </w:rPr>
          <w:t>(二)、加强资金流动监控</w:t>
        </w:r>
        <w:r>
          <w:tab/>
        </w:r>
        <w:r>
          <w:fldChar w:fldCharType="begin"/>
        </w:r>
        <w:r>
          <w:instrText xml:space="preserve"> PAGEREF _Toc31352 \h </w:instrText>
        </w:r>
        <w:r>
          <w:fldChar w:fldCharType="separate"/>
        </w:r>
        <w:r>
          <w:t>37</w:t>
        </w:r>
        <w:r>
          <w:fldChar w:fldCharType="end"/>
        </w:r>
      </w:hyperlink>
    </w:p>
    <w:p>
      <w:pPr>
        <w:pStyle w:val="TOC2"/>
        <w:tabs>
          <w:tab w:val="right" w:leader="dot" w:pos="8306"/>
        </w:tabs>
      </w:pPr>
      <w:hyperlink w:anchor="_Toc13611" w:history="1">
        <w:r>
          <w:rPr>
            <w:rFonts w:ascii="仿宋" w:eastAsia="仿宋" w:hAnsi="仿宋" w:cs="仿宋" w:hint="eastAsia"/>
            <w:lang w:eastAsia="zh-CN"/>
          </w:rPr>
          <w:t>(三)、制定完善的风险控制机制</w:t>
        </w:r>
        <w:r>
          <w:tab/>
        </w:r>
        <w:r>
          <w:fldChar w:fldCharType="begin"/>
        </w:r>
        <w:r>
          <w:instrText xml:space="preserve"> PAGEREF _Toc13611 \h </w:instrText>
        </w:r>
        <w:r>
          <w:fldChar w:fldCharType="separate"/>
        </w:r>
        <w:r>
          <w:t>38</w:t>
        </w:r>
        <w:r>
          <w:fldChar w:fldCharType="end"/>
        </w:r>
      </w:hyperlink>
    </w:p>
    <w:p>
      <w:pPr>
        <w:pStyle w:val="TOC2"/>
        <w:tabs>
          <w:tab w:val="right" w:leader="dot" w:pos="8306"/>
        </w:tabs>
      </w:pPr>
      <w:hyperlink w:anchor="_Toc200" w:history="1">
        <w:r>
          <w:rPr>
            <w:rFonts w:ascii="仿宋" w:eastAsia="仿宋" w:hAnsi="仿宋" w:cs="仿宋" w:hint="eastAsia"/>
            <w:lang w:eastAsia="zh-CN"/>
          </w:rPr>
          <w:t>(四)、优化成本管理</w:t>
        </w:r>
        <w:r>
          <w:tab/>
        </w:r>
        <w:r>
          <w:fldChar w:fldCharType="begin"/>
        </w:r>
        <w:r>
          <w:instrText xml:space="preserve"> PAGEREF _Toc200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84" w:history="1">
        <w:r>
          <w:rPr>
            <w:rFonts w:ascii="仿宋" w:eastAsia="仿宋" w:hAnsi="仿宋" w:cs="仿宋" w:hint="eastAsia"/>
            <w:lang w:eastAsia="zh-CN"/>
          </w:rPr>
          <w:t>十一、建筑用木料及加工木材组件项目风险管理</w:t>
        </w:r>
        <w:r>
          <w:tab/>
        </w:r>
        <w:r>
          <w:fldChar w:fldCharType="begin"/>
        </w:r>
        <w:r>
          <w:instrText xml:space="preserve"> PAGEREF _Toc22784 \h </w:instrText>
        </w:r>
        <w:r>
          <w:fldChar w:fldCharType="separate"/>
        </w:r>
        <w:r>
          <w:t>42</w:t>
        </w:r>
        <w:r>
          <w:fldChar w:fldCharType="end"/>
        </w:r>
      </w:hyperlink>
    </w:p>
    <w:p>
      <w:pPr>
        <w:pStyle w:val="TOC2"/>
        <w:tabs>
          <w:tab w:val="right" w:leader="dot" w:pos="8306"/>
        </w:tabs>
      </w:pPr>
      <w:hyperlink w:anchor="_Toc21660" w:history="1">
        <w:r>
          <w:rPr>
            <w:rFonts w:ascii="仿宋" w:eastAsia="仿宋" w:hAnsi="仿宋" w:cs="仿宋" w:hint="eastAsia"/>
            <w:lang w:eastAsia="zh-CN"/>
          </w:rPr>
          <w:t>(一)、风险识别与评估</w:t>
        </w:r>
        <w:r>
          <w:tab/>
        </w:r>
        <w:r>
          <w:fldChar w:fldCharType="begin"/>
        </w:r>
        <w:r>
          <w:instrText xml:space="preserve"> PAGEREF _Toc21660 \h </w:instrText>
        </w:r>
        <w:r>
          <w:fldChar w:fldCharType="separate"/>
        </w:r>
        <w:r>
          <w:t>42</w:t>
        </w:r>
        <w:r>
          <w:fldChar w:fldCharType="end"/>
        </w:r>
      </w:hyperlink>
    </w:p>
    <w:p>
      <w:pPr>
        <w:pStyle w:val="TOC2"/>
        <w:tabs>
          <w:tab w:val="right" w:leader="dot" w:pos="8306"/>
        </w:tabs>
      </w:pPr>
      <w:hyperlink w:anchor="_Toc29868" w:history="1">
        <w:r>
          <w:rPr>
            <w:rFonts w:ascii="仿宋" w:eastAsia="仿宋" w:hAnsi="仿宋" w:cs="仿宋" w:hint="eastAsia"/>
            <w:lang w:eastAsia="zh-CN"/>
          </w:rPr>
          <w:t>(二)、风险应对策略</w:t>
        </w:r>
        <w:r>
          <w:tab/>
        </w:r>
        <w:r>
          <w:fldChar w:fldCharType="begin"/>
        </w:r>
        <w:r>
          <w:instrText xml:space="preserve"> PAGEREF _Toc29868 \h </w:instrText>
        </w:r>
        <w:r>
          <w:fldChar w:fldCharType="separate"/>
        </w:r>
        <w:r>
          <w:t>43</w:t>
        </w:r>
        <w:r>
          <w:fldChar w:fldCharType="end"/>
        </w:r>
      </w:hyperlink>
    </w:p>
    <w:p>
      <w:pPr>
        <w:pStyle w:val="TOC2"/>
        <w:tabs>
          <w:tab w:val="right" w:leader="dot" w:pos="8306"/>
        </w:tabs>
      </w:pPr>
      <w:hyperlink w:anchor="_Toc15555" w:history="1">
        <w:r>
          <w:rPr>
            <w:rFonts w:ascii="仿宋" w:eastAsia="仿宋" w:hAnsi="仿宋" w:cs="仿宋" w:hint="eastAsia"/>
            <w:lang w:eastAsia="zh-CN"/>
          </w:rPr>
          <w:t>(三)、风险监控与控制</w:t>
        </w:r>
        <w:r>
          <w:tab/>
        </w:r>
        <w:r>
          <w:fldChar w:fldCharType="begin"/>
        </w:r>
        <w:r>
          <w:instrText xml:space="preserve"> PAGEREF _Toc15555 \h </w:instrText>
        </w:r>
        <w:r>
          <w:fldChar w:fldCharType="separate"/>
        </w:r>
        <w:r>
          <w:t>45</w:t>
        </w:r>
        <w:r>
          <w:fldChar w:fldCharType="end"/>
        </w:r>
      </w:hyperlink>
    </w:p>
    <w:p>
      <w:pPr>
        <w:pStyle w:val="TOC1"/>
        <w:tabs>
          <w:tab w:val="right" w:leader="dot" w:pos="8306"/>
        </w:tabs>
      </w:pPr>
      <w:hyperlink w:anchor="_Toc2268" w:history="1">
        <w:r>
          <w:rPr>
            <w:rFonts w:ascii="仿宋" w:eastAsia="仿宋" w:hAnsi="仿宋" w:cs="仿宋" w:hint="eastAsia"/>
            <w:lang w:eastAsia="zh-CN"/>
          </w:rPr>
          <w:t>十二、建筑用木料及加工木材组件项目社会影响</w:t>
        </w:r>
        <w:r>
          <w:tab/>
        </w:r>
        <w:r>
          <w:fldChar w:fldCharType="begin"/>
        </w:r>
        <w:r>
          <w:instrText xml:space="preserve"> PAGEREF _Toc2268 \h </w:instrText>
        </w:r>
        <w:r>
          <w:fldChar w:fldCharType="separate"/>
        </w:r>
        <w:r>
          <w:t>46</w:t>
        </w:r>
        <w:r>
          <w:fldChar w:fldCharType="end"/>
        </w:r>
      </w:hyperlink>
    </w:p>
    <w:p>
      <w:pPr>
        <w:pStyle w:val="TOC2"/>
        <w:tabs>
          <w:tab w:val="right" w:leader="dot" w:pos="8306"/>
        </w:tabs>
      </w:pPr>
      <w:hyperlink w:anchor="_Toc8163" w:history="1">
        <w:r>
          <w:rPr>
            <w:rFonts w:ascii="仿宋" w:eastAsia="仿宋" w:hAnsi="仿宋" w:cs="仿宋" w:hint="eastAsia"/>
            <w:lang w:eastAsia="zh-CN"/>
          </w:rPr>
          <w:t>(一)、社会责任与义务</w:t>
        </w:r>
        <w:r>
          <w:tab/>
        </w:r>
        <w:r>
          <w:fldChar w:fldCharType="begin"/>
        </w:r>
        <w:r>
          <w:instrText xml:space="preserve"> PAGEREF _Toc8163 \h </w:instrText>
        </w:r>
        <w:r>
          <w:fldChar w:fldCharType="separate"/>
        </w:r>
        <w:r>
          <w:t>46</w:t>
        </w:r>
        <w:r>
          <w:fldChar w:fldCharType="end"/>
        </w:r>
      </w:hyperlink>
    </w:p>
    <w:p>
      <w:pPr>
        <w:pStyle w:val="TOC2"/>
        <w:tabs>
          <w:tab w:val="right" w:leader="dot" w:pos="8306"/>
        </w:tabs>
      </w:pPr>
      <w:hyperlink w:anchor="_Toc28552" w:history="1">
        <w:r>
          <w:rPr>
            <w:rFonts w:ascii="仿宋" w:eastAsia="仿宋" w:hAnsi="仿宋" w:cs="仿宋" w:hint="eastAsia"/>
            <w:lang w:eastAsia="zh-CN"/>
          </w:rPr>
          <w:t>(二)、社会参与与沟通</w:t>
        </w:r>
        <w:r>
          <w:tab/>
        </w:r>
        <w:r>
          <w:fldChar w:fldCharType="begin"/>
        </w:r>
        <w:r>
          <w:instrText xml:space="preserve"> PAGEREF _Toc28552 \h </w:instrText>
        </w:r>
        <w:r>
          <w:fldChar w:fldCharType="separate"/>
        </w:r>
        <w:r>
          <w:t>47</w:t>
        </w:r>
        <w:r>
          <w:fldChar w:fldCharType="end"/>
        </w:r>
      </w:hyperlink>
    </w:p>
    <w:p>
      <w:pPr>
        <w:pStyle w:val="TOC1"/>
        <w:tabs>
          <w:tab w:val="right" w:leader="dot" w:pos="8306"/>
        </w:tabs>
      </w:pPr>
      <w:hyperlink w:anchor="_Toc28250" w:history="1">
        <w:r>
          <w:rPr>
            <w:rFonts w:ascii="仿宋" w:eastAsia="仿宋" w:hAnsi="仿宋" w:cs="仿宋" w:hint="eastAsia"/>
            <w:lang w:eastAsia="zh-CN"/>
          </w:rPr>
          <w:t>十三、建筑用木料及加工木材组件项目工程方案分析</w:t>
        </w:r>
        <w:r>
          <w:tab/>
        </w:r>
        <w:r>
          <w:fldChar w:fldCharType="begin"/>
        </w:r>
        <w:r>
          <w:instrText xml:space="preserve"> PAGEREF _Toc28250 \h </w:instrText>
        </w:r>
        <w:r>
          <w:fldChar w:fldCharType="separate"/>
        </w:r>
        <w:r>
          <w:t>48</w:t>
        </w:r>
        <w:r>
          <w:fldChar w:fldCharType="end"/>
        </w:r>
      </w:hyperlink>
    </w:p>
    <w:p>
      <w:pPr>
        <w:pStyle w:val="TOC2"/>
        <w:tabs>
          <w:tab w:val="right" w:leader="dot" w:pos="8306"/>
        </w:tabs>
      </w:pPr>
      <w:hyperlink w:anchor="_Toc25808" w:history="1">
        <w:r>
          <w:rPr>
            <w:rFonts w:ascii="仿宋" w:eastAsia="仿宋" w:hAnsi="仿宋" w:cs="仿宋" w:hint="eastAsia"/>
            <w:lang w:eastAsia="zh-CN"/>
          </w:rPr>
          <w:t>(一)、建筑工程设计原则</w:t>
        </w:r>
        <w:r>
          <w:tab/>
        </w:r>
        <w:r>
          <w:fldChar w:fldCharType="begin"/>
        </w:r>
        <w:r>
          <w:instrText xml:space="preserve"> PAGEREF _Toc25808 \h </w:instrText>
        </w:r>
        <w:r>
          <w:fldChar w:fldCharType="separate"/>
        </w:r>
        <w:r>
          <w:t>48</w:t>
        </w:r>
        <w:r>
          <w:fldChar w:fldCharType="end"/>
        </w:r>
      </w:hyperlink>
    </w:p>
    <w:p>
      <w:pPr>
        <w:pStyle w:val="TOC2"/>
        <w:tabs>
          <w:tab w:val="right" w:leader="dot" w:pos="8306"/>
        </w:tabs>
      </w:pPr>
      <w:hyperlink w:anchor="_Toc13339" w:history="1">
        <w:r>
          <w:rPr>
            <w:rFonts w:ascii="仿宋" w:eastAsia="仿宋" w:hAnsi="仿宋" w:cs="仿宋" w:hint="eastAsia"/>
            <w:lang w:eastAsia="zh-CN"/>
          </w:rPr>
          <w:t>(二)、土建工程建设指标</w:t>
        </w:r>
        <w:r>
          <w:tab/>
        </w:r>
        <w:r>
          <w:fldChar w:fldCharType="begin"/>
        </w:r>
        <w:r>
          <w:instrText xml:space="preserve"> PAGEREF _Toc13339 \h </w:instrText>
        </w:r>
        <w:r>
          <w:fldChar w:fldCharType="separate"/>
        </w:r>
        <w:r>
          <w:t>51</w:t>
        </w:r>
        <w:r>
          <w:fldChar w:fldCharType="end"/>
        </w:r>
      </w:hyperlink>
    </w:p>
    <w:p>
      <w:pPr>
        <w:pStyle w:val="TOC1"/>
        <w:tabs>
          <w:tab w:val="right" w:leader="dot" w:pos="8306"/>
        </w:tabs>
      </w:pPr>
      <w:hyperlink w:anchor="_Toc19430" w:history="1">
        <w:r>
          <w:rPr>
            <w:rFonts w:ascii="仿宋" w:eastAsia="仿宋" w:hAnsi="仿宋" w:cs="仿宋" w:hint="eastAsia"/>
            <w:lang w:eastAsia="zh-CN"/>
          </w:rPr>
          <w:t>十四、质量管理体系</w:t>
        </w:r>
        <w:r>
          <w:tab/>
        </w:r>
        <w:r>
          <w:fldChar w:fldCharType="begin"/>
        </w:r>
        <w:r>
          <w:instrText xml:space="preserve"> PAGEREF _Toc19430 \h </w:instrText>
        </w:r>
        <w:r>
          <w:fldChar w:fldCharType="separate"/>
        </w:r>
        <w:r>
          <w:t>53</w:t>
        </w:r>
        <w:r>
          <w:fldChar w:fldCharType="end"/>
        </w:r>
      </w:hyperlink>
    </w:p>
    <w:p>
      <w:pPr>
        <w:pStyle w:val="TOC2"/>
        <w:tabs>
          <w:tab w:val="right" w:leader="dot" w:pos="8306"/>
        </w:tabs>
      </w:pPr>
      <w:hyperlink w:anchor="_Toc23149" w:history="1">
        <w:r>
          <w:rPr>
            <w:rFonts w:ascii="仿宋" w:eastAsia="仿宋" w:hAnsi="仿宋" w:cs="仿宋" w:hint="eastAsia"/>
            <w:lang w:eastAsia="zh-CN"/>
          </w:rPr>
          <w:t>(一)、质量目标与方针</w:t>
        </w:r>
        <w:r>
          <w:tab/>
        </w:r>
        <w:r>
          <w:fldChar w:fldCharType="begin"/>
        </w:r>
        <w:r>
          <w:instrText xml:space="preserve"> PAGEREF _Toc23149 \h </w:instrText>
        </w:r>
        <w:r>
          <w:fldChar w:fldCharType="separate"/>
        </w:r>
        <w:r>
          <w:t>53</w:t>
        </w:r>
        <w:r>
          <w:fldChar w:fldCharType="end"/>
        </w:r>
      </w:hyperlink>
    </w:p>
    <w:p>
      <w:pPr>
        <w:pStyle w:val="TOC2"/>
        <w:tabs>
          <w:tab w:val="right" w:leader="dot" w:pos="8306"/>
        </w:tabs>
      </w:pPr>
      <w:hyperlink w:anchor="_Toc14414" w:history="1">
        <w:r>
          <w:rPr>
            <w:rFonts w:ascii="仿宋" w:eastAsia="仿宋" w:hAnsi="仿宋" w:cs="仿宋" w:hint="eastAsia"/>
            <w:lang w:eastAsia="zh-CN"/>
          </w:rPr>
          <w:t>(二)、质量管理责任</w:t>
        </w:r>
        <w:r>
          <w:tab/>
        </w:r>
        <w:r>
          <w:fldChar w:fldCharType="begin"/>
        </w:r>
        <w:r>
          <w:instrText xml:space="preserve"> PAGEREF _Toc14414 \h </w:instrText>
        </w:r>
        <w:r>
          <w:fldChar w:fldCharType="separate"/>
        </w:r>
        <w:r>
          <w:t>54</w:t>
        </w:r>
        <w:r>
          <w:fldChar w:fldCharType="end"/>
        </w:r>
      </w:hyperlink>
    </w:p>
    <w:p>
      <w:pPr>
        <w:pStyle w:val="TOC2"/>
        <w:tabs>
          <w:tab w:val="right" w:leader="dot" w:pos="8306"/>
        </w:tabs>
      </w:pPr>
      <w:hyperlink w:anchor="_Toc8381" w:history="1">
        <w:r>
          <w:rPr>
            <w:rFonts w:ascii="仿宋" w:eastAsia="仿宋" w:hAnsi="仿宋" w:cs="仿宋" w:hint="eastAsia"/>
            <w:lang w:eastAsia="zh-CN"/>
          </w:rPr>
          <w:t>(三)、质量管理体系文件</w:t>
        </w:r>
        <w:r>
          <w:tab/>
        </w:r>
        <w:r>
          <w:fldChar w:fldCharType="begin"/>
        </w:r>
        <w:r>
          <w:instrText xml:space="preserve"> PAGEREF _Toc8381 \h </w:instrText>
        </w:r>
        <w:r>
          <w:fldChar w:fldCharType="separate"/>
        </w:r>
        <w:r>
          <w:t>55</w:t>
        </w:r>
        <w:r>
          <w:fldChar w:fldCharType="end"/>
        </w:r>
      </w:hyperlink>
    </w:p>
    <w:p>
      <w:pPr>
        <w:pStyle w:val="TOC2"/>
        <w:tabs>
          <w:tab w:val="right" w:leader="dot" w:pos="8306"/>
        </w:tabs>
      </w:pPr>
      <w:hyperlink w:anchor="_Toc17898" w:history="1">
        <w:r>
          <w:rPr>
            <w:rFonts w:ascii="仿宋" w:eastAsia="仿宋" w:hAnsi="仿宋" w:cs="仿宋" w:hint="eastAsia"/>
            <w:lang w:eastAsia="zh-CN"/>
          </w:rPr>
          <w:t>(四)、质量培训与教育</w:t>
        </w:r>
        <w:r>
          <w:tab/>
        </w:r>
        <w:r>
          <w:fldChar w:fldCharType="begin"/>
        </w:r>
        <w:r>
          <w:instrText xml:space="preserve"> PAGEREF _Toc17898 \h </w:instrText>
        </w:r>
        <w:r>
          <w:fldChar w:fldCharType="separate"/>
        </w:r>
        <w:r>
          <w:t>58</w:t>
        </w:r>
        <w:r>
          <w:fldChar w:fldCharType="end"/>
        </w:r>
      </w:hyperlink>
    </w:p>
    <w:p>
      <w:pPr>
        <w:pStyle w:val="TOC2"/>
        <w:tabs>
          <w:tab w:val="right" w:leader="dot" w:pos="8306"/>
        </w:tabs>
      </w:pPr>
      <w:hyperlink w:anchor="_Toc19680" w:history="1">
        <w:r>
          <w:rPr>
            <w:rFonts w:ascii="仿宋" w:eastAsia="仿宋" w:hAnsi="仿宋" w:cs="仿宋" w:hint="eastAsia"/>
            <w:lang w:eastAsia="zh-CN"/>
          </w:rPr>
          <w:t>(五)、质量审核与评价</w:t>
        </w:r>
        <w:r>
          <w:tab/>
        </w:r>
        <w:r>
          <w:fldChar w:fldCharType="begin"/>
        </w:r>
        <w:r>
          <w:instrText xml:space="preserve"> PAGEREF _Toc19680 \h </w:instrText>
        </w:r>
        <w:r>
          <w:fldChar w:fldCharType="separate"/>
        </w:r>
        <w:r>
          <w:t>59</w:t>
        </w:r>
        <w:r>
          <w:fldChar w:fldCharType="end"/>
        </w:r>
      </w:hyperlink>
    </w:p>
    <w:p>
      <w:pPr>
        <w:pStyle w:val="TOC2"/>
        <w:tabs>
          <w:tab w:val="right" w:leader="dot" w:pos="8306"/>
        </w:tabs>
      </w:pPr>
      <w:hyperlink w:anchor="_Toc24248" w:history="1">
        <w:r>
          <w:rPr>
            <w:rFonts w:ascii="仿宋" w:eastAsia="仿宋" w:hAnsi="仿宋" w:cs="仿宋" w:hint="eastAsia"/>
            <w:lang w:eastAsia="zh-CN"/>
          </w:rPr>
          <w:t>(六)、不符合与纠正措施</w:t>
        </w:r>
        <w:r>
          <w:tab/>
        </w:r>
        <w:r>
          <w:fldChar w:fldCharType="begin"/>
        </w:r>
        <w:r>
          <w:instrText xml:space="preserve"> PAGEREF _Toc24248 \h </w:instrText>
        </w:r>
        <w:r>
          <w:fldChar w:fldCharType="separate"/>
        </w:r>
        <w:r>
          <w:t>60</w:t>
        </w:r>
        <w:r>
          <w:fldChar w:fldCharType="end"/>
        </w:r>
      </w:hyperlink>
    </w:p>
    <w:p>
      <w:pPr>
        <w:pStyle w:val="TOC1"/>
        <w:tabs>
          <w:tab w:val="right" w:leader="dot" w:pos="8306"/>
        </w:tabs>
      </w:pPr>
      <w:hyperlink w:anchor="_Toc22131" w:history="1">
        <w:r>
          <w:rPr>
            <w:rFonts w:ascii="仿宋" w:eastAsia="仿宋" w:hAnsi="仿宋" w:cs="仿宋" w:hint="eastAsia"/>
            <w:lang w:eastAsia="zh-CN"/>
          </w:rPr>
          <w:t>十五、风险识别与分类</w:t>
        </w:r>
        <w:r>
          <w:tab/>
        </w:r>
        <w:r>
          <w:fldChar w:fldCharType="begin"/>
        </w:r>
        <w:r>
          <w:instrText xml:space="preserve"> PAGEREF _Toc22131 \h </w:instrText>
        </w:r>
        <w:r>
          <w:fldChar w:fldCharType="separate"/>
        </w:r>
        <w:r>
          <w:t>61</w:t>
        </w:r>
        <w:r>
          <w:fldChar w:fldCharType="end"/>
        </w:r>
      </w:hyperlink>
    </w:p>
    <w:p>
      <w:pPr>
        <w:pStyle w:val="TOC2"/>
        <w:tabs>
          <w:tab w:val="right" w:leader="dot" w:pos="8306"/>
        </w:tabs>
      </w:pPr>
      <w:hyperlink w:anchor="_Toc17194" w:history="1">
        <w:r>
          <w:rPr>
            <w:rFonts w:ascii="仿宋" w:eastAsia="仿宋" w:hAnsi="仿宋" w:cs="仿宋" w:hint="eastAsia"/>
            <w:lang w:eastAsia="zh-CN"/>
          </w:rPr>
          <w:t>(一)、风险识别</w:t>
        </w:r>
        <w:r>
          <w:tab/>
        </w:r>
        <w:r>
          <w:fldChar w:fldCharType="begin"/>
        </w:r>
        <w:r>
          <w:instrText xml:space="preserve"> PAGEREF _Toc17194 \h </w:instrText>
        </w:r>
        <w:r>
          <w:fldChar w:fldCharType="separate"/>
        </w:r>
        <w:r>
          <w:t>61</w:t>
        </w:r>
        <w:r>
          <w:fldChar w:fldCharType="end"/>
        </w:r>
      </w:hyperlink>
    </w:p>
    <w:p>
      <w:pPr>
        <w:pStyle w:val="TOC2"/>
        <w:tabs>
          <w:tab w:val="right" w:leader="dot" w:pos="8306"/>
        </w:tabs>
      </w:pPr>
      <w:hyperlink w:anchor="_Toc11841" w:history="1">
        <w:r>
          <w:rPr>
            <w:rFonts w:ascii="仿宋" w:eastAsia="仿宋" w:hAnsi="仿宋" w:cs="仿宋" w:hint="eastAsia"/>
            <w:lang w:eastAsia="zh-CN"/>
          </w:rPr>
          <w:t>(二)、风险分类</w:t>
        </w:r>
        <w:r>
          <w:tab/>
        </w:r>
        <w:r>
          <w:fldChar w:fldCharType="begin"/>
        </w:r>
        <w:r>
          <w:instrText xml:space="preserve"> PAGEREF _Toc11841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599"/>
      <w:r>
        <w:rPr>
          <w:rFonts w:ascii="仿宋" w:eastAsia="仿宋" w:hAnsi="仿宋" w:cs="仿宋" w:hint="eastAsia"/>
          <w:sz w:val="28"/>
          <w:lang w:eastAsia="zh-CN"/>
        </w:rPr>
        <w:t>一、建筑用木料及加工木材组件项目建设单位说明</w:t>
      </w:r>
      <w:bookmarkEnd w:id="2"/>
    </w:p>
    <w:p>
      <w:pPr>
        <w:pStyle w:val="Heading2"/>
        <w:rPr>
          <w:rFonts w:ascii="仿宋" w:eastAsia="仿宋" w:hAnsi="仿宋" w:cs="仿宋" w:hint="eastAsia"/>
          <w:lang w:eastAsia="zh-CN"/>
        </w:rPr>
      </w:pPr>
      <w:bookmarkStart w:id="3" w:name="_Toc28096"/>
      <w:r>
        <w:rPr>
          <w:rFonts w:ascii="仿宋" w:eastAsia="仿宋" w:hAnsi="仿宋" w:cs="仿宋" w:hint="eastAsia"/>
          <w:lang w:eastAsia="zh-CN"/>
        </w:rPr>
        <w:t>(一)、建筑用木料及加工木材组件项目承办单位基本情况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51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建筑用木料及加工木材组件项目承办单位的XXXX，我们着眼于实现可持续的经济效益。通过技术创新和解决方案的提供，公司预计在建筑用木料及加工木材组件项目执行期间将获得可观的收入增长。这一收入来源主要包括建筑用木料及加工木材组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同时，我们注重成本控制和效率提升，以确保建筑用木料及加工木材组件项目的可持续盈利。透过精细的管理和资源优化，公司期望实现建筑用木料及加工木材组件项目利润最大化。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建筑用木料及加工木材组件项目实施进行全面的投资评估，包括建筑用木料及加工木材组件项目启动阶段的资金投入和后续运营成本。通过对建筑用木料及加工木材组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建筑用木料及加工木材组件项目实施过程中具备足够的资金流动性，公司将进行详尽的现金流分析。这包括资金需求的合理预测、建筑用木料及加工木材组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93"/>
      <w:r>
        <w:rPr>
          <w:rFonts w:ascii="仿宋" w:eastAsia="仿宋" w:hAnsi="仿宋" w:cs="仿宋" w:hint="eastAsia"/>
          <w:sz w:val="28"/>
          <w:lang w:eastAsia="zh-CN"/>
        </w:rPr>
        <w:t>二、建筑用木料及加工木材组件项目概论</w:t>
      </w:r>
      <w:bookmarkEnd w:id="5"/>
    </w:p>
    <w:p>
      <w:pPr>
        <w:pStyle w:val="Heading2"/>
        <w:rPr>
          <w:rFonts w:ascii="仿宋" w:eastAsia="仿宋" w:hAnsi="仿宋" w:cs="仿宋" w:hint="eastAsia"/>
          <w:lang w:eastAsia="zh-CN"/>
        </w:rPr>
      </w:pPr>
      <w:bookmarkStart w:id="6" w:name="_Toc21153"/>
      <w:r>
        <w:rPr>
          <w:rFonts w:ascii="仿宋" w:eastAsia="仿宋" w:hAnsi="仿宋" w:cs="仿宋" w:hint="eastAsia"/>
          <w:lang w:eastAsia="zh-CN"/>
        </w:rPr>
        <w:t>(一)、建筑用木料及加工木材组件项目概况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木料及加工木材组件项目的起源追溯至对市场的深入洞察。市场的不断演变与变革为建筑用木料及加工木材组件项目提供了难得的机遇。当前市场存在的需求缺口和变革的大环境共同构成了建筑用木料及加工木材组件项目的背景。这个建筑用木料及加工木材组件项目旨在充分利用市场机遇，填补行业中尚未满足的需求，为客户提供全新的解决方案。市场的变革和需求的增长使得这个建筑用木料及加工木材组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建筑用木料及加工木材组件项目名称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木料及加工木材组件项目正式命名为建筑用木料及加工木材组件。这个名称不仅仅是一个标识，更代表了建筑用木料及加工木材组件项目的核心理念和愿景。它蕴含着建筑用木料及加工木材组件项目所要解决问题的关键字，具有强烈的表达和辨识度，为建筑用木料及加工木材组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建筑用木料及加工木材组件项目目标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木料及加工木材组件项目的核心目标是提供一种全新、高效的解决方案，满足客户日益增长的需求。建筑用木料及加工木材组件项目追求的不仅仅是满足市场需求，更是在市场中获得卓越的竞争优势。通过不断提升产品或服务的质量和创新水平，建筑用木料及加工木材组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建筑用木料及加工木材组件项目范围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木料及加工木材组件项目全面涵盖了产品研发、制造、市场推广和售后服务，确保从产品设计到最终用户体验的全方位关注。这一全面的建筑用木料及加工木材组件项目范围是为了确保建筑用木料及加工木材组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建筑用木料及加工木材组件项目时间表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木料及加工木材组件项目计划在未来18个月内完成，包括研发、测试、市场试点和正式推出等不同阶段。这个时间表的合理设计是为了确保建筑用木料及加工木材组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建筑用木料及加工木材组件项目预算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木料及加工木材组件项目总预算估算为XX百万美元，主要分配在研发、市场推广、人员培训和运营等方面。这一充足的预算为建筑用木料及加工木材组件项目提供了充足的资源，确保建筑用木料及加工木材组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建筑用木料及加工木材组件项目风险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用木料及加工木材组件项目可能面临的风险包括市场接受度低、技术难题、竞争激烈等。建筑用木料及加工木材组件项目团队已经制定了相应的风险应对计划，通过前瞻性的风险管理，确保建筑用木料及加工木材组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建筑用木料及加工木材组件项目团队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木料及加工木材组件项目汇聚了一支经验丰富、多领域专业素养的核心团队，确保建筑用木料及加工木材组件项目在各个方面都能拥有高水平的执行力。团队的协同作战是建筑用木料及加工木材组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建筑用木料及加工木材组件项目背景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建筑用木料及加工木材组件项目的背景根植于市场对更高效、创新产品的渴望，同时也受到科技发展对行业格局的深刻改变的影响。这为建筑用木料及加工木材组件项目提供了广阔的发展空间和市场需求。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建筑用木料及加工木材组件项目现状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截至目前，建筑用木料及加工木材组件项目已完成市场调研和技术验证，取得了初步的成功。这为建筑用木料及加工木材组件项目在未来的发展奠定了坚实的基础，为更远大的目标打下了坚实的基石。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7426"/>
      <w:r>
        <w:rPr>
          <w:rFonts w:ascii="仿宋" w:eastAsia="仿宋" w:hAnsi="仿宋" w:cs="仿宋" w:hint="eastAsia"/>
          <w:sz w:val="28"/>
          <w:lang w:eastAsia="zh-CN"/>
        </w:rPr>
        <w:t>(二)、建筑用木料及加工木材组件项目目标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建筑用木料及加工木材组件项目首要业务目标是在市场中占据有利地位，实现产品/服务的成功推广和销售。通过不断提升产品质量、创新性，建筑用木料及加工木材组件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建筑用木料及加工木材组件项目着眼于技术创新。通过持续的研发和技术升级，建筑用木料及加工木材组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建筑用木料及加工木材组件项目设定了客户满意度目标。通过提供卓越的产品质量和优质的客户服务，建筑用木料及加工木材组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木料及加工木材组件项目注重社会责任和可持续发展。通过实施环保、社会责任建筑用木料及加工木材组件项目，建筑用木料及加工木材组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建筑用木料及加工木材组件项目的团队是实现目标的核心驱动力。因此，建筑用木料及加工木材组件项目设定了团队发展目标，包括提升团队成员的专业技能、培养领导力，以及搭建协同高效的团队工作氛围。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4434"/>
      <w:r>
        <w:rPr>
          <w:rFonts w:ascii="仿宋" w:eastAsia="仿宋" w:hAnsi="仿宋" w:cs="仿宋" w:hint="eastAsia"/>
          <w:sz w:val="28"/>
          <w:lang w:eastAsia="zh-CN"/>
        </w:rPr>
        <w:t>(三)、建筑用木料及加工木材组件项目提出的理由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建筑用木料及加工木材组件项目提出的理由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用木料及加工木材组件项目的提出源于对市场机遇的深刻洞察。当前市场中存在的需求缺口和行业发展趋势表明，有巨大的商业机会等待被开发。通过准确捕捉市场机遇，建筑用木料及加工木材组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木料及加工木材组件项目的理念基于对技术创新的信仰。通过持续的研发和技术投入，建筑用木料及加工木材组件项目有望推出更具创新性的产品或服务。在科技飞速发展的当下，建筑用木料及加工木材组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木料及加工木材组件项目的提出是为了增强企业的行业竞争力。通过提升产品或服务的质量和独特性，建筑用木料及加工木材组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木料及加工木材组件项目响应了消费者需求的变化。随着社会和科技的不断发展，消费者对产品和服务的需求也在发生变化。通过深入了解并及时回应消费者的新需求，建筑用木料及加工木材组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用木料及加工木材组件项目的提出是企业战略发展规划的一部分。在面对日益激烈的市场竞争和不断变化的商业环境中，建筑用木料及加工木材组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木料及加工木材组件项目的提出不仅仅是基于商业考量，还注重社会责任。通过推出环保、社会责任等方面的建筑用木料及加工木材组件项目，建筑用木料及加工木材组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木料及加工木材组件项目的提出反映了对利益相关者期望的关注。包括客户、员工、投资者等利益相关者在企业发展中都有着各自的期望，建筑用木料及加工木材组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5770"/>
      <w:r>
        <w:rPr>
          <w:rFonts w:ascii="仿宋" w:eastAsia="仿宋" w:hAnsi="仿宋" w:cs="仿宋" w:hint="eastAsia"/>
          <w:sz w:val="28"/>
          <w:lang w:eastAsia="zh-CN"/>
        </w:rPr>
        <w:t>(四)、建筑用木料及加工木材组件项目意义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在实施建筑用木料及加工木材组件项目的过程中，我们不仅仅是在追逐商业成功，更是为企业和社会的多个层面创造了深远的意义。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木料及加工木材组件项目的首要意义在于提升企业的市场竞争力。通过持续的创新和对产品质量的高标准要求，建筑用木料及加工木材组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筑用木料及加工木材组件项目的推进将促使行业技术水平的提升。通过引入先进技术和创新性解决方案，建筑用木料及加工木材组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建筑用木料及加工木材组件项目不仅创造了大量就业机会，提高了就业水平，还注重社会责任和环保。通过参与社会公益事业和推动环保建筑用木料及加工木材组件项目，建筑用木料及加工木材组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综合而言，建筑用木料及加工木材组件项目意义重大，不仅推动了企业的发展，也为行业和社会的进步贡献了积极力量。这是一个全面而深刻的影响，将在未来产生可持续的正面效应。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3243"/>
      <w:r>
        <w:rPr>
          <w:rFonts w:ascii="仿宋" w:eastAsia="仿宋" w:hAnsi="仿宋" w:cs="仿宋" w:hint="eastAsia"/>
          <w:sz w:val="28"/>
          <w:lang w:eastAsia="zh-CN"/>
        </w:rPr>
        <w:t>(五)、建筑用木料及加工木材组件项目背景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在当今迅猛发展的商业环境中，建筑用木料及加工木材组件项目的动因根植于对多方面因素的审慎考量。这个建筑用木料及加工木材组件项目的提出并非孤立的决策，而是对企业所处背景深入思考的产物。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建筑用木料及加工木材组件项目背后的首要原因。科技的迅速发展和全球市场的快速变化使得企业必须灵活应对。建筑用木料及加工木材组件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建筑用木料及加工木材组件项目背景中不可忽视的一环。企业需要在激烈竞争中脱颖而出，为此，建筑用木料及加工木材组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技术的迅速发展为企业带来了机遇与挑战。作为建筑用木料及加工木材组件项目启动的背景之一，对新兴技术的应用将有助于提升企业的技术水平，使其在不断演进的商业环境中保持竞争优势。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建筑用木料及加工木材组件项目充分融入了社会责任的理念，通过可持续经营和社会公益建筑用木料及加工木材组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5838"/>
      <w:r>
        <w:rPr>
          <w:rFonts w:ascii="仿宋" w:eastAsia="仿宋" w:hAnsi="仿宋" w:cs="仿宋" w:hint="eastAsia"/>
          <w:sz w:val="28"/>
          <w:lang w:eastAsia="zh-CN"/>
        </w:rPr>
        <w:t>三、建筑用木料及加工木材组件项目选址可行性分析</w:t>
      </w:r>
      <w:bookmarkEnd w:id="11"/>
    </w:p>
    <w:p>
      <w:pPr>
        <w:pStyle w:val="Heading2"/>
        <w:rPr>
          <w:rFonts w:ascii="仿宋" w:eastAsia="仿宋" w:hAnsi="仿宋" w:cs="仿宋" w:hint="eastAsia"/>
          <w:lang w:eastAsia="zh-CN"/>
        </w:rPr>
      </w:pPr>
      <w:bookmarkStart w:id="12" w:name="_Toc10403"/>
      <w:r>
        <w:rPr>
          <w:rFonts w:ascii="仿宋" w:eastAsia="仿宋" w:hAnsi="仿宋" w:cs="仿宋" w:hint="eastAsia"/>
          <w:lang w:eastAsia="zh-CN"/>
        </w:rPr>
        <w:t>(一)、建筑用木料及加工木材组件项目选址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该建筑用木料及加工木材组件项目选址位于XX省XX市XX区XXX街道</w:t>
      </w:r>
    </w:p>
    <w:p>
      <w:pPr>
        <w:pStyle w:val="Heading2"/>
        <w:ind w:firstLine="560" w:firstLineChars="200"/>
        <w:rPr>
          <w:rFonts w:ascii="仿宋" w:eastAsia="仿宋" w:hAnsi="仿宋" w:cs="仿宋" w:hint="eastAsia"/>
          <w:sz w:val="28"/>
          <w:lang w:eastAsia="zh-CN"/>
        </w:rPr>
      </w:pPr>
      <w:bookmarkStart w:id="13" w:name="_Toc26"/>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建筑用木料及加工木材组件项目的征地面积将根据建筑用木料及加工木材组件项目的实际规模和需求进行精确规划。具体面积XXX平方米，旨在确保建筑用木料及加工木材组件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净用地面积是在征地面积基础上去除不可利用面积后的实际可开发用地。具体面积XXX平方米，考虑到环保、交通、安全等多方面因素，以确保建筑用木料及加工木材组件项目在整体利用效率上达到最优。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建筑用木料及加工木材组件项目计划建设的建筑总规模具体面积XXX平方米。这一规模的确定综合考虑了建筑用木料及加工木材组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绿地率是建筑用木料及加工木材组件项目用地中被规划为绿地的比例。具体面积XXX平方米，旨在通过合理规划绿地，改善建筑用木料及加工木材组件项目周边环境，提升居民生活质量，并符合城市整体绿化规划。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容积率是用地上可以建设的建筑总体积与用地面积之比。具体面积XXX，通过合理的容积率规划，确保建筑用木料及加工木材组件项目建筑规模与周边环境和谐共生。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建筑用木料及加工木材组件项目选址与当地城市规划相一致，具体面积XXX平方米。通过与城市规划部门深入沟通，确保建筑用木料及加工木材组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产业政策符合性： 充分了解并确保建筑用木料及加工木材组件项目选址符合当地产业政策，具体面积XXX平方米。这包括建筑用木料及加工木材组件项目对当地经济的促进作用，以及对相关产业的带动效应，确保建筑用木料及加工木材组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建筑用木料及加工木材组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确保建筑用木料及加工木材组件项目选址具备必要的公共设施配套，具体面积XXX平方米。这包括交通便利性、教育、医疗等基础设施，以提高居民生活品质，使得建筑用木料及加工木材组件项目选址更具吸引力。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考虑用地总体要求对当地社会稳定性的影响，具体面积XXX平方米。通过深入了解当地社区反馈，确保建筑用木料及加工木材组件项目的选址和建设过程对当地社会和谐稳定产生积极作用。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建筑用木料及加工木材组件项目选址不仅符合法规和规划，还在实际操作中具有可行性。这一全面规划将为建筑用木料及加工木材组件项目的成功实施提供坚实的基础，确保建筑用木料及加工木材组件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049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用木料及加工木材组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建筑用木料及加工木材组件项目的设备规划和空间设计中，我们将采取灵活设备布局的措施。设备布局将根据实际需求进行灵活设计，避免不必要的浪费。通过合理规划设备摆放位置，我们将提高设备的利用率，减少设备间距，以确保建筑用木料及加工木材组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进一步，我们计划在建筑用木料及加工木材组件项目内部引入共享设施的概念，例如共享会议室、办公区等。通过这种方式，我们可以减少对资源的重复建设，提高资源共享效率，从而减小建筑用木料及加工木材组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0816"/>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建筑用木料及加工木材组件项目的总图布置中，我们将不同功能区域进行明确的规划，以最大程度满足建筑用木料及加工木材组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https://d.book118.com/297010043135006052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建筑用木料及加工木材组件项目计划设计方案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建筑用木料及加工木材组件项目计划设计方案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建筑用木料及加工木材组件项目计划设计方案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建筑用木料及加工木材组件项目计划设计方案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建筑用木料及加工木材组件项目计划设计方案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建筑用木料及加工木材组件项目计划设计方案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建筑用木料及加工木材组件项目计划设计方案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建筑用木料及加工木材组件项目计划设计方案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建筑用木料及加工木材组件项目计划设计方案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建筑用木料及加工木材组件项目计划设计方案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建筑用木料及加工木材组件项目计划设计方案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建筑用木料及加工木材组件项目计划设计方案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建筑用木料及加工木材组件项目计划设计方案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建筑用木料及加工木材组件项目计划设计方案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建筑用木料及加工木材组件项目计划设计方案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建筑用木料及加工木材组件项目计划设计方案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建筑用木料及加工木材组件项目计划设计方案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C21BD2"/>
    <w:rsid w:val="41C21B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7010043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2024-03-02T01:02:00Z</dcterms:created>
  <dcterms:modified xsi:type="dcterms:W3CDTF">2024-03-02T01:02:49Z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C44118D15BCC43EAA0647B0EB29060A4_11</vt:lpwstr>
  </property>
  <property fmtid="{D5CDD505-2E9C-101B-9397-08002B2CF9AE}" pid="3" name="KSOProductBuildVer">
    <vt:lpwstr>2052-12.1.0.16388</vt:lpwstr>
  </property>
</Properties>
</file>