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1084" w:lineRule="exact"/>
        <w:ind w:left="670" w:right="669" w:firstLine="0"/>
        <w:jc w:val="center"/>
        <w:rPr>
          <w:b/>
          <w:sz w:val="78"/>
        </w:rPr>
      </w:pPr>
      <w:r>
        <w:rPr>
          <w:b/>
          <w:sz w:val="78"/>
        </w:rPr>
        <w:t>玉溪市红塔大道（抚仙路～火车站）</w:t>
      </w:r>
    </w:p>
    <w:p>
      <w:pPr>
        <w:spacing w:before="409"/>
        <w:ind w:left="638" w:right="669" w:firstLine="0"/>
        <w:jc w:val="center"/>
        <w:rPr>
          <w:b/>
          <w:sz w:val="78"/>
        </w:rPr>
      </w:pPr>
      <w:r>
        <w:rPr>
          <w:b/>
          <w:sz w:val="78"/>
        </w:rPr>
        <w:t>综合管廊工程</w:t>
      </w:r>
    </w:p>
    <w:p>
      <w:pPr>
        <w:pStyle w:val="Title"/>
        <w:spacing w:line="216" w:lineRule="auto"/>
      </w:pPr>
      <w:r>
        <w:t>拉森钢板桩引孔施工方案</w:t>
      </w:r>
    </w:p>
    <w:p>
      <w:pPr>
        <w:spacing w:before="464"/>
        <w:ind w:left="477" w:right="669" w:firstLine="0"/>
        <w:jc w:val="center"/>
        <w:rPr>
          <w:b/>
          <w:sz w:val="54"/>
        </w:rPr>
      </w:pPr>
      <w:r>
        <w:rPr>
          <w:b/>
          <w:sz w:val="54"/>
        </w:rPr>
        <w:t>玉 溪 市 红 塔 大 道 综 合 管 廊 项 目 部</w:t>
      </w:r>
    </w:p>
    <w:p>
      <w:pPr>
        <w:spacing w:after="0"/>
        <w:jc w:val="center"/>
        <w:rPr>
          <w:sz w:val="54"/>
        </w:rPr>
        <w:sectPr>
          <w:footerReference w:type="default" r:id="rId4"/>
          <w:type w:val="continuous"/>
          <w:pgSz w:w="17860" w:h="25260"/>
          <w:pgMar w:top="1540" w:right="1980" w:bottom="2000" w:left="2020" w:header="708" w:footer="1815"/>
          <w:cols w:space="708"/>
        </w:sectPr>
      </w:pPr>
    </w:p>
    <w:p>
      <w:pPr>
        <w:spacing w:before="0" w:line="645" w:lineRule="exact"/>
        <w:ind w:left="599" w:right="669" w:firstLine="0"/>
        <w:jc w:val="center"/>
        <w:rPr>
          <w:b/>
          <w:sz w:val="45"/>
        </w:rPr>
      </w:pPr>
      <w:r>
        <w:rPr>
          <w:b/>
          <w:sz w:val="45"/>
        </w:rPr>
        <w:t>2016  年 11 月</w:t>
      </w:r>
    </w:p>
    <w:p>
      <w:pPr>
        <w:spacing w:after="0" w:line="645" w:lineRule="exact"/>
        <w:jc w:val="center"/>
        <w:rPr>
          <w:sz w:val="45"/>
        </w:rPr>
        <w:sectPr>
          <w:footerReference w:type="default" r:id="rId5"/>
          <w:pgSz w:w="17860" w:h="25260"/>
          <w:pgMar w:top="1940" w:right="1980" w:bottom="2000" w:left="2020" w:header="0" w:footer="1815"/>
          <w:pgNumType w:start="2"/>
          <w:cols w:space="708"/>
        </w:sectPr>
      </w:pPr>
    </w:p>
    <w:p>
      <w:pPr>
        <w:tabs>
          <w:tab w:val="left" w:pos="986"/>
        </w:tabs>
        <w:spacing w:before="0" w:line="645" w:lineRule="exact"/>
        <w:ind w:left="0" w:right="70" w:firstLine="0"/>
        <w:jc w:val="center"/>
        <w:rPr>
          <w:b/>
          <w:sz w:val="45"/>
        </w:rPr>
      </w:pPr>
      <w:r>
        <w:rPr>
          <w:b/>
          <w:sz w:val="45"/>
        </w:rPr>
        <w:t>目</w:t>
        <w:tab/>
        <w:t>录</w:t>
      </w:r>
    </w:p>
    <w:sdt>
      <w:sdtPr>
        <w:id w:val="192194542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3096"/>
            </w:tabs>
            <w:spacing w:before="400"/>
          </w:pPr>
          <w:hyperlink w:anchor="_TOC_250016" w:history="1">
            <w:r>
              <w:t>第一章、工程概况</w:t>
              <w:tab/>
              <w:t>1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851"/>
              <w:tab w:val="right" w:leader="dot" w:pos="13094"/>
            </w:tabs>
            <w:spacing w:before="394" w:after="0" w:line="240" w:lineRule="auto"/>
            <w:ind w:left="1850" w:right="0" w:hanging="541"/>
            <w:jc w:val="left"/>
          </w:pPr>
          <w:hyperlink w:anchor="_TOC_250015" w:history="1">
            <w:r>
              <w:t>工程简介</w:t>
              <w:tab/>
              <w:t>1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851"/>
              <w:tab w:val="right" w:leader="dot" w:pos="13094"/>
            </w:tabs>
            <w:spacing w:before="393" w:after="0" w:line="240" w:lineRule="auto"/>
            <w:ind w:left="1850" w:right="0" w:hanging="541"/>
            <w:jc w:val="left"/>
          </w:pPr>
          <w:hyperlink w:anchor="_TOC_250014" w:history="1">
            <w:r>
              <w:t>地质条件</w:t>
              <w:tab/>
              <w:t>2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1851"/>
              <w:tab w:val="right" w:leader="dot" w:pos="13094"/>
            </w:tabs>
            <w:spacing w:before="394" w:after="0" w:line="240" w:lineRule="auto"/>
            <w:ind w:left="1850" w:right="0" w:hanging="541"/>
            <w:jc w:val="left"/>
          </w:pPr>
          <w:hyperlink w:anchor="_TOC_250013" w:history="1">
            <w:r>
              <w:t>水文条件</w:t>
              <w:tab/>
              <w:t>3</w:t>
            </w:r>
          </w:hyperlink>
        </w:p>
        <w:p>
          <w:pPr>
            <w:pStyle w:val="TOC1"/>
            <w:tabs>
              <w:tab w:val="right" w:leader="dot" w:pos="13096"/>
            </w:tabs>
          </w:pPr>
          <w:hyperlink w:anchor="_TOC_250012" w:history="1">
            <w:r>
              <w:t>第二章、编制依据</w:t>
              <w:tab/>
              <w:t>4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1851"/>
              <w:tab w:val="right" w:leader="dot" w:pos="13094"/>
            </w:tabs>
            <w:spacing w:before="395" w:after="0" w:line="240" w:lineRule="auto"/>
            <w:ind w:left="1850" w:right="0" w:hanging="541"/>
            <w:jc w:val="left"/>
          </w:pPr>
          <w:hyperlink w:anchor="_TOC_250011" w:history="1">
            <w:r>
              <w:t>相关资料</w:t>
              <w:tab/>
              <w:t>4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1851"/>
              <w:tab w:val="right" w:leader="dot" w:pos="13094"/>
            </w:tabs>
            <w:spacing w:before="394" w:after="0" w:line="240" w:lineRule="auto"/>
            <w:ind w:left="1850" w:right="0" w:hanging="541"/>
            <w:jc w:val="left"/>
          </w:pPr>
          <w:hyperlink w:anchor="_TOC_250010" w:history="1">
            <w:r>
              <w:t>使用规范</w:t>
              <w:tab/>
              <w:t>5</w:t>
            </w:r>
          </w:hyperlink>
        </w:p>
        <w:p>
          <w:pPr>
            <w:pStyle w:val="TOC2"/>
            <w:numPr>
              <w:ilvl w:val="1"/>
              <w:numId w:val="19"/>
            </w:numPr>
            <w:tabs>
              <w:tab w:val="left" w:pos="1851"/>
              <w:tab w:val="right" w:leader="dot" w:pos="13101"/>
            </w:tabs>
            <w:spacing w:before="394" w:after="0" w:line="240" w:lineRule="auto"/>
            <w:ind w:left="1850" w:right="0" w:hanging="541"/>
            <w:jc w:val="left"/>
          </w:pPr>
          <w:hyperlink w:anchor="_TOC_250009" w:history="1">
            <w:r>
              <w:t>现场情况说明：</w:t>
              <w:tab/>
              <w:t>6</w:t>
            </w:r>
          </w:hyperlink>
        </w:p>
        <w:p>
          <w:pPr>
            <w:pStyle w:val="TOC1"/>
            <w:tabs>
              <w:tab w:val="right" w:leader="dot" w:pos="13100"/>
            </w:tabs>
          </w:pPr>
          <w:hyperlink w:anchor="_TOC_250008" w:history="1">
            <w:r>
              <w:t>第三章、引孔施工组织</w:t>
              <w:tab/>
              <w:t>9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851"/>
              <w:tab w:val="right" w:leader="dot" w:pos="13101"/>
            </w:tabs>
            <w:spacing w:before="393" w:after="0" w:line="240" w:lineRule="auto"/>
            <w:ind w:left="1850" w:right="0" w:hanging="541"/>
            <w:jc w:val="left"/>
          </w:pPr>
          <w:hyperlink w:anchor="_TOC_250007" w:history="1">
            <w:r>
              <w:t>引孔施工工作量</w:t>
              <w:tab/>
              <w:t>9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851"/>
              <w:tab w:val="right" w:leader="dot" w:pos="13143"/>
            </w:tabs>
            <w:spacing w:before="394" w:after="0" w:line="240" w:lineRule="auto"/>
            <w:ind w:left="1850" w:right="0" w:hanging="541"/>
            <w:jc w:val="left"/>
          </w:pPr>
          <w:hyperlink w:anchor="_TOC_250006" w:history="1">
            <w:r>
              <w:t>引孔施工部署</w:t>
              <w:tab/>
              <w:t>10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851"/>
              <w:tab w:val="right" w:leader="dot" w:pos="13143"/>
            </w:tabs>
            <w:spacing w:before="395" w:after="0" w:line="240" w:lineRule="auto"/>
            <w:ind w:left="1850" w:right="0" w:hanging="541"/>
            <w:jc w:val="left"/>
          </w:pPr>
          <w:hyperlink w:anchor="_TOC_250005" w:history="1">
            <w:r>
              <w:t>施工进度计划</w:t>
              <w:tab/>
              <w:t>13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851"/>
              <w:tab w:val="right" w:leader="dot" w:pos="13143"/>
            </w:tabs>
            <w:spacing w:before="394" w:after="0" w:line="240" w:lineRule="auto"/>
            <w:ind w:left="1850" w:right="0" w:hanging="541"/>
            <w:jc w:val="left"/>
          </w:pPr>
          <w:hyperlink w:anchor="_TOC_250004" w:history="1">
            <w:r>
              <w:t>管理网络图</w:t>
              <w:tab/>
              <w:t>13</w:t>
            </w:r>
          </w:hyperlink>
        </w:p>
        <w:p>
          <w:pPr>
            <w:pStyle w:val="TOC2"/>
            <w:numPr>
              <w:ilvl w:val="1"/>
              <w:numId w:val="18"/>
            </w:numPr>
            <w:tabs>
              <w:tab w:val="left" w:pos="1851"/>
              <w:tab w:val="right" w:leader="dot" w:pos="13143"/>
            </w:tabs>
            <w:spacing w:before="394" w:after="0" w:line="240" w:lineRule="auto"/>
            <w:ind w:left="1850" w:right="0" w:hanging="541"/>
            <w:jc w:val="left"/>
          </w:pPr>
          <w:hyperlink w:anchor="_TOC_250003" w:history="1">
            <w:r>
              <w:t>主要劳动力使用计划表</w:t>
              <w:tab/>
              <w:t>14</w:t>
            </w:r>
          </w:hyperlink>
        </w:p>
        <w:p>
          <w:pPr>
            <w:pStyle w:val="TOC1"/>
            <w:tabs>
              <w:tab w:val="right" w:leader="dot" w:pos="13143"/>
            </w:tabs>
          </w:pPr>
          <w:hyperlink w:anchor="_TOC_250002" w:history="1">
            <w:r>
              <w:t>第四章</w:t>
            </w:r>
            <w:r>
              <w:rPr>
                <w:spacing w:val="80"/>
              </w:rPr>
              <w:t xml:space="preserve"> </w:t>
            </w:r>
            <w:r>
              <w:t>、质量、安全文明保障措施</w:t>
              <w:tab/>
              <w:t>14</w:t>
            </w:r>
          </w:hyperlink>
        </w:p>
        <w:p>
          <w:pPr>
            <w:pStyle w:val="TOC2"/>
            <w:numPr>
              <w:ilvl w:val="1"/>
              <w:numId w:val="17"/>
            </w:numPr>
            <w:tabs>
              <w:tab w:val="left" w:pos="1851"/>
              <w:tab w:val="right" w:leader="dot" w:pos="13143"/>
            </w:tabs>
            <w:spacing w:before="393" w:after="0" w:line="240" w:lineRule="auto"/>
            <w:ind w:left="1850" w:right="0" w:hanging="541"/>
            <w:jc w:val="left"/>
          </w:pPr>
          <w:hyperlink w:anchor="_TOC_250001" w:history="1">
            <w:r>
              <w:t>施工质量保证措施</w:t>
              <w:tab/>
              <w:t>14</w:t>
            </w:r>
          </w:hyperlink>
        </w:p>
        <w:p>
          <w:pPr>
            <w:pStyle w:val="TOC2"/>
            <w:numPr>
              <w:ilvl w:val="1"/>
              <w:numId w:val="17"/>
            </w:numPr>
            <w:tabs>
              <w:tab w:val="left" w:pos="1851"/>
              <w:tab w:val="right" w:leader="dot" w:pos="13143"/>
            </w:tabs>
            <w:spacing w:before="394" w:after="0" w:line="240" w:lineRule="auto"/>
            <w:ind w:left="1850" w:right="0" w:hanging="541"/>
            <w:jc w:val="left"/>
          </w:pPr>
          <w:r>
            <w:t>保证工程安全技术措施</w:t>
            <w:tab/>
            <w:t>15</w:t>
          </w:r>
        </w:p>
        <w:p>
          <w:pPr>
            <w:pStyle w:val="TOC2"/>
            <w:numPr>
              <w:ilvl w:val="1"/>
              <w:numId w:val="17"/>
            </w:numPr>
            <w:tabs>
              <w:tab w:val="left" w:pos="1851"/>
              <w:tab w:val="right" w:leader="dot" w:pos="13143"/>
            </w:tabs>
            <w:spacing w:before="395" w:after="0" w:line="240" w:lineRule="auto"/>
            <w:ind w:left="1850" w:right="0" w:hanging="541"/>
            <w:jc w:val="left"/>
          </w:pPr>
          <w:hyperlink w:anchor="_TOC_250000" w:history="1">
            <w:r>
              <w:t>文明施工保证措施</w:t>
              <w:tab/>
              <w:t>18</w:t>
            </w:r>
          </w:hyperlink>
        </w:p>
      </w:sdtContent>
    </w:sdt>
    <w:p>
      <w:pPr>
        <w:spacing w:after="0" w:line="240" w:lineRule="auto"/>
        <w:jc w:val="left"/>
        <w:sectPr>
          <w:footerReference w:type="default" r:id="rId6"/>
          <w:pgSz w:w="17860" w:h="25260"/>
          <w:pgMar w:top="1940" w:right="1980" w:bottom="2000" w:left="2020" w:header="0" w:footer="1815"/>
          <w:pgNumType w:start="3"/>
          <w:cols w:space="708"/>
        </w:sectPr>
      </w:pPr>
    </w:p>
    <w:p>
      <w:pPr>
        <w:pStyle w:val="Heading1"/>
        <w:spacing w:line="694" w:lineRule="exact"/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35;height:6058;left:2565;position:absolute;top:4620" stroked="f">
              <v:imagedata r:id="rId7" o:title=""/>
            </v:shape>
            <v:shape id="_x0000_s1027" type="#_x0000_t75" style="width:17860;height:24960;position:absolute" stroked="f">
              <v:imagedata r:id="rId8" o:title=""/>
            </v:shape>
          </v:group>
        </w:pict>
      </w:r>
      <w:bookmarkStart w:id="0" w:name="_TOC_250016"/>
      <w:bookmarkEnd w:id="0"/>
      <w:r>
        <w:t>第一章、工程概况</w:t>
      </w:r>
    </w:p>
    <w:p>
      <w:pPr>
        <w:pStyle w:val="BodyText"/>
        <w:spacing w:before="3"/>
        <w:rPr>
          <w:b/>
          <w:sz w:val="53"/>
        </w:rPr>
      </w:pPr>
    </w:p>
    <w:p>
      <w:pPr>
        <w:pStyle w:val="Heading2"/>
        <w:numPr>
          <w:ilvl w:val="1"/>
          <w:numId w:val="22"/>
        </w:numPr>
        <w:tabs>
          <w:tab w:val="left" w:pos="1353"/>
        </w:tabs>
        <w:spacing w:before="0" w:after="0" w:line="240" w:lineRule="auto"/>
        <w:ind w:left="1352" w:right="0" w:hanging="673"/>
        <w:jc w:val="left"/>
      </w:pPr>
      <w:bookmarkStart w:id="1" w:name="_TOC_250015"/>
      <w:bookmarkEnd w:id="1"/>
      <w:r>
        <w:t>工程简介</w:t>
      </w:r>
    </w:p>
    <w:p>
      <w:pPr>
        <w:pStyle w:val="BodyText"/>
        <w:spacing w:before="7"/>
        <w:rPr>
          <w:b/>
          <w:sz w:val="30"/>
        </w:rPr>
      </w:pPr>
    </w:p>
    <w:p>
      <w:pPr>
        <w:pStyle w:val="BodyText"/>
        <w:spacing w:line="424" w:lineRule="auto"/>
        <w:ind w:left="1641" w:right="10775"/>
        <w:jc w:val="both"/>
      </w:pPr>
      <w:r>
        <w:t>项目名称建设单位设计单位勘察单位监理单位总包单位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spacing w:line="324" w:lineRule="auto"/>
        <w:ind w:left="680" w:right="717" w:firstLine="719"/>
      </w:pPr>
      <w:r>
        <w:rPr>
          <w:spacing w:val="-5"/>
        </w:rPr>
        <w:t>本工程玉溪市红塔大道</w:t>
      </w:r>
      <w:r>
        <w:t>（抚仙路～火车站</w:t>
      </w:r>
      <w:r>
        <w:rPr>
          <w:spacing w:val="-47"/>
        </w:rPr>
        <w:t>）</w:t>
      </w:r>
      <w:r>
        <w:rPr>
          <w:spacing w:val="-8"/>
        </w:rPr>
        <w:t>综合管廊工程，起点位于红塔大</w:t>
      </w:r>
      <w:r>
        <w:rPr>
          <w:spacing w:val="-14"/>
        </w:rPr>
        <w:t xml:space="preserve">道抚仙路路口，终点止于玉溪火车站，全长主线约 </w:t>
      </w:r>
      <w:r>
        <w:t>2.5</w:t>
      </w:r>
      <w:r>
        <w:rPr>
          <w:spacing w:val="-11"/>
        </w:rPr>
        <w:t xml:space="preserve"> 公里，交叉支线管廊约 </w:t>
      </w:r>
      <w:r>
        <w:t>0.4</w:t>
      </w:r>
    </w:p>
    <w:p>
      <w:pPr>
        <w:pStyle w:val="BodyText"/>
        <w:spacing w:before="2" w:line="324" w:lineRule="auto"/>
        <w:ind w:left="680" w:right="576"/>
      </w:pPr>
      <w:r>
        <w:t>公里，过路支管约 0.25 公里，工程内容为地下综合管廊。包括管廊主体、配控站，涉及总图、土建、排水、消防、通风、电气、自控等全专业设计以及强电、弱电、燃气等相关管线的迁改工作。</w:t>
      </w:r>
    </w:p>
    <w:p>
      <w:pPr>
        <w:pStyle w:val="BodyText"/>
        <w:spacing w:line="539" w:lineRule="exact"/>
        <w:ind w:left="1400"/>
      </w:pPr>
      <w:r>
        <w:t>场地地理位置示意图：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spacing w:before="286"/>
        <w:ind w:left="680" w:right="0" w:firstLine="0"/>
        <w:jc w:val="left"/>
        <w:rPr>
          <w:rFonts w:ascii="幼圆"/>
          <w:sz w:val="29"/>
        </w:rPr>
      </w:pPr>
      <w:r>
        <w:rPr>
          <w:rFonts w:ascii="幼圆"/>
          <w:sz w:val="29"/>
        </w:rPr>
        <w:t>..</w:t>
      </w:r>
    </w:p>
    <w:p>
      <w:pPr>
        <w:spacing w:after="0"/>
        <w:jc w:val="left"/>
        <w:rPr>
          <w:rFonts w:ascii="幼圆"/>
          <w:sz w:val="29"/>
        </w:rPr>
        <w:sectPr>
          <w:footerReference w:type="default" r:id="rId9"/>
          <w:pgSz w:w="17860" w:h="25260"/>
          <w:pgMar w:top="2400" w:right="1980" w:bottom="280" w:left="2020" w:header="0" w:footer="0"/>
          <w:pgNumType w:start="4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0"/>
        </w:rPr>
      </w:pPr>
    </w:p>
    <w:p>
      <w:pPr>
        <w:pStyle w:val="BodyText"/>
        <w:spacing w:before="17" w:line="324" w:lineRule="auto"/>
        <w:ind w:left="680" w:right="718" w:firstLine="719"/>
        <w:jc w:val="right"/>
      </w:pPr>
      <w:r>
        <w:rPr>
          <w:spacing w:val="2"/>
        </w:rPr>
        <w:t xml:space="preserve">本工程综合管廊为双舱结构，分为综合舱和燃气舱，综合舱容纳 </w:t>
      </w:r>
      <w:r>
        <w:t>110kV</w:t>
      </w:r>
      <w:r>
        <w:rPr>
          <w:spacing w:val="28"/>
        </w:rPr>
        <w:t xml:space="preserve"> 高</w:t>
      </w:r>
      <w:r>
        <w:rPr>
          <w:spacing w:val="-20"/>
        </w:rPr>
        <w:t>压电力电缆、</w:t>
      </w:r>
      <w:r>
        <w:t>10kV</w:t>
      </w:r>
      <w:r>
        <w:rPr>
          <w:spacing w:val="-24"/>
        </w:rPr>
        <w:t xml:space="preserve"> 电力电缆、给水管、规划中水管、通信线缆，断面尺寸约 </w:t>
      </w:r>
      <w:r>
        <w:t>2.80m</w:t>
      </w:r>
    </w:p>
    <w:p>
      <w:pPr>
        <w:pStyle w:val="BodyText"/>
        <w:spacing w:line="540" w:lineRule="exact"/>
        <w:ind w:right="712"/>
        <w:jc w:val="right"/>
      </w:pPr>
      <w:r>
        <w:rPr>
          <w:spacing w:val="1"/>
        </w:rPr>
        <w:t>×</w:t>
      </w:r>
      <w:r>
        <w:rPr>
          <w:spacing w:val="-1"/>
        </w:rPr>
        <w:t>3.80</w:t>
      </w:r>
      <w:r>
        <w:rPr>
          <w:spacing w:val="-169"/>
        </w:rPr>
        <w:t>m</w:t>
      </w:r>
      <w:r>
        <w:t>（净尺寸</w:t>
      </w:r>
      <w:r>
        <w:rPr>
          <w:spacing w:val="-180"/>
        </w:rPr>
        <w:t>）</w:t>
      </w:r>
      <w:r>
        <w:rPr>
          <w:spacing w:val="-22"/>
        </w:rPr>
        <w:t xml:space="preserve">；燃气舱容纳两根 </w:t>
      </w:r>
      <w:r>
        <w:rPr>
          <w:spacing w:val="-1"/>
        </w:rPr>
        <w:t>DN20</w:t>
      </w:r>
      <w:r>
        <w:t>0</w:t>
      </w:r>
      <w:r>
        <w:rPr>
          <w:spacing w:val="-19"/>
        </w:rPr>
        <w:t xml:space="preserve"> 燃气管道，断面尺寸约 </w:t>
      </w:r>
      <w:r>
        <w:rPr>
          <w:spacing w:val="-1"/>
        </w:rPr>
        <w:t>1.650</w:t>
      </w:r>
      <w:r>
        <w:rPr>
          <w:spacing w:val="3"/>
        </w:rPr>
        <w:t>m</w:t>
      </w:r>
      <w:r>
        <w:rPr>
          <w:spacing w:val="1"/>
        </w:rPr>
        <w:t>×</w:t>
      </w:r>
      <w:r>
        <w:rPr>
          <w:spacing w:val="-1"/>
        </w:rPr>
        <w:t>3.80m</w:t>
      </w:r>
    </w:p>
    <w:p>
      <w:pPr>
        <w:pStyle w:val="BodyText"/>
        <w:spacing w:before="188"/>
        <w:ind w:left="680"/>
      </w:pPr>
      <w:r>
        <w:t>（净尺寸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190" w:line="324" w:lineRule="auto"/>
        <w:ind w:left="680" w:right="716" w:firstLine="719"/>
        <w:jc w:val="both"/>
      </w:pPr>
      <w:r>
        <w:rPr>
          <w:spacing w:val="4"/>
        </w:rPr>
        <w:t xml:space="preserve">本次管廊基坑施工起始里程号为 </w:t>
      </w:r>
      <w:r>
        <w:t>K0+000</w:t>
      </w:r>
      <w:r>
        <w:rPr>
          <w:spacing w:val="8"/>
        </w:rPr>
        <w:t xml:space="preserve">，终点里程号为 </w:t>
      </w:r>
      <w:r>
        <w:t>K2+500。标准段</w:t>
      </w:r>
      <w:r>
        <w:rPr>
          <w:spacing w:val="-1"/>
        </w:rPr>
        <w:t xml:space="preserve">管廊截面尺寸为 </w:t>
      </w:r>
      <w:r>
        <w:rPr>
          <w:spacing w:val="-4"/>
        </w:rPr>
        <w:t>5400mm×3800mm</w:t>
      </w:r>
      <w:r>
        <w:rPr>
          <w:spacing w:val="-3"/>
        </w:rPr>
        <w:t xml:space="preserve">，管廊顶覆土 </w:t>
      </w:r>
      <w:r>
        <w:rPr>
          <w:spacing w:val="-10"/>
        </w:rPr>
        <w:t>2.2m</w:t>
      </w:r>
      <w:r>
        <w:rPr>
          <w:spacing w:val="-3"/>
        </w:rPr>
        <w:t xml:space="preserve">，根据基坑开挖深度和支护结构破坏、土体失稳或变形过大对基坑周边环境及地下结构施工影响严重性 , </w:t>
      </w:r>
      <w:r>
        <w:t xml:space="preserve">对于开挖深度小于 9m 的基坑，其支护结构安全等级为二级，开挖深度大于 </w:t>
      </w:r>
      <w:r>
        <w:rPr>
          <w:spacing w:val="-8"/>
        </w:rPr>
        <w:t xml:space="preserve">9m </w:t>
      </w:r>
      <w:r>
        <w:rPr>
          <w:spacing w:val="-1"/>
        </w:rPr>
        <w:t xml:space="preserve">的基坑，最大基坑深度为 </w:t>
      </w:r>
      <w:r>
        <w:t>11.3m，其支护结构安全等级为一级。</w:t>
      </w:r>
    </w:p>
    <w:p>
      <w:pPr>
        <w:pStyle w:val="Heading2"/>
        <w:numPr>
          <w:ilvl w:val="1"/>
          <w:numId w:val="16"/>
        </w:numPr>
        <w:tabs>
          <w:tab w:val="left" w:pos="1353"/>
        </w:tabs>
        <w:spacing w:before="128" w:after="0" w:line="240" w:lineRule="auto"/>
        <w:ind w:left="1352" w:right="0" w:hanging="673"/>
        <w:jc w:val="left"/>
      </w:pPr>
      <w:bookmarkStart w:id="2" w:name="_TOC_250014"/>
      <w:bookmarkEnd w:id="2"/>
      <w:r>
        <w:t>地质条件</w:t>
      </w:r>
    </w:p>
    <w:p>
      <w:pPr>
        <w:pStyle w:val="BodyText"/>
        <w:spacing w:before="174" w:line="324" w:lineRule="auto"/>
        <w:ind w:left="680" w:right="716" w:firstLine="1285"/>
        <w:jc w:val="both"/>
      </w:pPr>
      <w:r>
        <w:t>根据道路沿线拟建场地内工程地质条件、地形、地貌单元和水文地质条件的不同，按照工程区域不同将拟建场地工程地质分区为I 区、Ⅱ区、Ⅲ区3 个区。</w:t>
      </w:r>
    </w:p>
    <w:p>
      <w:pPr>
        <w:pStyle w:val="BodyText"/>
        <w:spacing w:before="1" w:line="324" w:lineRule="auto"/>
        <w:ind w:left="680" w:right="712" w:firstLine="719"/>
        <w:jc w:val="both"/>
      </w:pPr>
      <w:r>
        <w:rPr>
          <w:spacing w:val="-1"/>
        </w:rPr>
        <w:t xml:space="preserve">工程地质分区为 </w:t>
      </w:r>
      <w:r>
        <w:t>I</w:t>
      </w:r>
      <w:r>
        <w:rPr>
          <w:spacing w:val="-4"/>
        </w:rPr>
        <w:t xml:space="preserve"> 区地段主要分布于 </w:t>
      </w:r>
      <w:r>
        <w:t>GL0+00～GL0+960 段（玉溪火车站至明珠路交叉口</w:t>
      </w:r>
      <w:r>
        <w:rPr>
          <w:spacing w:val="-173"/>
        </w:rPr>
        <w:t>）</w:t>
      </w:r>
      <w:r>
        <w:t>，该区出露地层岩性除①层人工填土外，主要以第四系湖相粘性土为主，部分夹冲、洪积相砂类土，局部地段有厚填土和泥炭质土。</w:t>
      </w:r>
    </w:p>
    <w:p>
      <w:pPr>
        <w:pStyle w:val="BodyText"/>
        <w:spacing w:line="324" w:lineRule="auto"/>
        <w:ind w:left="680" w:right="471" w:firstLine="1439"/>
      </w:pPr>
      <w:r>
        <w:t>工程地质分区为Ⅱ区地段主要分布于 GL0+960～GL1+840 段(明珠路交叉口至东风中路交叉口)，该区主要以第四系冲洪积砂类土为主，部分夹粘性土， 粘性土厚度相对于 I 区较薄，局部地段有厚填土和泥炭质土。</w:t>
      </w:r>
    </w:p>
    <w:p>
      <w:pPr>
        <w:pStyle w:val="BodyText"/>
        <w:spacing w:line="324" w:lineRule="auto"/>
        <w:ind w:left="680" w:right="711" w:firstLine="1439"/>
        <w:jc w:val="both"/>
      </w:pPr>
      <w:r>
        <w:rPr>
          <w:spacing w:val="2"/>
        </w:rPr>
        <w:t xml:space="preserve">工程地质分区为Ⅲ区地段主要分布于 </w:t>
      </w:r>
      <w:r>
        <w:t>GL1+840～GL2+470</w:t>
      </w:r>
      <w:r>
        <w:rPr>
          <w:spacing w:val="20"/>
        </w:rPr>
        <w:t xml:space="preserve"> 段</w:t>
      </w:r>
      <w:r>
        <w:t>（东风中路交叉口至抚仙路交叉口</w:t>
      </w:r>
      <w:r>
        <w:rPr>
          <w:spacing w:val="-169"/>
        </w:rPr>
        <w:t>）</w:t>
      </w:r>
      <w:r>
        <w:t>，该区主要以第四系冲洪积砂类土为主，部分夹粘性土，局部地段有泥炭质土。</w:t>
      </w:r>
    </w:p>
    <w:p>
      <w:pPr>
        <w:pStyle w:val="BodyText"/>
        <w:spacing w:before="218"/>
        <w:ind w:left="631" w:right="669"/>
        <w:jc w:val="center"/>
      </w:pPr>
      <w:r>
        <w:t>标准贯入测试统计结果</w:t>
      </w:r>
    </w:p>
    <w:p>
      <w:pPr>
        <w:spacing w:after="0"/>
        <w:jc w:val="center"/>
        <w:sectPr>
          <w:footerReference w:type="default" r:id="rId10"/>
          <w:pgSz w:w="17860" w:h="25260"/>
          <w:pgMar w:top="2420" w:right="1980" w:bottom="2000" w:left="2020" w:header="0" w:footer="1815"/>
          <w:pgNumType w:start="5"/>
          <w:cols w:space="708"/>
        </w:sectPr>
      </w:pPr>
    </w:p>
    <w:p>
      <w:pPr>
        <w:pStyle w:val="BodyText"/>
        <w:spacing w:before="10"/>
        <w:rPr>
          <w:sz w:val="21"/>
        </w:rPr>
      </w:pPr>
    </w:p>
    <w:tbl>
      <w:tblPr>
        <w:tblStyle w:val="TableNormal0"/>
        <w:tblW w:w="0" w:type="auto"/>
        <w:jc w:val="left"/>
        <w:tblInd w:w="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28"/>
        <w:gridCol w:w="964"/>
        <w:gridCol w:w="2023"/>
        <w:gridCol w:w="1626"/>
        <w:gridCol w:w="1638"/>
        <w:gridCol w:w="1606"/>
        <w:gridCol w:w="1603"/>
        <w:gridCol w:w="1162"/>
      </w:tblGrid>
      <w:tr>
        <w:tblPrEx>
          <w:tblW w:w="0" w:type="auto"/>
          <w:jc w:val="left"/>
          <w:tblInd w:w="36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8"/>
          <w:jc w:val="left"/>
        </w:trPr>
        <w:tc>
          <w:tcPr>
            <w:tcW w:w="2428" w:type="dxa"/>
          </w:tcPr>
          <w:p>
            <w:pPr>
              <w:pStyle w:val="TableParagraph"/>
              <w:spacing w:before="0" w:line="459" w:lineRule="exact"/>
              <w:ind w:left="1000"/>
              <w:jc w:val="left"/>
              <w:rPr>
                <w:sz w:val="36"/>
              </w:rPr>
            </w:pPr>
            <w:r>
              <w:rPr>
                <w:sz w:val="36"/>
              </w:rPr>
              <w:t>项目</w:t>
            </w:r>
          </w:p>
          <w:p>
            <w:pPr>
              <w:pStyle w:val="TableParagraph"/>
              <w:spacing w:before="2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left="100"/>
              <w:jc w:val="left"/>
              <w:rPr>
                <w:sz w:val="36"/>
              </w:rPr>
            </w:pPr>
            <w:r>
              <w:rPr>
                <w:sz w:val="36"/>
              </w:rPr>
              <w:t>地 层及层号</w:t>
            </w:r>
          </w:p>
        </w:tc>
        <w:tc>
          <w:tcPr>
            <w:tcW w:w="964" w:type="dxa"/>
          </w:tcPr>
          <w:p>
            <w:pPr>
              <w:pStyle w:val="TableParagraph"/>
              <w:spacing w:before="0" w:line="459" w:lineRule="exact"/>
              <w:ind w:left="303"/>
              <w:jc w:val="left"/>
              <w:rPr>
                <w:sz w:val="36"/>
              </w:rPr>
            </w:pPr>
            <w:r>
              <w:rPr>
                <w:sz w:val="36"/>
              </w:rPr>
              <w:t>频</w:t>
            </w:r>
          </w:p>
          <w:p>
            <w:pPr>
              <w:pStyle w:val="TableParagraph"/>
              <w:spacing w:before="2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left="303"/>
              <w:jc w:val="left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2023" w:type="dxa"/>
          </w:tcPr>
          <w:p>
            <w:pPr>
              <w:pStyle w:val="TableParagraph"/>
              <w:spacing w:before="8"/>
              <w:jc w:val="left"/>
              <w:rPr>
                <w:sz w:val="25"/>
              </w:rPr>
            </w:pPr>
          </w:p>
          <w:p>
            <w:pPr>
              <w:pStyle w:val="TableParagraph"/>
              <w:spacing w:before="0"/>
              <w:ind w:left="261" w:right="248"/>
              <w:rPr>
                <w:sz w:val="36"/>
              </w:rPr>
            </w:pPr>
            <w:r>
              <w:rPr>
                <w:sz w:val="36"/>
              </w:rPr>
              <w:t>范围值</w:t>
            </w:r>
          </w:p>
        </w:tc>
        <w:tc>
          <w:tcPr>
            <w:tcW w:w="1626" w:type="dxa"/>
          </w:tcPr>
          <w:p>
            <w:pPr>
              <w:pStyle w:val="TableParagraph"/>
              <w:spacing w:before="8"/>
              <w:jc w:val="left"/>
              <w:rPr>
                <w:sz w:val="25"/>
              </w:rPr>
            </w:pPr>
          </w:p>
          <w:p>
            <w:pPr>
              <w:pStyle w:val="TableParagraph"/>
              <w:spacing w:before="0"/>
              <w:ind w:left="247" w:right="258"/>
              <w:rPr>
                <w:sz w:val="36"/>
              </w:rPr>
            </w:pPr>
            <w:r>
              <w:rPr>
                <w:sz w:val="36"/>
              </w:rPr>
              <w:t>平均值</w:t>
            </w:r>
          </w:p>
        </w:tc>
        <w:tc>
          <w:tcPr>
            <w:tcW w:w="1638" w:type="dxa"/>
          </w:tcPr>
          <w:p>
            <w:pPr>
              <w:pStyle w:val="TableParagraph"/>
              <w:spacing w:before="8"/>
              <w:jc w:val="left"/>
              <w:rPr>
                <w:sz w:val="25"/>
              </w:rPr>
            </w:pPr>
          </w:p>
          <w:p>
            <w:pPr>
              <w:pStyle w:val="TableParagraph"/>
              <w:spacing w:before="0"/>
              <w:ind w:left="259" w:right="259"/>
              <w:rPr>
                <w:sz w:val="36"/>
              </w:rPr>
            </w:pPr>
            <w:r>
              <w:rPr>
                <w:sz w:val="36"/>
              </w:rPr>
              <w:t>标准值</w:t>
            </w:r>
          </w:p>
        </w:tc>
        <w:tc>
          <w:tcPr>
            <w:tcW w:w="1606" w:type="dxa"/>
          </w:tcPr>
          <w:p>
            <w:pPr>
              <w:pStyle w:val="TableParagraph"/>
              <w:spacing w:before="8"/>
              <w:jc w:val="left"/>
              <w:rPr>
                <w:sz w:val="25"/>
              </w:rPr>
            </w:pPr>
          </w:p>
          <w:p>
            <w:pPr>
              <w:pStyle w:val="TableParagraph"/>
              <w:spacing w:before="0"/>
              <w:ind w:left="258" w:right="227"/>
              <w:rPr>
                <w:sz w:val="36"/>
              </w:rPr>
            </w:pPr>
            <w:r>
              <w:rPr>
                <w:sz w:val="36"/>
              </w:rPr>
              <w:t>标准差</w:t>
            </w:r>
          </w:p>
        </w:tc>
        <w:tc>
          <w:tcPr>
            <w:tcW w:w="1603" w:type="dxa"/>
          </w:tcPr>
          <w:p>
            <w:pPr>
              <w:pStyle w:val="TableParagraph"/>
              <w:spacing w:before="0" w:line="459" w:lineRule="exact"/>
              <w:ind w:left="226" w:right="256"/>
              <w:rPr>
                <w:sz w:val="36"/>
              </w:rPr>
            </w:pPr>
            <w:r>
              <w:rPr>
                <w:sz w:val="36"/>
              </w:rPr>
              <w:t>变异系</w:t>
            </w:r>
          </w:p>
          <w:p>
            <w:pPr>
              <w:pStyle w:val="TableParagraph"/>
              <w:spacing w:before="2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right="27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162" w:type="dxa"/>
          </w:tcPr>
          <w:p>
            <w:pPr>
              <w:pStyle w:val="TableParagraph"/>
              <w:spacing w:before="0" w:line="459" w:lineRule="exact"/>
              <w:ind w:left="332"/>
              <w:jc w:val="left"/>
              <w:rPr>
                <w:sz w:val="36"/>
              </w:rPr>
            </w:pPr>
            <w:r>
              <w:rPr>
                <w:sz w:val="36"/>
              </w:rPr>
              <w:t>修正</w:t>
            </w:r>
          </w:p>
          <w:p>
            <w:pPr>
              <w:pStyle w:val="TableParagraph"/>
              <w:spacing w:before="2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left="332"/>
              <w:jc w:val="left"/>
              <w:rPr>
                <w:sz w:val="36"/>
              </w:rPr>
            </w:pPr>
            <w:r>
              <w:rPr>
                <w:sz w:val="36"/>
              </w:rPr>
              <w:t>系数</w:t>
            </w:r>
          </w:p>
        </w:tc>
      </w:tr>
      <w:tr>
        <w:tblPrEx>
          <w:tblW w:w="0" w:type="auto"/>
          <w:jc w:val="left"/>
          <w:tblInd w:w="3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428" w:type="dxa"/>
          </w:tcPr>
          <w:p>
            <w:pPr>
              <w:pStyle w:val="TableParagraph"/>
              <w:ind w:left="27" w:right="272"/>
              <w:rPr>
                <w:sz w:val="36"/>
              </w:rPr>
            </w:pPr>
            <w:r>
              <w:rPr>
                <w:sz w:val="36"/>
              </w:rPr>
              <w:t>①1 人工填土</w:t>
            </w:r>
          </w:p>
        </w:tc>
        <w:tc>
          <w:tcPr>
            <w:tcW w:w="964" w:type="dxa"/>
          </w:tcPr>
          <w:p>
            <w:pPr>
              <w:pStyle w:val="TableParagraph"/>
              <w:ind w:left="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023" w:type="dxa"/>
          </w:tcPr>
          <w:p>
            <w:pPr>
              <w:pStyle w:val="TableParagraph"/>
              <w:ind w:left="265" w:right="248"/>
              <w:rPr>
                <w:sz w:val="36"/>
              </w:rPr>
            </w:pPr>
            <w:r>
              <w:rPr>
                <w:sz w:val="36"/>
              </w:rPr>
              <w:t>4.9～5.8</w:t>
            </w:r>
          </w:p>
        </w:tc>
        <w:tc>
          <w:tcPr>
            <w:tcW w:w="1626" w:type="dxa"/>
          </w:tcPr>
          <w:p>
            <w:pPr>
              <w:pStyle w:val="TableParagraph"/>
              <w:ind w:left="247" w:right="254"/>
              <w:rPr>
                <w:sz w:val="36"/>
              </w:rPr>
            </w:pPr>
            <w:r>
              <w:rPr>
                <w:sz w:val="36"/>
              </w:rPr>
              <w:t>5.3</w:t>
            </w:r>
          </w:p>
        </w:tc>
        <w:tc>
          <w:tcPr>
            <w:tcW w:w="1638" w:type="dxa"/>
          </w:tcPr>
          <w:p>
            <w:pPr>
              <w:pStyle w:val="TableParagraph"/>
              <w:ind w:left="259" w:right="256"/>
              <w:rPr>
                <w:sz w:val="36"/>
              </w:rPr>
            </w:pPr>
            <w:r>
              <w:rPr>
                <w:sz w:val="36"/>
              </w:rPr>
              <w:t>5.3</w:t>
            </w:r>
          </w:p>
        </w:tc>
        <w:tc>
          <w:tcPr>
            <w:tcW w:w="16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6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428" w:type="dxa"/>
          </w:tcPr>
          <w:p>
            <w:pPr>
              <w:pStyle w:val="TableParagraph"/>
              <w:ind w:left="27" w:right="272"/>
              <w:rPr>
                <w:sz w:val="36"/>
              </w:rPr>
            </w:pPr>
            <w:r>
              <w:rPr>
                <w:sz w:val="36"/>
              </w:rPr>
              <w:t>②粉质粘土</w:t>
            </w:r>
          </w:p>
        </w:tc>
        <w:tc>
          <w:tcPr>
            <w:tcW w:w="964" w:type="dxa"/>
          </w:tcPr>
          <w:p>
            <w:pPr>
              <w:pStyle w:val="TableParagraph"/>
              <w:ind w:left="275" w:right="268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2023" w:type="dxa"/>
          </w:tcPr>
          <w:p>
            <w:pPr>
              <w:pStyle w:val="TableParagraph"/>
              <w:ind w:left="267" w:right="248"/>
              <w:rPr>
                <w:sz w:val="36"/>
              </w:rPr>
            </w:pPr>
            <w:r>
              <w:rPr>
                <w:sz w:val="36"/>
              </w:rPr>
              <w:t>3.7～16.1</w:t>
            </w:r>
          </w:p>
        </w:tc>
        <w:tc>
          <w:tcPr>
            <w:tcW w:w="1626" w:type="dxa"/>
          </w:tcPr>
          <w:p>
            <w:pPr>
              <w:pStyle w:val="TableParagraph"/>
              <w:ind w:left="247" w:right="254"/>
              <w:rPr>
                <w:sz w:val="36"/>
              </w:rPr>
            </w:pPr>
            <w:r>
              <w:rPr>
                <w:sz w:val="36"/>
              </w:rPr>
              <w:t>6.8</w:t>
            </w:r>
          </w:p>
        </w:tc>
        <w:tc>
          <w:tcPr>
            <w:tcW w:w="1638" w:type="dxa"/>
          </w:tcPr>
          <w:p>
            <w:pPr>
              <w:pStyle w:val="TableParagraph"/>
              <w:ind w:left="259" w:right="256"/>
              <w:rPr>
                <w:sz w:val="36"/>
              </w:rPr>
            </w:pPr>
            <w:r>
              <w:rPr>
                <w:sz w:val="36"/>
              </w:rPr>
              <w:t>5.5</w:t>
            </w:r>
          </w:p>
        </w:tc>
        <w:tc>
          <w:tcPr>
            <w:tcW w:w="1606" w:type="dxa"/>
          </w:tcPr>
          <w:p>
            <w:pPr>
              <w:pStyle w:val="TableParagraph"/>
              <w:ind w:left="251" w:right="227"/>
              <w:rPr>
                <w:sz w:val="36"/>
              </w:rPr>
            </w:pPr>
            <w:r>
              <w:rPr>
                <w:sz w:val="36"/>
              </w:rPr>
              <w:t>3.660</w:t>
            </w:r>
          </w:p>
        </w:tc>
        <w:tc>
          <w:tcPr>
            <w:tcW w:w="1603" w:type="dxa"/>
          </w:tcPr>
          <w:p>
            <w:pPr>
              <w:pStyle w:val="TableParagraph"/>
              <w:ind w:left="226" w:right="247"/>
              <w:rPr>
                <w:sz w:val="36"/>
              </w:rPr>
            </w:pPr>
            <w:r>
              <w:rPr>
                <w:sz w:val="36"/>
              </w:rPr>
              <w:t>0.539</w:t>
            </w:r>
          </w:p>
        </w:tc>
        <w:tc>
          <w:tcPr>
            <w:tcW w:w="1162" w:type="dxa"/>
          </w:tcPr>
          <w:p>
            <w:pPr>
              <w:pStyle w:val="TableParagraph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0.808</w:t>
            </w:r>
          </w:p>
        </w:tc>
      </w:tr>
      <w:tr>
        <w:tblPrEx>
          <w:tblW w:w="0" w:type="auto"/>
          <w:jc w:val="left"/>
          <w:tblInd w:w="3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428" w:type="dxa"/>
          </w:tcPr>
          <w:p>
            <w:pPr>
              <w:pStyle w:val="TableParagraph"/>
              <w:spacing w:before="206"/>
              <w:ind w:left="27" w:right="272"/>
              <w:rPr>
                <w:sz w:val="36"/>
              </w:rPr>
            </w:pPr>
            <w:r>
              <w:rPr>
                <w:sz w:val="36"/>
              </w:rPr>
              <w:t>③砾砂</w:t>
            </w:r>
          </w:p>
        </w:tc>
        <w:tc>
          <w:tcPr>
            <w:tcW w:w="964" w:type="dxa"/>
          </w:tcPr>
          <w:p>
            <w:pPr>
              <w:pStyle w:val="TableParagraph"/>
              <w:spacing w:before="206"/>
              <w:ind w:left="275" w:right="268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2023" w:type="dxa"/>
          </w:tcPr>
          <w:p>
            <w:pPr>
              <w:pStyle w:val="TableParagraph"/>
              <w:spacing w:before="206"/>
              <w:ind w:left="267" w:right="248"/>
              <w:rPr>
                <w:sz w:val="36"/>
              </w:rPr>
            </w:pPr>
            <w:r>
              <w:rPr>
                <w:sz w:val="36"/>
              </w:rPr>
              <w:t>4.4～12.3</w:t>
            </w:r>
          </w:p>
        </w:tc>
        <w:tc>
          <w:tcPr>
            <w:tcW w:w="1626" w:type="dxa"/>
          </w:tcPr>
          <w:p>
            <w:pPr>
              <w:pStyle w:val="TableParagraph"/>
              <w:spacing w:before="206"/>
              <w:ind w:left="247" w:right="254"/>
              <w:rPr>
                <w:sz w:val="36"/>
              </w:rPr>
            </w:pPr>
            <w:r>
              <w:rPr>
                <w:sz w:val="36"/>
              </w:rPr>
              <w:t>8.1</w:t>
            </w:r>
          </w:p>
        </w:tc>
        <w:tc>
          <w:tcPr>
            <w:tcW w:w="1638" w:type="dxa"/>
          </w:tcPr>
          <w:p>
            <w:pPr>
              <w:pStyle w:val="TableParagraph"/>
              <w:spacing w:before="206"/>
              <w:ind w:left="259" w:right="256"/>
              <w:rPr>
                <w:sz w:val="36"/>
              </w:rPr>
            </w:pPr>
            <w:r>
              <w:rPr>
                <w:sz w:val="36"/>
              </w:rPr>
              <w:t>7.2</w:t>
            </w:r>
          </w:p>
        </w:tc>
        <w:tc>
          <w:tcPr>
            <w:tcW w:w="1606" w:type="dxa"/>
          </w:tcPr>
          <w:p>
            <w:pPr>
              <w:pStyle w:val="TableParagraph"/>
              <w:spacing w:before="206"/>
              <w:ind w:left="251" w:right="227"/>
              <w:rPr>
                <w:sz w:val="36"/>
              </w:rPr>
            </w:pPr>
            <w:r>
              <w:rPr>
                <w:sz w:val="36"/>
              </w:rPr>
              <w:t>2.438</w:t>
            </w:r>
          </w:p>
        </w:tc>
        <w:tc>
          <w:tcPr>
            <w:tcW w:w="1603" w:type="dxa"/>
          </w:tcPr>
          <w:p>
            <w:pPr>
              <w:pStyle w:val="TableParagraph"/>
              <w:spacing w:before="206"/>
              <w:ind w:left="226" w:right="247"/>
              <w:rPr>
                <w:sz w:val="36"/>
              </w:rPr>
            </w:pPr>
            <w:r>
              <w:rPr>
                <w:sz w:val="36"/>
              </w:rPr>
              <w:t>0.302</w:t>
            </w:r>
          </w:p>
        </w:tc>
        <w:tc>
          <w:tcPr>
            <w:tcW w:w="1162" w:type="dxa"/>
          </w:tcPr>
          <w:p>
            <w:pPr>
              <w:pStyle w:val="TableParagraph"/>
              <w:spacing w:before="206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0.895</w:t>
            </w:r>
          </w:p>
        </w:tc>
      </w:tr>
      <w:tr>
        <w:tblPrEx>
          <w:tblW w:w="0" w:type="auto"/>
          <w:jc w:val="left"/>
          <w:tblInd w:w="3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428" w:type="dxa"/>
          </w:tcPr>
          <w:p>
            <w:pPr>
              <w:pStyle w:val="TableParagraph"/>
              <w:ind w:left="27" w:right="272"/>
              <w:rPr>
                <w:sz w:val="36"/>
              </w:rPr>
            </w:pPr>
            <w:r>
              <w:rPr>
                <w:sz w:val="36"/>
              </w:rPr>
              <w:t>③2 粉质粘土</w:t>
            </w:r>
          </w:p>
        </w:tc>
        <w:tc>
          <w:tcPr>
            <w:tcW w:w="964" w:type="dxa"/>
          </w:tcPr>
          <w:p>
            <w:pPr>
              <w:pStyle w:val="TableParagraph"/>
              <w:ind w:left="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2023" w:type="dxa"/>
          </w:tcPr>
          <w:p>
            <w:pPr>
              <w:pStyle w:val="TableParagraph"/>
              <w:ind w:left="265" w:right="248"/>
              <w:rPr>
                <w:sz w:val="36"/>
              </w:rPr>
            </w:pPr>
            <w:r>
              <w:rPr>
                <w:sz w:val="36"/>
              </w:rPr>
              <w:t>3.3～9.9</w:t>
            </w:r>
          </w:p>
        </w:tc>
        <w:tc>
          <w:tcPr>
            <w:tcW w:w="1626" w:type="dxa"/>
          </w:tcPr>
          <w:p>
            <w:pPr>
              <w:pStyle w:val="TableParagraph"/>
              <w:ind w:left="247" w:right="254"/>
              <w:rPr>
                <w:sz w:val="36"/>
              </w:rPr>
            </w:pPr>
            <w:r>
              <w:rPr>
                <w:sz w:val="36"/>
              </w:rPr>
              <w:t>7.4</w:t>
            </w:r>
          </w:p>
        </w:tc>
        <w:tc>
          <w:tcPr>
            <w:tcW w:w="16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60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6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11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3"/>
          <w:jc w:val="left"/>
        </w:trPr>
        <w:tc>
          <w:tcPr>
            <w:tcW w:w="2428" w:type="dxa"/>
          </w:tcPr>
          <w:p>
            <w:pPr>
              <w:pStyle w:val="TableParagraph"/>
              <w:spacing w:line="439" w:lineRule="exact"/>
              <w:ind w:left="27" w:right="272"/>
              <w:rPr>
                <w:sz w:val="36"/>
              </w:rPr>
            </w:pPr>
            <w:r>
              <w:rPr>
                <w:sz w:val="36"/>
              </w:rPr>
              <w:t>④粉质粘土</w:t>
            </w:r>
          </w:p>
        </w:tc>
        <w:tc>
          <w:tcPr>
            <w:tcW w:w="964" w:type="dxa"/>
          </w:tcPr>
          <w:p>
            <w:pPr>
              <w:pStyle w:val="TableParagraph"/>
              <w:spacing w:line="439" w:lineRule="exact"/>
              <w:ind w:left="275" w:right="268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2023" w:type="dxa"/>
          </w:tcPr>
          <w:p>
            <w:pPr>
              <w:pStyle w:val="TableParagraph"/>
              <w:spacing w:line="439" w:lineRule="exact"/>
              <w:ind w:left="267" w:right="248"/>
              <w:rPr>
                <w:sz w:val="36"/>
              </w:rPr>
            </w:pPr>
            <w:r>
              <w:rPr>
                <w:sz w:val="36"/>
              </w:rPr>
              <w:t>7.3～13.3</w:t>
            </w:r>
          </w:p>
        </w:tc>
        <w:tc>
          <w:tcPr>
            <w:tcW w:w="1626" w:type="dxa"/>
          </w:tcPr>
          <w:p>
            <w:pPr>
              <w:pStyle w:val="TableParagraph"/>
              <w:spacing w:line="439" w:lineRule="exact"/>
              <w:ind w:left="245" w:right="258"/>
              <w:rPr>
                <w:sz w:val="36"/>
              </w:rPr>
            </w:pPr>
            <w:r>
              <w:rPr>
                <w:sz w:val="36"/>
              </w:rPr>
              <w:t>10.2</w:t>
            </w:r>
          </w:p>
        </w:tc>
        <w:tc>
          <w:tcPr>
            <w:tcW w:w="1638" w:type="dxa"/>
          </w:tcPr>
          <w:p>
            <w:pPr>
              <w:pStyle w:val="TableParagraph"/>
              <w:spacing w:line="439" w:lineRule="exact"/>
              <w:ind w:left="259" w:right="256"/>
              <w:rPr>
                <w:sz w:val="36"/>
              </w:rPr>
            </w:pPr>
            <w:r>
              <w:rPr>
                <w:sz w:val="36"/>
              </w:rPr>
              <w:t>9.5</w:t>
            </w:r>
          </w:p>
        </w:tc>
        <w:tc>
          <w:tcPr>
            <w:tcW w:w="1606" w:type="dxa"/>
          </w:tcPr>
          <w:p>
            <w:pPr>
              <w:pStyle w:val="TableParagraph"/>
              <w:spacing w:line="439" w:lineRule="exact"/>
              <w:ind w:left="251" w:right="227"/>
              <w:rPr>
                <w:sz w:val="36"/>
              </w:rPr>
            </w:pPr>
            <w:r>
              <w:rPr>
                <w:sz w:val="36"/>
              </w:rPr>
              <w:t>1.600</w:t>
            </w:r>
          </w:p>
        </w:tc>
        <w:tc>
          <w:tcPr>
            <w:tcW w:w="1603" w:type="dxa"/>
          </w:tcPr>
          <w:p>
            <w:pPr>
              <w:pStyle w:val="TableParagraph"/>
              <w:spacing w:line="439" w:lineRule="exact"/>
              <w:ind w:left="226" w:right="247"/>
              <w:rPr>
                <w:sz w:val="36"/>
              </w:rPr>
            </w:pPr>
            <w:r>
              <w:rPr>
                <w:sz w:val="36"/>
              </w:rPr>
              <w:t>0.157</w:t>
            </w:r>
          </w:p>
        </w:tc>
        <w:tc>
          <w:tcPr>
            <w:tcW w:w="1162" w:type="dxa"/>
          </w:tcPr>
          <w:p>
            <w:pPr>
              <w:pStyle w:val="TableParagraph"/>
              <w:spacing w:line="439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0.935</w:t>
            </w:r>
          </w:p>
        </w:tc>
      </w:tr>
    </w:tbl>
    <w:p>
      <w:pPr>
        <w:pStyle w:val="BodyText"/>
        <w:spacing w:before="2"/>
        <w:rPr>
          <w:sz w:val="26"/>
        </w:rPr>
      </w:pPr>
    </w:p>
    <w:p>
      <w:pPr>
        <w:pStyle w:val="Heading2"/>
        <w:numPr>
          <w:ilvl w:val="1"/>
          <w:numId w:val="16"/>
        </w:numPr>
        <w:tabs>
          <w:tab w:val="left" w:pos="1353"/>
        </w:tabs>
        <w:spacing w:before="4" w:after="0" w:line="240" w:lineRule="auto"/>
        <w:ind w:left="1352" w:right="0" w:hanging="673"/>
        <w:jc w:val="left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1349375</wp:posOffset>
            </wp:positionH>
            <wp:positionV relativeFrom="paragraph">
              <wp:posOffset>-4305657</wp:posOffset>
            </wp:positionV>
            <wp:extent cx="8639674" cy="4243863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9674" cy="4243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TOC_250013"/>
      <w:bookmarkEnd w:id="3"/>
      <w:r>
        <w:t>水文条件</w:t>
      </w:r>
    </w:p>
    <w:p>
      <w:pPr>
        <w:pStyle w:val="BodyText"/>
        <w:spacing w:before="174" w:line="324" w:lineRule="auto"/>
        <w:ind w:left="680" w:right="714" w:firstLine="719"/>
      </w:pPr>
      <w:r>
        <w:t>根据红塔大道 K0+000～K2+470 段地形地质条件及勘察地下水分布情况， 总体上全段地势低缓，为排汇区，地下水位较浅。</w:t>
      </w:r>
    </w:p>
    <w:p>
      <w:pPr>
        <w:pStyle w:val="BodyText"/>
        <w:spacing w:line="324" w:lineRule="auto"/>
        <w:ind w:left="680" w:right="542" w:firstLine="719"/>
      </w:pPr>
      <w:r>
        <w:rPr>
          <w:spacing w:val="-20"/>
        </w:rPr>
        <w:t>地下水的类型为潜水，包孔隙水和裂隙水，具微承压性，主要赋存于粉质土、</w:t>
      </w:r>
      <w:r>
        <w:rPr>
          <w:spacing w:val="-10"/>
        </w:rPr>
        <w:t>砂土及砾类土及淤泥层中，地下水大气降水补给和地表水补给，总体向地势低处</w:t>
      </w:r>
      <w:r>
        <w:rPr>
          <w:spacing w:val="-15"/>
        </w:rPr>
        <w:t xml:space="preserve">径流排泄。勘察期间钻孔内观测地下水水位差异较大，所测得钻孔内地下水稳定水位在地表下约 </w:t>
      </w:r>
      <w:r>
        <w:t>2.00m</w:t>
      </w:r>
      <w:r>
        <w:rPr>
          <w:spacing w:val="10"/>
        </w:rPr>
        <w:t>，相应高程</w:t>
      </w:r>
      <w:r>
        <w:t>1621.83 m～1646.52m，地下水流向总体上为由东向西流。</w:t>
      </w:r>
    </w:p>
    <w:p>
      <w:pPr>
        <w:pStyle w:val="BodyText"/>
        <w:spacing w:line="540" w:lineRule="exact"/>
        <w:ind w:left="631" w:right="669"/>
        <w:jc w:val="center"/>
      </w:pPr>
      <w:r>
        <w:t>工程分区地下水位特征表：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tbl>
      <w:tblPr>
        <w:tblStyle w:val="TableNormal0"/>
        <w:tblW w:w="0" w:type="auto"/>
        <w:jc w:val="left"/>
        <w:tblInd w:w="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2"/>
        <w:gridCol w:w="2599"/>
        <w:gridCol w:w="2594"/>
        <w:gridCol w:w="5681"/>
      </w:tblGrid>
      <w:tr>
        <w:tblPrEx>
          <w:tblW w:w="0" w:type="auto"/>
          <w:jc w:val="left"/>
          <w:tblInd w:w="3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2322" w:type="dxa"/>
          </w:tcPr>
          <w:p>
            <w:pPr>
              <w:pStyle w:val="TableParagraph"/>
              <w:spacing w:before="0" w:line="459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工程地质分区</w:t>
            </w:r>
          </w:p>
        </w:tc>
        <w:tc>
          <w:tcPr>
            <w:tcW w:w="2599" w:type="dxa"/>
          </w:tcPr>
          <w:p>
            <w:pPr>
              <w:pStyle w:val="TableParagraph"/>
              <w:spacing w:before="0" w:line="459" w:lineRule="exact"/>
              <w:ind w:left="111"/>
              <w:jc w:val="left"/>
              <w:rPr>
                <w:sz w:val="36"/>
              </w:rPr>
            </w:pPr>
            <w:r>
              <w:rPr>
                <w:sz w:val="36"/>
              </w:rPr>
              <w:t>地下水水位(m)</w:t>
            </w:r>
          </w:p>
        </w:tc>
        <w:tc>
          <w:tcPr>
            <w:tcW w:w="2594" w:type="dxa"/>
          </w:tcPr>
          <w:p>
            <w:pPr>
              <w:pStyle w:val="TableParagraph"/>
              <w:spacing w:before="0" w:line="459" w:lineRule="exact"/>
              <w:ind w:left="173"/>
              <w:jc w:val="left"/>
              <w:rPr>
                <w:sz w:val="36"/>
              </w:rPr>
            </w:pPr>
            <w:r>
              <w:rPr>
                <w:sz w:val="36"/>
              </w:rPr>
              <w:t>现填土厚度(m)</w:t>
            </w:r>
          </w:p>
        </w:tc>
        <w:tc>
          <w:tcPr>
            <w:tcW w:w="5681" w:type="dxa"/>
          </w:tcPr>
          <w:p>
            <w:pPr>
              <w:pStyle w:val="TableParagraph"/>
              <w:spacing w:before="0" w:line="459" w:lineRule="exact"/>
              <w:ind w:left="107"/>
              <w:jc w:val="left"/>
              <w:rPr>
                <w:sz w:val="36"/>
              </w:rPr>
            </w:pPr>
            <w:r>
              <w:rPr>
                <w:sz w:val="36"/>
              </w:rPr>
              <w:t>路基主要情况及持力层</w:t>
            </w: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5"/>
          <w:jc w:val="left"/>
        </w:trPr>
        <w:tc>
          <w:tcPr>
            <w:tcW w:w="2322" w:type="dxa"/>
          </w:tcPr>
          <w:p>
            <w:pPr>
              <w:pStyle w:val="TableParagraph"/>
              <w:spacing w:before="117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I 区</w:t>
            </w:r>
          </w:p>
        </w:tc>
        <w:tc>
          <w:tcPr>
            <w:tcW w:w="2599" w:type="dxa"/>
          </w:tcPr>
          <w:p>
            <w:pPr>
              <w:pStyle w:val="TableParagraph"/>
              <w:spacing w:before="117"/>
              <w:ind w:left="111"/>
              <w:jc w:val="left"/>
              <w:rPr>
                <w:sz w:val="36"/>
              </w:rPr>
            </w:pPr>
            <w:r>
              <w:rPr>
                <w:sz w:val="36"/>
              </w:rPr>
              <w:t>0.6～2.0</w:t>
            </w:r>
          </w:p>
        </w:tc>
        <w:tc>
          <w:tcPr>
            <w:tcW w:w="2594" w:type="dxa"/>
          </w:tcPr>
          <w:p>
            <w:pPr>
              <w:pStyle w:val="TableParagraph"/>
              <w:spacing w:before="117"/>
              <w:ind w:left="173"/>
              <w:jc w:val="left"/>
              <w:rPr>
                <w:sz w:val="36"/>
              </w:rPr>
            </w:pPr>
            <w:r>
              <w:rPr>
                <w:sz w:val="36"/>
              </w:rPr>
              <w:t>0.9～5.0</w:t>
            </w:r>
          </w:p>
        </w:tc>
        <w:tc>
          <w:tcPr>
            <w:tcW w:w="5681" w:type="dxa"/>
          </w:tcPr>
          <w:p>
            <w:pPr>
              <w:pStyle w:val="TableParagraph"/>
              <w:spacing w:before="117"/>
              <w:ind w:left="107"/>
              <w:jc w:val="left"/>
              <w:rPr>
                <w:sz w:val="36"/>
              </w:rPr>
            </w:pPr>
            <w:r>
              <w:rPr>
                <w:sz w:val="36"/>
              </w:rPr>
              <w:t>①层、②层和</w:t>
            </w:r>
            <w:r>
              <w:rPr>
                <w:rFonts w:ascii="Wingdings" w:eastAsia="Wingdings" w:hAnsi="Wingdings"/>
                <w:sz w:val="36"/>
              </w:rPr>
              <w:sym w:font="Wingdings" w:char="F083"/>
            </w:r>
            <w:r>
              <w:rPr>
                <w:sz w:val="36"/>
              </w:rPr>
              <w:t>2 层；</w:t>
            </w: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7"/>
          <w:jc w:val="left"/>
        </w:trPr>
        <w:tc>
          <w:tcPr>
            <w:tcW w:w="2322" w:type="dxa"/>
          </w:tcPr>
          <w:p>
            <w:pPr>
              <w:pStyle w:val="TableParagraph"/>
              <w:spacing w:before="117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II 区</w:t>
            </w:r>
          </w:p>
        </w:tc>
        <w:tc>
          <w:tcPr>
            <w:tcW w:w="2599" w:type="dxa"/>
          </w:tcPr>
          <w:p>
            <w:pPr>
              <w:pStyle w:val="TableParagraph"/>
              <w:spacing w:before="117"/>
              <w:ind w:left="111"/>
              <w:jc w:val="left"/>
              <w:rPr>
                <w:sz w:val="36"/>
              </w:rPr>
            </w:pPr>
            <w:r>
              <w:rPr>
                <w:sz w:val="36"/>
              </w:rPr>
              <w:t>0.9-2.7</w:t>
            </w:r>
          </w:p>
        </w:tc>
        <w:tc>
          <w:tcPr>
            <w:tcW w:w="2594" w:type="dxa"/>
          </w:tcPr>
          <w:p>
            <w:pPr>
              <w:pStyle w:val="TableParagraph"/>
              <w:spacing w:before="117"/>
              <w:ind w:left="173"/>
              <w:jc w:val="left"/>
              <w:rPr>
                <w:sz w:val="36"/>
              </w:rPr>
            </w:pPr>
            <w:r>
              <w:rPr>
                <w:sz w:val="36"/>
              </w:rPr>
              <w:t>0.5～4.0</w:t>
            </w:r>
          </w:p>
        </w:tc>
        <w:tc>
          <w:tcPr>
            <w:tcW w:w="5681" w:type="dxa"/>
          </w:tcPr>
          <w:p>
            <w:pPr>
              <w:pStyle w:val="TableParagraph"/>
              <w:spacing w:before="117"/>
              <w:ind w:left="107"/>
              <w:jc w:val="left"/>
              <w:rPr>
                <w:sz w:val="36"/>
              </w:rPr>
            </w:pPr>
            <w:r>
              <w:rPr>
                <w:sz w:val="36"/>
              </w:rPr>
              <w:t>①层、②层和</w:t>
            </w:r>
            <w:r>
              <w:rPr>
                <w:rFonts w:ascii="Wingdings" w:eastAsia="Wingdings" w:hAnsi="Wingdings"/>
                <w:sz w:val="36"/>
              </w:rPr>
              <w:sym w:font="Wingdings" w:char="F083"/>
            </w:r>
            <w:r>
              <w:rPr>
                <w:sz w:val="36"/>
              </w:rPr>
              <w:t>1 层，局部</w:t>
            </w:r>
            <w:r>
              <w:rPr>
                <w:rFonts w:ascii="Wingdings" w:eastAsia="Wingdings" w:hAnsi="Wingdings"/>
                <w:sz w:val="36"/>
              </w:rPr>
              <w:sym w:font="Wingdings" w:char="F083"/>
            </w:r>
            <w:r>
              <w:rPr>
                <w:sz w:val="36"/>
              </w:rPr>
              <w:t>3 层；</w:t>
            </w:r>
          </w:p>
        </w:tc>
      </w:tr>
      <w:tr>
        <w:tblPrEx>
          <w:tblW w:w="0" w:type="auto"/>
          <w:jc w:val="left"/>
          <w:tblInd w:w="3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8"/>
          <w:jc w:val="left"/>
        </w:trPr>
        <w:tc>
          <w:tcPr>
            <w:tcW w:w="2322" w:type="dxa"/>
          </w:tcPr>
          <w:p>
            <w:pPr>
              <w:pStyle w:val="TableParagraph"/>
              <w:spacing w:before="120" w:line="439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Ⅲ区</w:t>
            </w:r>
          </w:p>
        </w:tc>
        <w:tc>
          <w:tcPr>
            <w:tcW w:w="2599" w:type="dxa"/>
          </w:tcPr>
          <w:p>
            <w:pPr>
              <w:pStyle w:val="TableParagraph"/>
              <w:spacing w:before="120" w:line="439" w:lineRule="exact"/>
              <w:ind w:left="111"/>
              <w:jc w:val="left"/>
              <w:rPr>
                <w:sz w:val="36"/>
              </w:rPr>
            </w:pPr>
            <w:r>
              <w:rPr>
                <w:sz w:val="36"/>
              </w:rPr>
              <w:t>0.9～2.1</w:t>
            </w:r>
          </w:p>
        </w:tc>
        <w:tc>
          <w:tcPr>
            <w:tcW w:w="2594" w:type="dxa"/>
          </w:tcPr>
          <w:p>
            <w:pPr>
              <w:pStyle w:val="TableParagraph"/>
              <w:spacing w:before="120" w:line="439" w:lineRule="exact"/>
              <w:ind w:left="173"/>
              <w:jc w:val="left"/>
              <w:rPr>
                <w:sz w:val="36"/>
              </w:rPr>
            </w:pPr>
            <w:r>
              <w:rPr>
                <w:sz w:val="36"/>
              </w:rPr>
              <w:t>0.5～5.8</w:t>
            </w:r>
          </w:p>
        </w:tc>
        <w:tc>
          <w:tcPr>
            <w:tcW w:w="5681" w:type="dxa"/>
          </w:tcPr>
          <w:p>
            <w:pPr>
              <w:pStyle w:val="TableParagraph"/>
              <w:spacing w:before="120" w:line="439" w:lineRule="exact"/>
              <w:ind w:left="107"/>
              <w:jc w:val="left"/>
              <w:rPr>
                <w:sz w:val="36"/>
              </w:rPr>
            </w:pPr>
            <w:r>
              <w:rPr>
                <w:sz w:val="36"/>
              </w:rPr>
              <w:t>①层、②层和</w:t>
            </w:r>
            <w:r>
              <w:rPr>
                <w:rFonts w:ascii="Wingdings" w:eastAsia="Wingdings" w:hAnsi="Wingdings"/>
                <w:sz w:val="36"/>
              </w:rPr>
              <w:sym w:font="Wingdings" w:char="F083"/>
            </w:r>
            <w:r>
              <w:rPr>
                <w:sz w:val="36"/>
              </w:rPr>
              <w:t>1 层；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spacing w:before="16"/>
        <w:ind w:left="631" w:right="669"/>
        <w:jc w:val="center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-2354505</wp:posOffset>
            </wp:positionV>
            <wp:extent cx="8335708" cy="1938242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5708" cy="1938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场地主要岩土层渗透系数建议值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  <w:r>
        <w:pict>
          <v:group id="_x0000_s1028" style="width:658.4pt;height:51.05pt;margin-top:17.61pt;margin-left:118pt;mso-position-horizontal-relative:page;mso-wrap-distance-left:0;mso-wrap-distance-right:0;position:absolute;z-index:-251655168" coordorigin="2360,352" coordsize="13168,1021">
            <v:shape id="_x0000_s1029" type="#_x0000_t75" style="width:13168;height:1021;left:2360;position:absolute;top:352" stroked="f">
              <v:imagedata r:id="rId1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740;height:376;left:2661;position:absolute;top:66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层号</w:t>
                    </w:r>
                  </w:p>
                </w:txbxContent>
              </v:textbox>
            </v:shape>
            <v:shape id="_x0000_s1031" type="#_x0000_t202" style="width:1460;height:376;left:4547;position:absolute;top:66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岩土名称</w:t>
                    </w:r>
                  </w:p>
                </w:txbxContent>
              </v:textbox>
            </v:shape>
            <v:shape id="_x0000_s1032" type="#_x0000_t202" style="width:2180;height:376;left:8051;position:absolute;top:66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抗剪强度指标</w:t>
                    </w:r>
                  </w:p>
                </w:txbxContent>
              </v:textbox>
            </v:shape>
            <v:shape id="_x0000_s1033" type="#_x0000_t202" style="width:1460;height:376;left:12720;position:absolute;top:66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渗透系数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footerReference w:type="default" r:id="rId14"/>
          <w:pgSz w:w="17860" w:h="25260"/>
          <w:pgMar w:top="1820" w:right="1980" w:bottom="2000" w:left="2020" w:header="0" w:footer="1815"/>
          <w:pgNumType w:start="6"/>
          <w:cols w:space="708"/>
        </w:sectPr>
      </w:pPr>
    </w:p>
    <w:p>
      <w:pPr>
        <w:pStyle w:val="BodyText"/>
        <w:spacing w:before="10"/>
        <w:rPr>
          <w:sz w:val="21"/>
        </w:rPr>
      </w:pPr>
    </w:p>
    <w:tbl>
      <w:tblPr>
        <w:tblStyle w:val="TableNormal1"/>
        <w:tblW w:w="0" w:type="auto"/>
        <w:jc w:val="left"/>
        <w:tblInd w:w="4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3"/>
        <w:gridCol w:w="3359"/>
        <w:gridCol w:w="2026"/>
        <w:gridCol w:w="2335"/>
        <w:gridCol w:w="3749"/>
      </w:tblGrid>
      <w:tr>
        <w:tblPrEx>
          <w:tblW w:w="0" w:type="auto"/>
          <w:jc w:val="left"/>
          <w:tblInd w:w="49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3"/>
          <w:jc w:val="left"/>
        </w:trPr>
        <w:tc>
          <w:tcPr>
            <w:tcW w:w="4502" w:type="dxa"/>
            <w:gridSpan w:val="2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6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spacing w:before="0" w:line="459" w:lineRule="exact"/>
              <w:ind w:left="283" w:right="432"/>
              <w:rPr>
                <w:sz w:val="36"/>
              </w:rPr>
            </w:pPr>
            <w:r>
              <w:rPr>
                <w:sz w:val="36"/>
              </w:rPr>
              <w:t>黏聚力</w:t>
            </w:r>
          </w:p>
          <w:p>
            <w:pPr>
              <w:pStyle w:val="TableParagraph"/>
              <w:spacing w:before="1"/>
              <w:jc w:val="left"/>
              <w:rPr>
                <w:sz w:val="27"/>
              </w:rPr>
            </w:pPr>
          </w:p>
          <w:p>
            <w:pPr>
              <w:pStyle w:val="TableParagraph"/>
              <w:spacing w:before="0"/>
              <w:ind w:right="150"/>
              <w:rPr>
                <w:sz w:val="36"/>
              </w:rPr>
            </w:pPr>
            <w:r>
              <w:rPr>
                <w:sz w:val="36"/>
              </w:rPr>
              <w:t>c</w:t>
            </w:r>
          </w:p>
        </w:tc>
        <w:tc>
          <w:tcPr>
            <w:tcW w:w="2335" w:type="dxa"/>
          </w:tcPr>
          <w:p>
            <w:pPr>
              <w:pStyle w:val="TableParagraph"/>
              <w:spacing w:before="0" w:line="459" w:lineRule="exact"/>
              <w:ind w:left="30" w:right="19"/>
              <w:rPr>
                <w:sz w:val="36"/>
              </w:rPr>
            </w:pPr>
            <w:r>
              <w:rPr>
                <w:sz w:val="36"/>
              </w:rPr>
              <w:t>内摩擦角</w:t>
            </w:r>
          </w:p>
          <w:p>
            <w:pPr>
              <w:pStyle w:val="TableParagraph"/>
              <w:spacing w:before="1"/>
              <w:jc w:val="left"/>
              <w:rPr>
                <w:sz w:val="27"/>
              </w:rPr>
            </w:pPr>
          </w:p>
          <w:p>
            <w:pPr>
              <w:pStyle w:val="TableParagraph"/>
              <w:spacing w:before="0"/>
              <w:ind w:left="6"/>
              <w:rPr>
                <w:sz w:val="36"/>
              </w:rPr>
            </w:pPr>
            <w:r>
              <w:rPr>
                <w:sz w:val="36"/>
              </w:rPr>
              <w:t>Φ</w:t>
            </w:r>
          </w:p>
        </w:tc>
        <w:tc>
          <w:tcPr>
            <w:tcW w:w="3749" w:type="dxa"/>
          </w:tcPr>
          <w:p>
            <w:pPr>
              <w:pStyle w:val="TableParagraph"/>
              <w:spacing w:before="0"/>
              <w:jc w:val="left"/>
              <w:rPr>
                <w:sz w:val="38"/>
              </w:rPr>
            </w:pPr>
          </w:p>
          <w:p>
            <w:pPr>
              <w:pStyle w:val="TableParagraph"/>
              <w:spacing w:before="294"/>
              <w:ind w:left="391"/>
              <w:rPr>
                <w:sz w:val="36"/>
              </w:rPr>
            </w:pPr>
            <w:r>
              <w:rPr>
                <w:sz w:val="36"/>
              </w:rPr>
              <w:t>k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45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ind w:left="284" w:right="432"/>
              <w:rPr>
                <w:sz w:val="36"/>
              </w:rPr>
            </w:pPr>
            <w:r>
              <w:rPr>
                <w:sz w:val="36"/>
              </w:rPr>
              <w:t>（kPa）</w:t>
            </w:r>
          </w:p>
        </w:tc>
        <w:tc>
          <w:tcPr>
            <w:tcW w:w="2335" w:type="dxa"/>
          </w:tcPr>
          <w:p>
            <w:pPr>
              <w:pStyle w:val="TableParagraph"/>
              <w:ind w:left="30" w:right="18"/>
              <w:rPr>
                <w:sz w:val="36"/>
              </w:rPr>
            </w:pPr>
            <w:r>
              <w:rPr>
                <w:sz w:val="36"/>
              </w:rPr>
              <w:t>（°）</w:t>
            </w:r>
          </w:p>
        </w:tc>
        <w:tc>
          <w:tcPr>
            <w:tcW w:w="3749" w:type="dxa"/>
          </w:tcPr>
          <w:p>
            <w:pPr>
              <w:pStyle w:val="TableParagraph"/>
              <w:ind w:left="416" w:right="32"/>
              <w:rPr>
                <w:sz w:val="36"/>
              </w:rPr>
            </w:pPr>
            <w:r>
              <w:rPr>
                <w:sz w:val="36"/>
              </w:rPr>
              <w:t>(cm/s)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143" w:type="dxa"/>
          </w:tcPr>
          <w:p>
            <w:pPr>
              <w:pStyle w:val="TableParagraph"/>
              <w:spacing w:before="206"/>
              <w:ind w:right="119"/>
              <w:rPr>
                <w:sz w:val="36"/>
              </w:rPr>
            </w:pPr>
            <w:r>
              <w:rPr>
                <w:sz w:val="36"/>
              </w:rPr>
              <w:t>①</w:t>
            </w:r>
          </w:p>
        </w:tc>
        <w:tc>
          <w:tcPr>
            <w:tcW w:w="3359" w:type="dxa"/>
          </w:tcPr>
          <w:p>
            <w:pPr>
              <w:pStyle w:val="TableParagraph"/>
              <w:spacing w:before="206"/>
              <w:ind w:left="154" w:right="284"/>
              <w:rPr>
                <w:sz w:val="36"/>
              </w:rPr>
            </w:pPr>
            <w:r>
              <w:rPr>
                <w:sz w:val="36"/>
              </w:rPr>
              <w:t>人工填土</w:t>
            </w:r>
          </w:p>
        </w:tc>
        <w:tc>
          <w:tcPr>
            <w:tcW w:w="2026" w:type="dxa"/>
          </w:tcPr>
          <w:p>
            <w:pPr>
              <w:pStyle w:val="TableParagraph"/>
              <w:spacing w:before="206"/>
              <w:ind w:left="278" w:right="432"/>
              <w:rPr>
                <w:sz w:val="36"/>
              </w:rPr>
            </w:pPr>
            <w:r>
              <w:rPr>
                <w:sz w:val="36"/>
              </w:rPr>
              <w:t>35.00</w:t>
            </w:r>
          </w:p>
        </w:tc>
        <w:tc>
          <w:tcPr>
            <w:tcW w:w="2335" w:type="dxa"/>
          </w:tcPr>
          <w:p>
            <w:pPr>
              <w:pStyle w:val="TableParagraph"/>
              <w:spacing w:before="206"/>
              <w:ind w:left="30" w:right="25"/>
              <w:rPr>
                <w:sz w:val="36"/>
              </w:rPr>
            </w:pPr>
            <w:r>
              <w:rPr>
                <w:sz w:val="36"/>
              </w:rPr>
              <w:t>13.30</w:t>
            </w:r>
          </w:p>
        </w:tc>
        <w:tc>
          <w:tcPr>
            <w:tcW w:w="3749" w:type="dxa"/>
          </w:tcPr>
          <w:p>
            <w:pPr>
              <w:pStyle w:val="TableParagraph"/>
              <w:spacing w:before="206"/>
              <w:ind w:left="421" w:right="32"/>
              <w:rPr>
                <w:sz w:val="36"/>
              </w:rPr>
            </w:pPr>
            <w:r>
              <w:rPr>
                <w:sz w:val="36"/>
              </w:rPr>
              <w:t>1.0×10-5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143" w:type="dxa"/>
          </w:tcPr>
          <w:p>
            <w:pPr>
              <w:pStyle w:val="TableParagraph"/>
              <w:ind w:right="119"/>
              <w:rPr>
                <w:sz w:val="36"/>
              </w:rPr>
            </w:pPr>
            <w:r>
              <w:rPr>
                <w:sz w:val="36"/>
              </w:rPr>
              <w:t>②</w:t>
            </w:r>
          </w:p>
        </w:tc>
        <w:tc>
          <w:tcPr>
            <w:tcW w:w="3359" w:type="dxa"/>
          </w:tcPr>
          <w:p>
            <w:pPr>
              <w:pStyle w:val="TableParagraph"/>
              <w:ind w:left="154" w:right="284"/>
              <w:rPr>
                <w:sz w:val="36"/>
              </w:rPr>
            </w:pPr>
            <w:r>
              <w:rPr>
                <w:sz w:val="36"/>
              </w:rPr>
              <w:t>粉质粘土</w:t>
            </w:r>
          </w:p>
        </w:tc>
        <w:tc>
          <w:tcPr>
            <w:tcW w:w="2026" w:type="dxa"/>
          </w:tcPr>
          <w:p>
            <w:pPr>
              <w:pStyle w:val="TableParagraph"/>
              <w:ind w:left="278" w:right="432"/>
              <w:rPr>
                <w:sz w:val="36"/>
              </w:rPr>
            </w:pPr>
            <w:r>
              <w:rPr>
                <w:sz w:val="36"/>
              </w:rPr>
              <w:t>28.50</w:t>
            </w:r>
          </w:p>
        </w:tc>
        <w:tc>
          <w:tcPr>
            <w:tcW w:w="2335" w:type="dxa"/>
          </w:tcPr>
          <w:p>
            <w:pPr>
              <w:pStyle w:val="TableParagraph"/>
              <w:ind w:left="30" w:right="25"/>
              <w:rPr>
                <w:sz w:val="36"/>
              </w:rPr>
            </w:pPr>
            <w:r>
              <w:rPr>
                <w:sz w:val="36"/>
              </w:rPr>
              <w:t>14.90</w:t>
            </w:r>
          </w:p>
        </w:tc>
        <w:tc>
          <w:tcPr>
            <w:tcW w:w="3749" w:type="dxa"/>
          </w:tcPr>
          <w:p>
            <w:pPr>
              <w:pStyle w:val="TableParagraph"/>
              <w:ind w:left="421" w:right="32"/>
              <w:rPr>
                <w:sz w:val="36"/>
              </w:rPr>
            </w:pPr>
            <w:r>
              <w:rPr>
                <w:sz w:val="36"/>
              </w:rPr>
              <w:t>1.0×10-6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7"/>
          <w:jc w:val="left"/>
        </w:trPr>
        <w:tc>
          <w:tcPr>
            <w:tcW w:w="1143" w:type="dxa"/>
          </w:tcPr>
          <w:p>
            <w:pPr>
              <w:pStyle w:val="TableParagraph"/>
              <w:spacing w:before="9"/>
              <w:jc w:val="left"/>
              <w:rPr>
                <w:sz w:val="44"/>
              </w:rPr>
            </w:pPr>
          </w:p>
          <w:p>
            <w:pPr>
              <w:pStyle w:val="TableParagraph"/>
              <w:spacing w:before="0"/>
              <w:ind w:left="28" w:right="152"/>
              <w:rPr>
                <w:sz w:val="36"/>
              </w:rPr>
            </w:pPr>
            <w:r>
              <w:rPr>
                <w:sz w:val="36"/>
              </w:rPr>
              <w:t>③1</w:t>
            </w:r>
          </w:p>
        </w:tc>
        <w:tc>
          <w:tcPr>
            <w:tcW w:w="3359" w:type="dxa"/>
          </w:tcPr>
          <w:p>
            <w:pPr>
              <w:pStyle w:val="TableParagraph"/>
              <w:ind w:left="154" w:right="284"/>
              <w:rPr>
                <w:sz w:val="36"/>
              </w:rPr>
            </w:pPr>
            <w:r>
              <w:rPr>
                <w:sz w:val="36"/>
              </w:rPr>
              <w:t>含粘性土砾砂混角</w:t>
            </w:r>
          </w:p>
          <w:p>
            <w:pPr>
              <w:pStyle w:val="TableParagraph"/>
              <w:spacing w:before="3"/>
              <w:jc w:val="left"/>
              <w:rPr>
                <w:sz w:val="26"/>
              </w:rPr>
            </w:pPr>
          </w:p>
          <w:p>
            <w:pPr>
              <w:pStyle w:val="TableParagraph"/>
              <w:spacing w:before="0"/>
              <w:ind w:right="130"/>
              <w:rPr>
                <w:sz w:val="36"/>
              </w:rPr>
            </w:pPr>
            <w:r>
              <w:rPr>
                <w:sz w:val="36"/>
              </w:rPr>
              <w:t>砾</w:t>
            </w:r>
          </w:p>
        </w:tc>
        <w:tc>
          <w:tcPr>
            <w:tcW w:w="2026" w:type="dxa"/>
          </w:tcPr>
          <w:p>
            <w:pPr>
              <w:pStyle w:val="TableParagraph"/>
              <w:spacing w:before="9"/>
              <w:jc w:val="left"/>
              <w:rPr>
                <w:sz w:val="44"/>
              </w:rPr>
            </w:pPr>
          </w:p>
          <w:p>
            <w:pPr>
              <w:pStyle w:val="TableParagraph"/>
              <w:spacing w:before="0"/>
              <w:ind w:left="283" w:right="432"/>
              <w:rPr>
                <w:sz w:val="36"/>
              </w:rPr>
            </w:pPr>
            <w:r>
              <w:rPr>
                <w:sz w:val="36"/>
              </w:rPr>
              <w:t>6*</w:t>
            </w:r>
          </w:p>
        </w:tc>
        <w:tc>
          <w:tcPr>
            <w:tcW w:w="2335" w:type="dxa"/>
          </w:tcPr>
          <w:p>
            <w:pPr>
              <w:pStyle w:val="TableParagraph"/>
              <w:spacing w:before="9"/>
              <w:jc w:val="left"/>
              <w:rPr>
                <w:sz w:val="44"/>
              </w:rPr>
            </w:pPr>
          </w:p>
          <w:p>
            <w:pPr>
              <w:pStyle w:val="TableParagraph"/>
              <w:spacing w:before="0"/>
              <w:ind w:left="30" w:right="18"/>
              <w:rPr>
                <w:sz w:val="36"/>
              </w:rPr>
            </w:pPr>
            <w:r>
              <w:rPr>
                <w:sz w:val="36"/>
              </w:rPr>
              <w:t>28*</w:t>
            </w:r>
          </w:p>
        </w:tc>
        <w:tc>
          <w:tcPr>
            <w:tcW w:w="3749" w:type="dxa"/>
          </w:tcPr>
          <w:p>
            <w:pPr>
              <w:pStyle w:val="TableParagraph"/>
              <w:spacing w:before="9"/>
              <w:jc w:val="left"/>
              <w:rPr>
                <w:sz w:val="44"/>
              </w:rPr>
            </w:pPr>
          </w:p>
          <w:p>
            <w:pPr>
              <w:pStyle w:val="TableParagraph"/>
              <w:spacing w:before="0"/>
              <w:ind w:left="421" w:right="32"/>
              <w:rPr>
                <w:sz w:val="36"/>
              </w:rPr>
            </w:pPr>
            <w:r>
              <w:rPr>
                <w:sz w:val="36"/>
              </w:rPr>
              <w:t>1.0×10-2～1.0×10-3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143" w:type="dxa"/>
          </w:tcPr>
          <w:p>
            <w:pPr>
              <w:pStyle w:val="TableParagraph"/>
              <w:ind w:left="28" w:right="152"/>
              <w:rPr>
                <w:sz w:val="36"/>
              </w:rPr>
            </w:pPr>
            <w:r>
              <w:rPr>
                <w:sz w:val="36"/>
              </w:rPr>
              <w:t>③2</w:t>
            </w:r>
          </w:p>
        </w:tc>
        <w:tc>
          <w:tcPr>
            <w:tcW w:w="3359" w:type="dxa"/>
          </w:tcPr>
          <w:p>
            <w:pPr>
              <w:pStyle w:val="TableParagraph"/>
              <w:ind w:left="154" w:right="284"/>
              <w:rPr>
                <w:sz w:val="36"/>
              </w:rPr>
            </w:pPr>
            <w:r>
              <w:rPr>
                <w:sz w:val="36"/>
              </w:rPr>
              <w:t>砾砂</w:t>
            </w:r>
          </w:p>
        </w:tc>
        <w:tc>
          <w:tcPr>
            <w:tcW w:w="2026" w:type="dxa"/>
          </w:tcPr>
          <w:p>
            <w:pPr>
              <w:pStyle w:val="TableParagraph"/>
              <w:ind w:left="283" w:right="432"/>
              <w:rPr>
                <w:sz w:val="36"/>
              </w:rPr>
            </w:pPr>
            <w:r>
              <w:rPr>
                <w:sz w:val="36"/>
              </w:rPr>
              <w:t>4*</w:t>
            </w:r>
          </w:p>
        </w:tc>
        <w:tc>
          <w:tcPr>
            <w:tcW w:w="2335" w:type="dxa"/>
          </w:tcPr>
          <w:p>
            <w:pPr>
              <w:pStyle w:val="TableParagraph"/>
              <w:ind w:left="30" w:right="18"/>
              <w:rPr>
                <w:sz w:val="36"/>
              </w:rPr>
            </w:pPr>
            <w:r>
              <w:rPr>
                <w:sz w:val="36"/>
              </w:rPr>
              <w:t>30*</w:t>
            </w:r>
          </w:p>
        </w:tc>
        <w:tc>
          <w:tcPr>
            <w:tcW w:w="3749" w:type="dxa"/>
          </w:tcPr>
          <w:p>
            <w:pPr>
              <w:pStyle w:val="TableParagraph"/>
              <w:ind w:left="421" w:right="32"/>
              <w:rPr>
                <w:sz w:val="36"/>
              </w:rPr>
            </w:pPr>
            <w:r>
              <w:rPr>
                <w:sz w:val="36"/>
              </w:rPr>
              <w:t>1.0×10-2～1.0×10-3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143" w:type="dxa"/>
          </w:tcPr>
          <w:p>
            <w:pPr>
              <w:pStyle w:val="TableParagraph"/>
              <w:ind w:left="30" w:right="152"/>
              <w:rPr>
                <w:sz w:val="36"/>
              </w:rPr>
            </w:pPr>
            <w:r>
              <w:rPr>
                <w:sz w:val="36"/>
              </w:rPr>
              <w:t>③1-1</w:t>
            </w:r>
          </w:p>
        </w:tc>
        <w:tc>
          <w:tcPr>
            <w:tcW w:w="3359" w:type="dxa"/>
          </w:tcPr>
          <w:p>
            <w:pPr>
              <w:pStyle w:val="TableParagraph"/>
              <w:ind w:left="154" w:right="284"/>
              <w:rPr>
                <w:sz w:val="36"/>
              </w:rPr>
            </w:pPr>
            <w:r>
              <w:rPr>
                <w:sz w:val="36"/>
              </w:rPr>
              <w:t>粉质粘土</w:t>
            </w:r>
          </w:p>
        </w:tc>
        <w:tc>
          <w:tcPr>
            <w:tcW w:w="2026" w:type="dxa"/>
          </w:tcPr>
          <w:p>
            <w:pPr>
              <w:pStyle w:val="TableParagraph"/>
              <w:ind w:left="278" w:right="432"/>
              <w:rPr>
                <w:sz w:val="36"/>
              </w:rPr>
            </w:pPr>
            <w:r>
              <w:rPr>
                <w:sz w:val="36"/>
              </w:rPr>
              <w:t>28.70</w:t>
            </w:r>
          </w:p>
        </w:tc>
        <w:tc>
          <w:tcPr>
            <w:tcW w:w="2335" w:type="dxa"/>
          </w:tcPr>
          <w:p>
            <w:pPr>
              <w:pStyle w:val="TableParagraph"/>
              <w:ind w:left="30" w:right="25"/>
              <w:rPr>
                <w:sz w:val="36"/>
              </w:rPr>
            </w:pPr>
            <w:r>
              <w:rPr>
                <w:sz w:val="36"/>
              </w:rPr>
              <w:t>15.20</w:t>
            </w:r>
          </w:p>
        </w:tc>
        <w:tc>
          <w:tcPr>
            <w:tcW w:w="3749" w:type="dxa"/>
          </w:tcPr>
          <w:p>
            <w:pPr>
              <w:pStyle w:val="TableParagraph"/>
              <w:ind w:left="421" w:right="32"/>
              <w:rPr>
                <w:sz w:val="36"/>
              </w:rPr>
            </w:pPr>
            <w:r>
              <w:rPr>
                <w:sz w:val="36"/>
              </w:rPr>
              <w:t>1.0×10-5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143" w:type="dxa"/>
          </w:tcPr>
          <w:p>
            <w:pPr>
              <w:pStyle w:val="TableParagraph"/>
              <w:ind w:left="30" w:right="152"/>
              <w:rPr>
                <w:sz w:val="36"/>
              </w:rPr>
            </w:pPr>
            <w:r>
              <w:rPr>
                <w:sz w:val="36"/>
              </w:rPr>
              <w:t>③2-1</w:t>
            </w:r>
          </w:p>
        </w:tc>
        <w:tc>
          <w:tcPr>
            <w:tcW w:w="3359" w:type="dxa"/>
          </w:tcPr>
          <w:p>
            <w:pPr>
              <w:pStyle w:val="TableParagraph"/>
              <w:ind w:left="154" w:right="284"/>
              <w:rPr>
                <w:sz w:val="36"/>
              </w:rPr>
            </w:pPr>
            <w:r>
              <w:rPr>
                <w:sz w:val="36"/>
              </w:rPr>
              <w:t>粉质粘土</w:t>
            </w:r>
          </w:p>
        </w:tc>
        <w:tc>
          <w:tcPr>
            <w:tcW w:w="2026" w:type="dxa"/>
          </w:tcPr>
          <w:p>
            <w:pPr>
              <w:pStyle w:val="TableParagraph"/>
              <w:ind w:left="278" w:right="432"/>
              <w:rPr>
                <w:sz w:val="36"/>
              </w:rPr>
            </w:pPr>
            <w:r>
              <w:rPr>
                <w:sz w:val="36"/>
              </w:rPr>
              <w:t>28.70</w:t>
            </w:r>
          </w:p>
        </w:tc>
        <w:tc>
          <w:tcPr>
            <w:tcW w:w="2335" w:type="dxa"/>
          </w:tcPr>
          <w:p>
            <w:pPr>
              <w:pStyle w:val="TableParagraph"/>
              <w:ind w:left="30" w:right="25"/>
              <w:rPr>
                <w:sz w:val="36"/>
              </w:rPr>
            </w:pPr>
            <w:r>
              <w:rPr>
                <w:sz w:val="36"/>
              </w:rPr>
              <w:t>15.20</w:t>
            </w:r>
          </w:p>
        </w:tc>
        <w:tc>
          <w:tcPr>
            <w:tcW w:w="3749" w:type="dxa"/>
          </w:tcPr>
          <w:p>
            <w:pPr>
              <w:pStyle w:val="TableParagraph"/>
              <w:ind w:left="421" w:right="32"/>
              <w:rPr>
                <w:sz w:val="36"/>
              </w:rPr>
            </w:pPr>
            <w:r>
              <w:rPr>
                <w:sz w:val="36"/>
              </w:rPr>
              <w:t>1.0×10-5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1143" w:type="dxa"/>
          </w:tcPr>
          <w:p>
            <w:pPr>
              <w:pStyle w:val="TableParagraph"/>
              <w:spacing w:before="206"/>
              <w:ind w:left="28" w:right="152"/>
              <w:rPr>
                <w:sz w:val="36"/>
              </w:rPr>
            </w:pPr>
            <w:r>
              <w:rPr>
                <w:sz w:val="36"/>
              </w:rPr>
              <w:t>③3</w:t>
            </w:r>
          </w:p>
        </w:tc>
        <w:tc>
          <w:tcPr>
            <w:tcW w:w="3359" w:type="dxa"/>
          </w:tcPr>
          <w:p>
            <w:pPr>
              <w:pStyle w:val="TableParagraph"/>
              <w:spacing w:before="206"/>
              <w:ind w:left="154" w:right="284"/>
              <w:rPr>
                <w:sz w:val="36"/>
              </w:rPr>
            </w:pPr>
            <w:r>
              <w:rPr>
                <w:sz w:val="36"/>
              </w:rPr>
              <w:t>泥炭质土</w:t>
            </w:r>
          </w:p>
        </w:tc>
        <w:tc>
          <w:tcPr>
            <w:tcW w:w="2026" w:type="dxa"/>
          </w:tcPr>
          <w:p>
            <w:pPr>
              <w:pStyle w:val="TableParagraph"/>
              <w:spacing w:before="206"/>
              <w:ind w:left="278" w:right="432"/>
              <w:rPr>
                <w:sz w:val="36"/>
              </w:rPr>
            </w:pPr>
            <w:r>
              <w:rPr>
                <w:sz w:val="36"/>
              </w:rPr>
              <w:t>20.00</w:t>
            </w:r>
          </w:p>
        </w:tc>
        <w:tc>
          <w:tcPr>
            <w:tcW w:w="2335" w:type="dxa"/>
          </w:tcPr>
          <w:p>
            <w:pPr>
              <w:pStyle w:val="TableParagraph"/>
              <w:spacing w:before="206"/>
              <w:ind w:left="30" w:right="25"/>
              <w:rPr>
                <w:sz w:val="36"/>
              </w:rPr>
            </w:pPr>
            <w:r>
              <w:rPr>
                <w:sz w:val="36"/>
              </w:rPr>
              <w:t>10.00</w:t>
            </w:r>
          </w:p>
        </w:tc>
        <w:tc>
          <w:tcPr>
            <w:tcW w:w="3749" w:type="dxa"/>
          </w:tcPr>
          <w:p>
            <w:pPr>
              <w:pStyle w:val="TableParagraph"/>
              <w:spacing w:before="206"/>
              <w:ind w:left="421" w:right="32"/>
              <w:rPr>
                <w:sz w:val="36"/>
              </w:rPr>
            </w:pPr>
            <w:r>
              <w:rPr>
                <w:sz w:val="36"/>
              </w:rPr>
              <w:t>1.0×10-5</w:t>
            </w:r>
          </w:p>
        </w:tc>
      </w:tr>
      <w:tr>
        <w:tblPrEx>
          <w:tblW w:w="0" w:type="auto"/>
          <w:jc w:val="left"/>
          <w:tblInd w:w="4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1143" w:type="dxa"/>
          </w:tcPr>
          <w:p>
            <w:pPr>
              <w:pStyle w:val="TableParagraph"/>
              <w:spacing w:line="439" w:lineRule="exact"/>
              <w:ind w:right="119"/>
              <w:rPr>
                <w:sz w:val="36"/>
              </w:rPr>
            </w:pPr>
            <w:r>
              <w:rPr>
                <w:sz w:val="36"/>
              </w:rPr>
              <w:t>④</w:t>
            </w:r>
          </w:p>
        </w:tc>
        <w:tc>
          <w:tcPr>
            <w:tcW w:w="3359" w:type="dxa"/>
          </w:tcPr>
          <w:p>
            <w:pPr>
              <w:pStyle w:val="TableParagraph"/>
              <w:spacing w:line="439" w:lineRule="exact"/>
              <w:ind w:left="154" w:right="284"/>
              <w:rPr>
                <w:sz w:val="36"/>
              </w:rPr>
            </w:pPr>
            <w:r>
              <w:rPr>
                <w:sz w:val="36"/>
              </w:rPr>
              <w:t>粉质粘土</w:t>
            </w:r>
          </w:p>
        </w:tc>
        <w:tc>
          <w:tcPr>
            <w:tcW w:w="2026" w:type="dxa"/>
          </w:tcPr>
          <w:p>
            <w:pPr>
              <w:pStyle w:val="TableParagraph"/>
              <w:spacing w:line="439" w:lineRule="exact"/>
              <w:ind w:left="278" w:right="432"/>
              <w:rPr>
                <w:sz w:val="36"/>
              </w:rPr>
            </w:pPr>
            <w:r>
              <w:rPr>
                <w:sz w:val="36"/>
              </w:rPr>
              <w:t>29.20</w:t>
            </w:r>
          </w:p>
        </w:tc>
        <w:tc>
          <w:tcPr>
            <w:tcW w:w="2335" w:type="dxa"/>
          </w:tcPr>
          <w:p>
            <w:pPr>
              <w:pStyle w:val="TableParagraph"/>
              <w:spacing w:line="439" w:lineRule="exact"/>
              <w:ind w:left="30" w:right="25"/>
              <w:rPr>
                <w:sz w:val="36"/>
              </w:rPr>
            </w:pPr>
            <w:r>
              <w:rPr>
                <w:sz w:val="36"/>
              </w:rPr>
              <w:t>16.50</w:t>
            </w:r>
          </w:p>
        </w:tc>
        <w:tc>
          <w:tcPr>
            <w:tcW w:w="3749" w:type="dxa"/>
          </w:tcPr>
          <w:p>
            <w:pPr>
              <w:pStyle w:val="TableParagraph"/>
              <w:spacing w:line="439" w:lineRule="exact"/>
              <w:ind w:left="421" w:right="32"/>
              <w:rPr>
                <w:sz w:val="36"/>
              </w:rPr>
            </w:pPr>
            <w:r>
              <w:rPr>
                <w:sz w:val="36"/>
              </w:rPr>
              <w:t>1.0×10-5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Heading1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-8194771</wp:posOffset>
            </wp:positionV>
            <wp:extent cx="8348415" cy="7258907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8415" cy="7258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_TOC_250012"/>
      <w:bookmarkEnd w:id="4"/>
      <w:r>
        <w:t>第二章、编制依据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4"/>
        <w:rPr>
          <w:b/>
          <w:sz w:val="12"/>
        </w:rPr>
      </w:pPr>
    </w:p>
    <w:p>
      <w:pPr>
        <w:pStyle w:val="Heading2"/>
        <w:numPr>
          <w:ilvl w:val="1"/>
          <w:numId w:val="23"/>
        </w:numPr>
        <w:tabs>
          <w:tab w:val="left" w:pos="1353"/>
        </w:tabs>
        <w:spacing w:before="4" w:after="0" w:line="240" w:lineRule="auto"/>
        <w:ind w:left="1352" w:right="0" w:hanging="673"/>
        <w:jc w:val="left"/>
      </w:pPr>
      <w:bookmarkStart w:id="5" w:name="_TOC_250011"/>
      <w:bookmarkEnd w:id="5"/>
      <w:r>
        <w:t>相关资料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ListParagraph"/>
        <w:numPr>
          <w:ilvl w:val="2"/>
          <w:numId w:val="23"/>
        </w:numPr>
        <w:tabs>
          <w:tab w:val="left" w:pos="1848"/>
        </w:tabs>
        <w:spacing w:before="0" w:after="0" w:line="240" w:lineRule="auto"/>
        <w:ind w:left="1848" w:right="0" w:hanging="912"/>
        <w:jc w:val="left"/>
        <w:rPr>
          <w:sz w:val="36"/>
        </w:rPr>
      </w:pPr>
      <w:r>
        <w:rPr>
          <w:sz w:val="36"/>
        </w:rPr>
        <w:t>项目基坑围护设计图纸（中国市政工程华北设计研究总院有限公司</w:t>
      </w:r>
      <w:r>
        <w:rPr>
          <w:spacing w:val="-180"/>
          <w:sz w:val="36"/>
        </w:rPr>
        <w:t>）</w:t>
      </w:r>
      <w:r>
        <w:rPr>
          <w:sz w:val="36"/>
        </w:rPr>
        <w:t>；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2"/>
          <w:numId w:val="23"/>
        </w:numPr>
        <w:tabs>
          <w:tab w:val="left" w:pos="1848"/>
        </w:tabs>
        <w:spacing w:before="0" w:after="0" w:line="415" w:lineRule="auto"/>
        <w:ind w:left="680" w:right="850" w:firstLine="255"/>
        <w:jc w:val="left"/>
        <w:rPr>
          <w:sz w:val="36"/>
        </w:rPr>
      </w:pPr>
      <w:r>
        <w:rPr>
          <w:spacing w:val="-1"/>
          <w:sz w:val="36"/>
        </w:rPr>
        <w:t>参照《玉溪市红塔大道地下综合管廊岩土工程勘察报告》岩土工程勘察</w:t>
      </w:r>
      <w:r>
        <w:rPr>
          <w:sz w:val="36"/>
        </w:rPr>
        <w:t>报告，昆明勘测设计研究院有限公司；</w:t>
      </w:r>
    </w:p>
    <w:p>
      <w:pPr>
        <w:pStyle w:val="ListParagraph"/>
        <w:numPr>
          <w:ilvl w:val="2"/>
          <w:numId w:val="23"/>
        </w:numPr>
        <w:tabs>
          <w:tab w:val="left" w:pos="1848"/>
        </w:tabs>
        <w:spacing w:before="0" w:after="0" w:line="538" w:lineRule="exact"/>
        <w:ind w:left="1848" w:right="0" w:hanging="912"/>
        <w:jc w:val="left"/>
        <w:rPr>
          <w:sz w:val="36"/>
        </w:rPr>
      </w:pPr>
      <w:r>
        <w:rPr>
          <w:sz w:val="36"/>
        </w:rPr>
        <w:t>本市相关规定；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2"/>
          <w:numId w:val="23"/>
        </w:numPr>
        <w:tabs>
          <w:tab w:val="left" w:pos="1848"/>
        </w:tabs>
        <w:spacing w:before="1" w:after="0" w:line="240" w:lineRule="auto"/>
        <w:ind w:left="1848" w:right="0" w:hanging="912"/>
        <w:jc w:val="left"/>
        <w:rPr>
          <w:sz w:val="36"/>
        </w:rPr>
      </w:pPr>
      <w:r>
        <w:rPr>
          <w:sz w:val="36"/>
        </w:rPr>
        <w:t>我司现场踏勘资料；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2"/>
          <w:numId w:val="23"/>
        </w:numPr>
        <w:tabs>
          <w:tab w:val="left" w:pos="1848"/>
        </w:tabs>
        <w:spacing w:before="0" w:after="0" w:line="240" w:lineRule="auto"/>
        <w:ind w:left="1848" w:right="0" w:hanging="912"/>
        <w:jc w:val="left"/>
        <w:rPr>
          <w:sz w:val="36"/>
        </w:rPr>
      </w:pPr>
      <w:r>
        <w:rPr>
          <w:sz w:val="36"/>
        </w:rPr>
        <w:t>现场试桩情况。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16"/>
          <w:pgSz w:w="17860" w:h="25260"/>
          <w:pgMar w:top="1820" w:right="1980" w:bottom="2000" w:left="2020" w:header="0" w:footer="1815"/>
          <w:pgNumType w:start="7"/>
          <w:cols w:space="708"/>
        </w:sectPr>
      </w:pPr>
    </w:p>
    <w:p>
      <w:pPr>
        <w:pStyle w:val="Heading2"/>
        <w:numPr>
          <w:ilvl w:val="1"/>
          <w:numId w:val="15"/>
        </w:numPr>
        <w:tabs>
          <w:tab w:val="left" w:pos="1353"/>
        </w:tabs>
        <w:spacing w:before="0" w:after="0" w:line="607" w:lineRule="exact"/>
        <w:ind w:left="1352" w:right="0" w:hanging="673"/>
        <w:jc w:val="left"/>
      </w:pPr>
      <w:bookmarkStart w:id="6" w:name="_TOC_250010"/>
      <w:bookmarkEnd w:id="6"/>
      <w:r>
        <w:t>使用规范</w:t>
      </w:r>
    </w:p>
    <w:p>
      <w:pPr>
        <w:pStyle w:val="Heading3"/>
        <w:numPr>
          <w:ilvl w:val="0"/>
          <w:numId w:val="14"/>
        </w:numPr>
        <w:tabs>
          <w:tab w:val="left" w:pos="1604"/>
        </w:tabs>
        <w:spacing w:before="174" w:after="0" w:line="240" w:lineRule="auto"/>
        <w:ind w:left="1603" w:right="0" w:hanging="924"/>
        <w:jc w:val="left"/>
      </w:pPr>
      <w:r>
        <w:t>国家标准：</w:t>
      </w:r>
    </w:p>
    <w:p>
      <w:pPr>
        <w:pStyle w:val="BodyText"/>
        <w:spacing w:before="189"/>
        <w:ind w:left="1220"/>
      </w:pPr>
      <w:r>
        <w:t>《岩土工程勘察规范》（GB50021-2001）（2009年版）；</w:t>
      </w:r>
    </w:p>
    <w:p>
      <w:pPr>
        <w:pStyle w:val="BodyText"/>
        <w:spacing w:before="189"/>
        <w:ind w:left="1220"/>
      </w:pPr>
      <w:r>
        <w:t>《建筑地基基础设计规范》（GB50007-2011）；</w:t>
      </w:r>
    </w:p>
    <w:p>
      <w:pPr>
        <w:pStyle w:val="BodyText"/>
        <w:spacing w:before="192"/>
        <w:ind w:left="1220"/>
      </w:pPr>
      <w:r>
        <w:t>《建筑抗震设计规范》（GB50011-2010）；</w:t>
      </w:r>
    </w:p>
    <w:p>
      <w:pPr>
        <w:pStyle w:val="BodyText"/>
        <w:spacing w:before="189"/>
        <w:ind w:left="1220"/>
      </w:pPr>
      <w:r>
        <w:t>《土工试验方法标准》（GB／T50123-1999）；</w:t>
      </w:r>
    </w:p>
    <w:p>
      <w:pPr>
        <w:pStyle w:val="BodyText"/>
        <w:spacing w:before="188"/>
        <w:ind w:left="1220"/>
      </w:pPr>
      <w:r>
        <w:t>《工程测量规范》（GB50026-2007）；</w:t>
      </w:r>
    </w:p>
    <w:p>
      <w:pPr>
        <w:pStyle w:val="BodyText"/>
        <w:spacing w:before="189"/>
        <w:ind w:left="1220"/>
      </w:pPr>
      <w:r>
        <w:t>《岩土工程勘察安全规范》（GB50585-2010）；</w:t>
      </w:r>
    </w:p>
    <w:p>
      <w:pPr>
        <w:pStyle w:val="BodyText"/>
        <w:spacing w:before="189"/>
        <w:ind w:left="1220"/>
      </w:pPr>
      <w:r>
        <w:t>《供水水文地质勘察规范》(GB50027-2001)；</w:t>
      </w:r>
    </w:p>
    <w:p>
      <w:pPr>
        <w:pStyle w:val="Heading3"/>
        <w:numPr>
          <w:ilvl w:val="0"/>
          <w:numId w:val="14"/>
        </w:numPr>
        <w:tabs>
          <w:tab w:val="left" w:pos="1604"/>
        </w:tabs>
        <w:spacing w:before="189" w:after="0" w:line="240" w:lineRule="auto"/>
        <w:ind w:left="1603" w:right="0" w:hanging="924"/>
        <w:jc w:val="left"/>
      </w:pPr>
      <w:r>
        <w:t>行业标准：</w:t>
      </w:r>
    </w:p>
    <w:p>
      <w:pPr>
        <w:pStyle w:val="BodyText"/>
        <w:spacing w:before="192"/>
        <w:ind w:left="1220"/>
        <w:rPr>
          <w:b/>
        </w:rPr>
      </w:pPr>
      <w:r>
        <w:t>《高层建筑岩土工程勘察规程》（JGJ72-2004）</w:t>
      </w:r>
      <w:r>
        <w:rPr>
          <w:b/>
        </w:rPr>
        <w:t>；</w:t>
      </w:r>
    </w:p>
    <w:p>
      <w:pPr>
        <w:pStyle w:val="BodyText"/>
        <w:spacing w:before="189"/>
        <w:ind w:left="1220"/>
      </w:pPr>
      <w:r>
        <w:t>《建筑桩基技术规范》（JGJ94-2008）；</w:t>
      </w:r>
    </w:p>
    <w:p>
      <w:pPr>
        <w:pStyle w:val="BodyText"/>
        <w:spacing w:before="189"/>
        <w:ind w:left="1220"/>
      </w:pPr>
      <w:r>
        <w:t>《建筑基坑支护技术规程》（JGJ120-2012）；</w:t>
      </w:r>
    </w:p>
    <w:p>
      <w:pPr>
        <w:pStyle w:val="BodyText"/>
        <w:spacing w:before="188"/>
        <w:ind w:left="1220"/>
      </w:pPr>
      <w:r>
        <w:t>《建筑地基处理技术规范》（JGJ79-2012）；</w:t>
      </w:r>
    </w:p>
    <w:p>
      <w:pPr>
        <w:pStyle w:val="BodyText"/>
        <w:spacing w:before="189"/>
        <w:ind w:left="1220"/>
      </w:pPr>
      <w:r>
        <w:t>《建筑机械使用安全技术规程》（JGJ33-2012）</w:t>
      </w:r>
    </w:p>
    <w:p>
      <w:pPr>
        <w:pStyle w:val="BodyText"/>
        <w:spacing w:before="189"/>
        <w:ind w:left="1220"/>
      </w:pPr>
      <w:r>
        <w:t>《施工现场临时用电安全技术规范》（JGJ46-2005）</w:t>
      </w:r>
    </w:p>
    <w:p>
      <w:pPr>
        <w:pStyle w:val="Heading3"/>
        <w:numPr>
          <w:ilvl w:val="0"/>
          <w:numId w:val="14"/>
        </w:numPr>
        <w:tabs>
          <w:tab w:val="left" w:pos="1604"/>
        </w:tabs>
        <w:spacing w:before="193" w:after="0" w:line="240" w:lineRule="auto"/>
        <w:ind w:left="1603" w:right="0" w:hanging="924"/>
        <w:jc w:val="left"/>
      </w:pPr>
      <w:r>
        <w:t>主要政府法规：</w:t>
      </w:r>
    </w:p>
    <w:p>
      <w:pPr>
        <w:pStyle w:val="BodyText"/>
        <w:spacing w:before="188"/>
        <w:ind w:left="1400"/>
      </w:pPr>
      <w:r>
        <w:t>1、国务院第 393 号令《建设工程安全生产管理条例》</w:t>
      </w:r>
    </w:p>
    <w:p>
      <w:pPr>
        <w:pStyle w:val="BodyText"/>
        <w:spacing w:before="189"/>
        <w:ind w:left="1400"/>
      </w:pPr>
      <w:r>
        <w:t>2、《建设工程施工现场管理规定》</w:t>
      </w:r>
    </w:p>
    <w:p>
      <w:pPr>
        <w:pStyle w:val="BodyText"/>
        <w:spacing w:before="189"/>
        <w:ind w:left="1400"/>
      </w:pPr>
      <w:r>
        <w:t>3、《施工现场安全防护用具及机械设备使用监督管理的通知》</w:t>
      </w:r>
    </w:p>
    <w:p>
      <w:pPr>
        <w:pStyle w:val="BodyText"/>
        <w:spacing w:before="188"/>
        <w:ind w:left="1400"/>
      </w:pPr>
      <w:r>
        <w:t>4、《建设工程质量管理条例》</w:t>
      </w:r>
    </w:p>
    <w:p>
      <w:pPr>
        <w:pStyle w:val="BodyText"/>
        <w:spacing w:before="189"/>
        <w:ind w:left="1400"/>
      </w:pPr>
      <w:r>
        <w:t>5、《突发公共卫生事件应急条例》</w:t>
      </w:r>
    </w:p>
    <w:p>
      <w:pPr>
        <w:pStyle w:val="BodyText"/>
        <w:spacing w:before="193"/>
        <w:ind w:left="1400"/>
      </w:pPr>
      <w:r>
        <w:t>6、《关于加强建筑工程夜间施工噪音管理的通知》</w:t>
      </w:r>
    </w:p>
    <w:p>
      <w:pPr>
        <w:pStyle w:val="BodyText"/>
        <w:spacing w:before="189" w:line="324" w:lineRule="auto"/>
        <w:ind w:left="680" w:right="716" w:firstLine="719"/>
        <w:jc w:val="both"/>
      </w:pPr>
      <w:r>
        <w:t>7</w:t>
      </w:r>
      <w:r>
        <w:rPr>
          <w:spacing w:val="-7"/>
        </w:rPr>
        <w:t>、建质</w:t>
      </w:r>
      <w:r>
        <w:t>[2004]213</w:t>
      </w:r>
      <w:r>
        <w:rPr>
          <w:spacing w:val="-7"/>
        </w:rPr>
        <w:t xml:space="preserve"> 号《关于印发&lt;建筑施工企业安全生产管理机构设置及专</w:t>
      </w:r>
      <w:r>
        <w:rPr>
          <w:spacing w:val="-4"/>
        </w:rPr>
        <w:t>职安全生产管理人员配备办法&gt;和&lt;危险性较大工程安全专项施工方案编制及专家论证审查办法&gt;的通知》</w:t>
      </w:r>
    </w:p>
    <w:p>
      <w:pPr>
        <w:pStyle w:val="BodyText"/>
        <w:spacing w:line="539" w:lineRule="exact"/>
        <w:ind w:left="1400"/>
        <w:jc w:val="both"/>
      </w:pPr>
      <w:r>
        <w:t>8、建质【2009】87 号《危险性较大的分部分项工程安全管理办法》</w:t>
      </w:r>
    </w:p>
    <w:p>
      <w:pPr>
        <w:spacing w:after="0" w:line="539" w:lineRule="exact"/>
        <w:jc w:val="both"/>
        <w:sectPr>
          <w:footerReference w:type="default" r:id="rId17"/>
          <w:pgSz w:w="17860" w:h="25260"/>
          <w:pgMar w:top="1980" w:right="1980" w:bottom="2000" w:left="2020" w:header="0" w:footer="1815"/>
          <w:pgNumType w:start="8"/>
          <w:cols w:space="708"/>
        </w:sectPr>
      </w:pPr>
    </w:p>
    <w:p>
      <w:pPr>
        <w:pStyle w:val="Heading2"/>
        <w:numPr>
          <w:ilvl w:val="1"/>
          <w:numId w:val="15"/>
        </w:numPr>
        <w:tabs>
          <w:tab w:val="left" w:pos="1353"/>
        </w:tabs>
        <w:spacing w:before="0" w:after="0" w:line="607" w:lineRule="exact"/>
        <w:ind w:left="1352" w:right="0" w:hanging="673"/>
        <w:jc w:val="left"/>
      </w:pPr>
      <w:r>
        <w:pict>
          <v:group id="_x0000_s1034" style="width:893pt;height:1248pt;margin-top:0;margin-left:0;mso-position-horizontal-relative:page;mso-position-vertical-relative:page;position:absolute;z-index:-251653120" coordorigin="0,0" coordsize="17860,24960">
            <v:shape id="_x0000_s1035" type="#_x0000_t75" style="width:6900;height:3220;left:2500;position:absolute;top:21740" stroked="f">
              <v:imagedata r:id="rId18" o:title=""/>
            </v:shape>
            <v:shape id="_x0000_s1036" type="#_x0000_t75" style="width:17860;height:24960;position:absolute" stroked="f">
              <v:imagedata r:id="rId19" o:title=""/>
            </v:shape>
          </v:group>
        </w:pict>
      </w:r>
      <w:bookmarkStart w:id="7" w:name="_TOC_250009"/>
      <w:bookmarkEnd w:id="7"/>
      <w:r>
        <w:t>现场情况说明：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spacing w:line="415" w:lineRule="auto"/>
        <w:ind w:left="620" w:right="673" w:firstLine="719"/>
        <w:jc w:val="right"/>
      </w:pPr>
      <w:r>
        <w:t>根据前段时间拉森钢板桩现场施工情况，拉森钢板桩施工至标高-7 米～-10米以下位置后即较难打入。基本与地勘报告中土层③1 含粘性土砾砂混角砾、③ 2 砾砂相符。12 米长拉森钢板桩每根打入时间约为 30 分钟，个别难打部位每根打入时间在 1 小时以上。平均每天施工约 20 根左右，无法满足施工进度要求。在 2016 年 11 月 27 日下午由建设单位、设计单位、监理单位、总包单位联</w:t>
      </w:r>
    </w:p>
    <w:p>
      <w:pPr>
        <w:pStyle w:val="BodyText"/>
        <w:spacing w:line="415" w:lineRule="auto"/>
        <w:ind w:left="680" w:right="536"/>
      </w:pPr>
      <w:r>
        <w:rPr>
          <w:spacing w:val="30"/>
        </w:rPr>
        <w:t>合在</w:t>
      </w:r>
      <w:r>
        <w:t>k1+030～k1+080</w:t>
      </w:r>
      <w:r>
        <w:rPr>
          <w:spacing w:val="7"/>
        </w:rPr>
        <w:t xml:space="preserve"> 段对</w:t>
      </w:r>
      <w:r>
        <w:t>15</w:t>
      </w:r>
      <w:r>
        <w:rPr>
          <w:spacing w:val="-17"/>
        </w:rPr>
        <w:t xml:space="preserve"> 米长拉森钢板桩进行试打两个位置</w:t>
      </w:r>
      <w:r>
        <w:t>（</w:t>
      </w:r>
      <w:r>
        <w:rPr>
          <w:spacing w:val="20"/>
        </w:rPr>
        <w:t>共试打</w:t>
      </w:r>
      <w:r>
        <w:t>3</w:t>
      </w:r>
      <w:r>
        <w:rPr>
          <w:spacing w:val="-20"/>
        </w:rPr>
        <w:t xml:space="preserve"> 根</w:t>
      </w:r>
      <w:r>
        <w:rPr>
          <w:spacing w:val="-180"/>
        </w:rPr>
        <w:t>）</w:t>
      </w:r>
      <w:r>
        <w:t>。</w:t>
      </w:r>
      <w:r>
        <w:rPr>
          <w:spacing w:val="-1"/>
        </w:rPr>
        <w:t xml:space="preserve">第一根桩打入时间约为 </w:t>
      </w:r>
      <w:r>
        <w:t>30</w:t>
      </w:r>
      <w:r>
        <w:rPr>
          <w:spacing w:val="-3"/>
        </w:rPr>
        <w:t xml:space="preserve"> 分钟，第二、第三根桩在施打至</w:t>
      </w:r>
      <w:r>
        <w:t>-10</w:t>
      </w:r>
      <w:r>
        <w:rPr>
          <w:spacing w:val="-3"/>
        </w:rPr>
        <w:t xml:space="preserve"> 米左右即无法沉入。</w:t>
      </w:r>
    </w:p>
    <w:p>
      <w:pPr>
        <w:pStyle w:val="BodyText"/>
        <w:spacing w:line="415" w:lineRule="auto"/>
        <w:ind w:left="680" w:right="671" w:firstLine="719"/>
      </w:pPr>
      <w:r>
        <w:rPr>
          <w:spacing w:val="-1"/>
        </w:rPr>
        <w:t xml:space="preserve">之后又在各单位的见证下分别在 </w:t>
      </w:r>
      <w:r>
        <w:t>2016</w:t>
      </w:r>
      <w:r>
        <w:rPr>
          <w:spacing w:val="-7"/>
        </w:rPr>
        <w:t xml:space="preserve"> 年 </w:t>
      </w:r>
      <w:r>
        <w:t>12</w:t>
      </w:r>
      <w:r>
        <w:rPr>
          <w:spacing w:val="-8"/>
        </w:rPr>
        <w:t xml:space="preserve"> 月 </w:t>
      </w:r>
      <w:r>
        <w:t>4</w:t>
      </w:r>
      <w:r>
        <w:rPr>
          <w:spacing w:val="-6"/>
        </w:rPr>
        <w:t xml:space="preserve"> 日对 </w:t>
      </w:r>
      <w:r>
        <w:t>k1+220～k1+260</w:t>
      </w:r>
      <w:r>
        <w:rPr>
          <w:spacing w:val="-4"/>
        </w:rPr>
        <w:t xml:space="preserve"> 段</w:t>
      </w:r>
      <w:r>
        <w:rPr>
          <w:spacing w:val="-1"/>
        </w:rPr>
        <w:t>1</w:t>
      </w:r>
      <w:r>
        <w:t>5</w:t>
      </w:r>
      <w:r>
        <w:rPr>
          <w:spacing w:val="-3"/>
        </w:rPr>
        <w:t xml:space="preserve"> 米长拉森钢板桩进行试打两个位置</w:t>
      </w:r>
      <w:r>
        <w:t>（</w:t>
      </w:r>
      <w:r>
        <w:rPr>
          <w:spacing w:val="-3"/>
        </w:rPr>
        <w:t xml:space="preserve">共试打 </w:t>
      </w:r>
      <w:r>
        <w:t>3</w:t>
      </w:r>
      <w:r>
        <w:rPr>
          <w:spacing w:val="-4"/>
        </w:rPr>
        <w:t xml:space="preserve"> 根</w:t>
      </w:r>
      <w:r>
        <w:rPr>
          <w:spacing w:val="-180"/>
        </w:rPr>
        <w:t>）</w:t>
      </w:r>
      <w:r>
        <w:rPr>
          <w:spacing w:val="-3"/>
        </w:rPr>
        <w:t xml:space="preserve">；和 </w:t>
      </w:r>
      <w:r>
        <w:rPr>
          <w:spacing w:val="-1"/>
        </w:rPr>
        <w:t>201</w:t>
      </w:r>
      <w:r>
        <w:t>6</w:t>
      </w:r>
      <w:r>
        <w:rPr>
          <w:spacing w:val="-6"/>
        </w:rPr>
        <w:t xml:space="preserve"> 年 </w:t>
      </w:r>
      <w:r>
        <w:rPr>
          <w:spacing w:val="-1"/>
        </w:rPr>
        <w:t>1</w:t>
      </w:r>
      <w:r>
        <w:t>2</w:t>
      </w:r>
      <w:r>
        <w:rPr>
          <w:spacing w:val="-7"/>
        </w:rPr>
        <w:t xml:space="preserve"> 月 </w:t>
      </w:r>
      <w:r>
        <w:t>5</w:t>
      </w:r>
      <w:r>
        <w:rPr>
          <w:spacing w:val="-3"/>
        </w:rPr>
        <w:t xml:space="preserve"> 日对 </w:t>
      </w:r>
      <w:r>
        <w:rPr>
          <w:spacing w:val="-1"/>
        </w:rPr>
        <w:t>k0+66</w:t>
      </w:r>
      <w:r>
        <w:rPr>
          <w:spacing w:val="2"/>
        </w:rPr>
        <w:t>0</w:t>
      </w:r>
      <w:r>
        <w:t>～</w:t>
      </w:r>
      <w:r>
        <w:rPr>
          <w:spacing w:val="-1"/>
        </w:rPr>
        <w:t>k0+70</w:t>
      </w:r>
      <w:r>
        <w:t>0</w:t>
      </w:r>
      <w:r>
        <w:rPr>
          <w:spacing w:val="-6"/>
        </w:rPr>
        <w:t xml:space="preserve"> 段 </w:t>
      </w:r>
      <w:r>
        <w:rPr>
          <w:spacing w:val="-1"/>
        </w:rPr>
        <w:t>1</w:t>
      </w:r>
      <w:r>
        <w:t>2</w:t>
      </w:r>
      <w:r>
        <w:rPr>
          <w:spacing w:val="-3"/>
        </w:rPr>
        <w:t xml:space="preserve"> 米长拉森钢板桩进行试打两个位置</w:t>
      </w:r>
      <w:r>
        <w:t>（</w:t>
      </w:r>
      <w:r>
        <w:rPr>
          <w:spacing w:val="18"/>
        </w:rPr>
        <w:t>共试打</w:t>
      </w:r>
      <w:r>
        <w:t>2</w:t>
      </w:r>
      <w:r>
        <w:rPr>
          <w:spacing w:val="-4"/>
        </w:rPr>
        <w:t xml:space="preserve"> 根</w:t>
      </w:r>
      <w:r>
        <w:rPr>
          <w:spacing w:val="-180"/>
        </w:rPr>
        <w:t>）</w:t>
      </w:r>
      <w:r>
        <w:t>；试打情况均较相似：12</w:t>
      </w:r>
      <w:r>
        <w:rPr>
          <w:spacing w:val="-3"/>
        </w:rPr>
        <w:t xml:space="preserve"> 米长拉森钢板桩打入时间较长</w:t>
      </w:r>
      <w:r>
        <w:t>（需打入、拔出再打入反复试打方能打入</w:t>
      </w:r>
      <w:r>
        <w:rPr>
          <w:spacing w:val="-180"/>
        </w:rPr>
        <w:t>）</w:t>
      </w:r>
      <w:r>
        <w:rPr>
          <w:spacing w:val="-1"/>
        </w:rPr>
        <w:t>，1</w:t>
      </w:r>
      <w:r>
        <w:t>5</w:t>
      </w:r>
      <w:r>
        <w:rPr>
          <w:spacing w:val="-3"/>
        </w:rPr>
        <w:t xml:space="preserve"> 米长拉森钢板桩在施打至</w:t>
      </w:r>
      <w:r>
        <w:t>-10</w:t>
      </w:r>
      <w:r>
        <w:rPr>
          <w:spacing w:val="-3"/>
        </w:rPr>
        <w:t xml:space="preserve"> 米左右即无法沉入。</w:t>
      </w:r>
    </w:p>
    <w:p>
      <w:pPr>
        <w:pStyle w:val="BodyText"/>
        <w:spacing w:line="415" w:lineRule="auto"/>
        <w:ind w:left="680" w:right="716" w:firstLine="719"/>
        <w:jc w:val="both"/>
      </w:pPr>
      <w:r>
        <w:rPr>
          <w:spacing w:val="-9"/>
        </w:rPr>
        <w:t>根据现场施工及试桩情况，强行施打造成桩头破坏，桩身整体变形过大；打</w:t>
      </w:r>
      <w:r>
        <w:rPr>
          <w:spacing w:val="-11"/>
        </w:rPr>
        <w:t>桩机超负荷运转造成桩机损伤</w:t>
      </w:r>
      <w:r>
        <w:t>（</w:t>
      </w:r>
      <w:r>
        <w:rPr>
          <w:spacing w:val="-1"/>
        </w:rPr>
        <w:t>已经多次出现桩机配件损坏和液压油管爆裂等情</w:t>
      </w:r>
      <w:r>
        <w:t>况</w:t>
      </w:r>
      <w:r>
        <w:rPr>
          <w:spacing w:val="-180"/>
        </w:rPr>
        <w:t>）</w:t>
      </w:r>
      <w:r>
        <w:t>；形成安全隐患；也对施工质量造成不良影响。</w:t>
      </w:r>
    </w:p>
    <w:p>
      <w:pPr>
        <w:pStyle w:val="BodyText"/>
        <w:spacing w:line="415" w:lineRule="auto"/>
        <w:ind w:left="680" w:right="722" w:firstLine="719"/>
      </w:pPr>
      <w:r>
        <w:rPr>
          <w:spacing w:val="-12"/>
        </w:rPr>
        <w:t>为了满足现场施工安全、质量及进度要求，现需采用一台旋挖机和一台长螺</w:t>
      </w:r>
      <w:r>
        <w:t>旋钻机配合引孔后才能进行拉森钢板桩施工。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29"/>
        </w:rPr>
      </w:pPr>
    </w:p>
    <w:p>
      <w:pPr>
        <w:spacing w:before="0"/>
        <w:ind w:left="680" w:right="0" w:firstLine="0"/>
        <w:jc w:val="left"/>
        <w:rPr>
          <w:rFonts w:ascii="幼圆"/>
          <w:sz w:val="29"/>
        </w:rPr>
      </w:pPr>
      <w:r>
        <w:rPr>
          <w:rFonts w:ascii="幼圆"/>
          <w:sz w:val="29"/>
        </w:rPr>
        <w:t>..</w:t>
      </w:r>
    </w:p>
    <w:p>
      <w:pPr>
        <w:spacing w:after="0"/>
        <w:jc w:val="left"/>
        <w:rPr>
          <w:rFonts w:ascii="幼圆"/>
          <w:sz w:val="29"/>
        </w:rPr>
        <w:sectPr>
          <w:footerReference w:type="default" r:id="rId20"/>
          <w:pgSz w:w="17860" w:h="25260"/>
          <w:pgMar w:top="1980" w:right="1980" w:bottom="280" w:left="2020" w:header="0" w:footer="0"/>
          <w:pgNumType w:start="9"/>
          <w:cols w:space="708"/>
        </w:sectPr>
      </w:pPr>
    </w:p>
    <w:p>
      <w:pPr>
        <w:pStyle w:val="BodyText"/>
        <w:rPr>
          <w:rFonts w:ascii="幼圆"/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78"/>
        <w:ind w:left="1348" w:right="669"/>
        <w:jc w:val="center"/>
      </w:pPr>
      <w:r>
        <w:t>现场试桩照片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3"/>
        </w:rPr>
      </w:pPr>
    </w:p>
    <w:p>
      <w:pPr>
        <w:spacing w:before="48"/>
        <w:ind w:left="680" w:right="0" w:firstLine="0"/>
        <w:jc w:val="left"/>
        <w:rPr>
          <w:rFonts w:ascii="幼圆"/>
          <w:sz w:val="29"/>
        </w:rPr>
      </w:pPr>
      <w:r>
        <w:rPr>
          <w:rFonts w:ascii="幼圆"/>
          <w:sz w:val="29"/>
        </w:rPr>
        <w:t>..</w:t>
      </w:r>
    </w:p>
    <w:p>
      <w:pPr>
        <w:spacing w:after="0"/>
        <w:jc w:val="left"/>
        <w:rPr>
          <w:rFonts w:ascii="幼圆"/>
          <w:sz w:val="29"/>
        </w:rPr>
      </w:pPr>
      <w:r>
        <w:rPr>
          <w:rFonts w:ascii="幼圆"/>
          <w:sz w:val="29"/>
        </w:rPr>
        <w:br/>
      </w:r>
      <w:r>
        <w:rPr>
          <w:rFonts w:ascii="幼圆"/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https://d.book118.com/297020012015006034</w:t>
        </w:r>
      </w:hyperlink>
    </w:p>
    <w:p>
      <w:pPr>
        <w:spacing w:after="0"/>
        <w:jc w:val="left"/>
        <w:rPr>
          <w:rFonts w:ascii="幼圆"/>
          <w:sz w:val="29"/>
        </w:rPr>
      </w:pPr>
    </w:p>
    <w:sectPr>
      <w:footerReference w:type="default" r:id="rId23"/>
      <w:pgSz w:w="17860" w:h="25260"/>
      <w:pgMar w:top="2420" w:right="1980" w:bottom="280" w:left="2020" w:header="0" w:footer="0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.5pt;height:16.5pt;margin-top:1161.14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.5pt;height:16.5pt;margin-top:1161.14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.5pt;height:16.5pt;margin-top:1161.14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.5pt;height:16.5pt;margin-top:1161.14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.5pt;height:16.5pt;margin-top:1161.14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.5pt;height:16.5pt;margin-top:1161.14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.5pt;height:16.5pt;margin-top:1161.14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..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5E9AC"/>
    <w:multiLevelType w:val="hybridMultilevel"/>
    <w:tmpl w:val="00000000"/>
    <w:lvl w:ilvl="0">
      <w:start w:val="1"/>
      <w:numFmt w:val="decimal"/>
      <w:lvlText w:val="（%1）"/>
      <w:lvlJc w:val="left"/>
      <w:pPr>
        <w:ind w:left="1603" w:hanging="923"/>
        <w:jc w:val="left"/>
      </w:pPr>
      <w:rPr>
        <w:rFonts w:ascii="等线" w:eastAsia="等线" w:hAnsi="等线" w:cs="等线" w:hint="default"/>
        <w:b/>
        <w:bCs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5" w:hanging="9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9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7" w:hanging="9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9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9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9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1" w:hanging="9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923"/>
      </w:pPr>
      <w:rPr>
        <w:rFonts w:hint="default"/>
      </w:rPr>
    </w:lvl>
  </w:abstractNum>
  <w:abstractNum w:abstractNumId="1">
    <w:nsid w:val="06EE92A8"/>
    <w:multiLevelType w:val="hybridMultilevel"/>
    <w:tmpl w:val="00000000"/>
    <w:lvl w:ilvl="0">
      <w:start w:val="1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859" w:hanging="6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9" w:hanging="6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6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6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6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6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672"/>
      </w:pPr>
      <w:rPr>
        <w:rFonts w:hint="default"/>
      </w:rPr>
    </w:lvl>
  </w:abstractNum>
  <w:abstractNum w:abstractNumId="2">
    <w:nsid w:val="107F9CBF"/>
    <w:multiLevelType w:val="hybridMultilevel"/>
    <w:tmpl w:val="00000000"/>
    <w:lvl w:ilvl="0">
      <w:start w:val="4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%1.%2.%3."/>
      <w:lvlJc w:val="left"/>
      <w:pPr>
        <w:ind w:left="2196" w:hanging="81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79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2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7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8" w:hanging="810"/>
      </w:pPr>
      <w:rPr>
        <w:rFonts w:hint="default"/>
      </w:rPr>
    </w:lvl>
  </w:abstractNum>
  <w:abstractNum w:abstractNumId="3">
    <w:nsid w:val="15E8CD6D"/>
    <w:multiLevelType w:val="hybridMultilevel"/>
    <w:tmpl w:val="00000000"/>
    <w:lvl w:ilvl="0">
      <w:start w:val="4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%3."/>
      <w:lvlJc w:val="left"/>
      <w:pPr>
        <w:ind w:left="1656" w:hanging="27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37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6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2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7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8" w:hanging="270"/>
      </w:pPr>
      <w:rPr>
        <w:rFonts w:hint="default"/>
      </w:rPr>
    </w:lvl>
  </w:abstractNum>
  <w:abstractNum w:abstractNumId="4">
    <w:nsid w:val="16BB29FB"/>
    <w:multiLevelType w:val="hybridMultilevel"/>
    <w:tmpl w:val="00000000"/>
    <w:lvl w:ilvl="0">
      <w:start w:val="4"/>
      <w:numFmt w:val="decimal"/>
      <w:lvlText w:val="%1"/>
      <w:lvlJc w:val="left"/>
      <w:pPr>
        <w:ind w:left="2196" w:hanging="8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96" w:hanging="810"/>
        <w:jc w:val="left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2196" w:hanging="81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69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3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5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1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810"/>
      </w:pPr>
      <w:rPr>
        <w:rFonts w:hint="default"/>
      </w:rPr>
    </w:lvl>
  </w:abstractNum>
  <w:abstractNum w:abstractNumId="5">
    <w:nsid w:val="1EF3BBBE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6">
    <w:nsid w:val="20578821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7">
    <w:nsid w:val="2F7232DD"/>
    <w:multiLevelType w:val="hybridMultilevel"/>
    <w:tmpl w:val="00000000"/>
    <w:lvl w:ilvl="0">
      <w:start w:val="1"/>
      <w:numFmt w:val="decimal"/>
      <w:lvlText w:val="（%1）"/>
      <w:lvlJc w:val="left"/>
      <w:pPr>
        <w:ind w:left="159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2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7" w:hanging="912"/>
      </w:pPr>
      <w:rPr>
        <w:rFonts w:hint="default"/>
      </w:rPr>
    </w:lvl>
  </w:abstractNum>
  <w:abstractNum w:abstractNumId="8">
    <w:nsid w:val="3405AC54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1848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6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2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8" w:hanging="912"/>
      </w:pPr>
      <w:rPr>
        <w:rFonts w:hint="default"/>
      </w:rPr>
    </w:lvl>
  </w:abstractNum>
  <w:abstractNum w:abstractNumId="9">
    <w:nsid w:val="35C020CA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10">
    <w:nsid w:val="39DCF518"/>
    <w:multiLevelType w:val="hybridMultilevel"/>
    <w:tmpl w:val="00000000"/>
    <w:lvl w:ilvl="0">
      <w:start w:val="3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11">
    <w:nsid w:val="464474AB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12">
    <w:nsid w:val="51F891FC"/>
    <w:multiLevelType w:val="hybridMultilevel"/>
    <w:tmpl w:val="00000000"/>
    <w:lvl w:ilvl="0">
      <w:start w:val="3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righ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%1.%2.%3."/>
      <w:lvlJc w:val="left"/>
      <w:pPr>
        <w:ind w:left="1544" w:hanging="864"/>
        <w:jc w:val="left"/>
      </w:pPr>
      <w:rPr>
        <w:rFonts w:ascii="等线" w:eastAsia="等线" w:hAnsi="等线" w:cs="等线" w:hint="default"/>
        <w:b/>
        <w:bCs/>
        <w:spacing w:val="-1"/>
        <w:w w:val="100"/>
        <w:sz w:val="34"/>
        <w:szCs w:val="34"/>
      </w:rPr>
    </w:lvl>
    <w:lvl w:ilvl="3">
      <w:start w:val="1"/>
      <w:numFmt w:val="decimal"/>
      <w:lvlText w:val="%1.%2.%3.%4."/>
      <w:lvlJc w:val="left"/>
      <w:pPr>
        <w:ind w:left="1829" w:hanging="1149"/>
        <w:jc w:val="left"/>
      </w:pPr>
      <w:rPr>
        <w:rFonts w:ascii="等线" w:eastAsia="等线" w:hAnsi="等线" w:cs="等线" w:hint="default"/>
        <w:b/>
        <w:bCs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829" w:hanging="11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4" w:hanging="11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11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4" w:hanging="11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9" w:hanging="1149"/>
      </w:pPr>
      <w:rPr>
        <w:rFonts w:hint="default"/>
      </w:rPr>
    </w:lvl>
  </w:abstractNum>
  <w:abstractNum w:abstractNumId="13">
    <w:nsid w:val="549E7031"/>
    <w:multiLevelType w:val="hybridMultilevel"/>
    <w:tmpl w:val="00000000"/>
    <w:lvl w:ilvl="0">
      <w:start w:val="1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859" w:hanging="6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9" w:hanging="6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6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6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6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9" w:hanging="6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672"/>
      </w:pPr>
      <w:rPr>
        <w:rFonts w:hint="default"/>
      </w:rPr>
    </w:lvl>
  </w:abstractNum>
  <w:abstractNum w:abstractNumId="14">
    <w:nsid w:val="55F2C253"/>
    <w:multiLevelType w:val="hybridMultilevel"/>
    <w:tmpl w:val="00000000"/>
    <w:lvl w:ilvl="0">
      <w:start w:val="3"/>
      <w:numFmt w:val="decimal"/>
      <w:lvlText w:val="%1"/>
      <w:lvlJc w:val="left"/>
      <w:pPr>
        <w:ind w:left="1850" w:hanging="54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0" w:hanging="54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540"/>
      </w:pPr>
      <w:rPr>
        <w:rFonts w:hint="default"/>
      </w:rPr>
    </w:lvl>
  </w:abstractNum>
  <w:abstractNum w:abstractNumId="15">
    <w:nsid w:val="58E1211E"/>
    <w:multiLevelType w:val="hybridMultilevel"/>
    <w:tmpl w:val="00000000"/>
    <w:lvl w:ilvl="0">
      <w:start w:val="2"/>
      <w:numFmt w:val="decimal"/>
      <w:lvlText w:val="%1"/>
      <w:lvlJc w:val="left"/>
      <w:pPr>
        <w:ind w:left="1850" w:hanging="54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0" w:hanging="54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540"/>
      </w:pPr>
      <w:rPr>
        <w:rFonts w:hint="default"/>
      </w:rPr>
    </w:lvl>
  </w:abstractNum>
  <w:abstractNum w:abstractNumId="16">
    <w:nsid w:val="592A0574"/>
    <w:multiLevelType w:val="hybridMultilevel"/>
    <w:tmpl w:val="00000000"/>
    <w:lvl w:ilvl="0">
      <w:start w:val="4"/>
      <w:numFmt w:val="decimal"/>
      <w:lvlText w:val="%1"/>
      <w:lvlJc w:val="left"/>
      <w:pPr>
        <w:ind w:left="1850" w:hanging="54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0" w:hanging="54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540"/>
      </w:pPr>
      <w:rPr>
        <w:rFonts w:hint="default"/>
      </w:rPr>
    </w:lvl>
  </w:abstractNum>
  <w:abstractNum w:abstractNumId="17">
    <w:nsid w:val="5F45837C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18">
    <w:nsid w:val="63F89883"/>
    <w:multiLevelType w:val="hybridMultilevel"/>
    <w:tmpl w:val="00000000"/>
    <w:lvl w:ilvl="0">
      <w:start w:val="1"/>
      <w:numFmt w:val="decimal"/>
      <w:lvlText w:val="%1"/>
      <w:lvlJc w:val="left"/>
      <w:pPr>
        <w:ind w:left="1850" w:hanging="54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0" w:hanging="54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540"/>
      </w:pPr>
      <w:rPr>
        <w:rFonts w:hint="default"/>
      </w:rPr>
    </w:lvl>
  </w:abstractNum>
  <w:abstractNum w:abstractNumId="19">
    <w:nsid w:val="6C0317A7"/>
    <w:multiLevelType w:val="hybridMultilevel"/>
    <w:tmpl w:val="00000000"/>
    <w:lvl w:ilvl="0">
      <w:start w:val="1"/>
      <w:numFmt w:val="decimal"/>
      <w:lvlText w:val="（%1）"/>
      <w:lvlJc w:val="left"/>
      <w:pPr>
        <w:ind w:left="680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912"/>
      </w:pPr>
      <w:rPr>
        <w:rFonts w:hint="default"/>
      </w:rPr>
    </w:lvl>
  </w:abstractNum>
  <w:abstractNum w:abstractNumId="20">
    <w:nsid w:val="6C4593B2"/>
    <w:multiLevelType w:val="hybridMultilevel"/>
    <w:tmpl w:val="00000000"/>
    <w:lvl w:ilvl="0">
      <w:start w:val="1"/>
      <w:numFmt w:val="decimal"/>
      <w:lvlText w:val="%1"/>
      <w:lvlJc w:val="left"/>
      <w:pPr>
        <w:ind w:left="1850" w:hanging="54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0" w:hanging="54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2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540"/>
      </w:pPr>
      <w:rPr>
        <w:rFonts w:hint="default"/>
      </w:rPr>
    </w:lvl>
  </w:abstractNum>
  <w:abstractNum w:abstractNumId="21">
    <w:nsid w:val="73EE08A3"/>
    <w:multiLevelType w:val="hybridMultilevel"/>
    <w:tmpl w:val="00000000"/>
    <w:lvl w:ilvl="0">
      <w:start w:val="1"/>
      <w:numFmt w:val="decimal"/>
      <w:lvlText w:val="（%1）"/>
      <w:lvlJc w:val="left"/>
      <w:pPr>
        <w:ind w:left="2298" w:hanging="912"/>
        <w:jc w:val="left"/>
      </w:pPr>
      <w:rPr>
        <w:rFonts w:ascii="等线" w:eastAsia="等线" w:hAnsi="等线" w:cs="等线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55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7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7" w:hanging="912"/>
      </w:pPr>
      <w:rPr>
        <w:rFonts w:hint="default"/>
      </w:rPr>
    </w:lvl>
  </w:abstractNum>
  <w:abstractNum w:abstractNumId="22">
    <w:nsid w:val="75482A35"/>
    <w:multiLevelType w:val="hybridMultilevel"/>
    <w:tmpl w:val="00000000"/>
    <w:lvl w:ilvl="0">
      <w:start w:val="2"/>
      <w:numFmt w:val="decimal"/>
      <w:lvlText w:val="%1"/>
      <w:lvlJc w:val="left"/>
      <w:pPr>
        <w:ind w:left="1352" w:hanging="67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2" w:hanging="672"/>
        <w:jc w:val="left"/>
      </w:pPr>
      <w:rPr>
        <w:rFonts w:ascii="等线" w:eastAsia="等线" w:hAnsi="等线" w:cs="等线" w:hint="default"/>
        <w:b/>
        <w:bCs/>
        <w:spacing w:val="-2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1848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1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6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2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7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3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8" w:hanging="912"/>
      </w:pPr>
      <w:rPr>
        <w:rFonts w:hint="default"/>
      </w:rPr>
    </w:lvl>
  </w:abstractNum>
  <w:num w:numId="1">
    <w:abstractNumId w:val="17"/>
  </w:num>
  <w:num w:numId="2">
    <w:abstractNumId w:val="11"/>
  </w:num>
  <w:num w:numId="3">
    <w:abstractNumId w:val="21"/>
  </w:num>
  <w:num w:numId="4">
    <w:abstractNumId w:val="2"/>
  </w:num>
  <w:num w:numId="5">
    <w:abstractNumId w:val="9"/>
  </w:num>
  <w:num w:numId="6">
    <w:abstractNumId w:val="6"/>
  </w:num>
  <w:num w:numId="7">
    <w:abstractNumId w:val="5"/>
  </w:num>
  <w:num w:numId="8">
    <w:abstractNumId w:val="4"/>
  </w:num>
  <w:num w:numId="9">
    <w:abstractNumId w:val="10"/>
  </w:num>
  <w:num w:numId="10">
    <w:abstractNumId w:val="19"/>
  </w:num>
  <w:num w:numId="11">
    <w:abstractNumId w:val="3"/>
  </w:num>
  <w:num w:numId="12">
    <w:abstractNumId w:val="7"/>
  </w:num>
  <w:num w:numId="13">
    <w:abstractNumId w:val="12"/>
  </w:num>
  <w:num w:numId="14">
    <w:abstractNumId w:val="0"/>
  </w:num>
  <w:num w:numId="15">
    <w:abstractNumId w:val="22"/>
  </w:num>
  <w:num w:numId="16">
    <w:abstractNumId w:val="13"/>
  </w:num>
  <w:num w:numId="17">
    <w:abstractNumId w:val="16"/>
  </w:num>
  <w:num w:numId="18">
    <w:abstractNumId w:val="14"/>
  </w:num>
  <w:num w:numId="19">
    <w:abstractNumId w:val="15"/>
  </w:num>
  <w:num w:numId="20">
    <w:abstractNumId w:val="18"/>
  </w:num>
  <w:num w:numId="21">
    <w:abstractNumId w:val="20"/>
  </w:num>
  <w:num w:numId="22">
    <w:abstractNumId w:val="1"/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spacing w:line="711" w:lineRule="exact"/>
      <w:ind w:left="622" w:right="669"/>
      <w:jc w:val="center"/>
      <w:outlineLvl w:val="0"/>
    </w:pPr>
    <w:rPr>
      <w:rFonts w:ascii="等线" w:eastAsia="等线" w:hAnsi="等线" w:cs="等线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352" w:hanging="673"/>
      <w:outlineLvl w:val="1"/>
    </w:pPr>
    <w:rPr>
      <w:rFonts w:ascii="等线" w:eastAsia="等线" w:hAnsi="等线" w:cs="等线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1603" w:hanging="1149"/>
      <w:outlineLvl w:val="2"/>
    </w:pPr>
    <w:rPr>
      <w:rFonts w:ascii="等线" w:eastAsia="等线" w:hAnsi="等线" w:cs="等线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94"/>
      <w:ind w:left="680"/>
    </w:pPr>
    <w:rPr>
      <w:rFonts w:ascii="等线" w:eastAsia="等线" w:hAnsi="等线" w:cs="等线"/>
      <w:sz w:val="36"/>
      <w:szCs w:val="36"/>
    </w:rPr>
  </w:style>
  <w:style w:type="paragraph" w:styleId="TOC2">
    <w:name w:val="toc 2"/>
    <w:basedOn w:val="Normal"/>
    <w:uiPriority w:val="1"/>
    <w:qFormat/>
    <w:pPr>
      <w:spacing w:before="394"/>
      <w:ind w:left="1850" w:hanging="541"/>
    </w:pPr>
    <w:rPr>
      <w:rFonts w:ascii="等线" w:eastAsia="等线" w:hAnsi="等线" w:cs="等线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Title">
    <w:name w:val="Title"/>
    <w:basedOn w:val="Normal"/>
    <w:uiPriority w:val="1"/>
    <w:qFormat/>
    <w:pPr>
      <w:spacing w:before="259"/>
      <w:ind w:left="6369" w:right="6409"/>
      <w:jc w:val="both"/>
    </w:pPr>
    <w:rPr>
      <w:rFonts w:ascii="等线" w:eastAsia="等线" w:hAnsi="等线" w:cs="等线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680" w:firstLine="705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pPr>
      <w:spacing w:before="204"/>
      <w:jc w:val="center"/>
    </w:pPr>
    <w:rPr>
      <w:rFonts w:ascii="等线" w:eastAsia="等线" w:hAnsi="等线" w:cs="等线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footer" Target="footer6.xml" /><Relationship Id="rId15" Type="http://schemas.openxmlformats.org/officeDocument/2006/relationships/image" Target="media/image6.png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image" Target="media/image9.png" /><Relationship Id="rId22" Type="http://schemas.openxmlformats.org/officeDocument/2006/relationships/hyperlink" Target="https://d.book118.com/297020012015006034" TargetMode="External" /><Relationship Id="rId23" Type="http://schemas.openxmlformats.org/officeDocument/2006/relationships/footer" Target="footer10.xm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image" Target="media/image1.png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2024-01-10T13:01:52Z</dcterms:created>
  <dcterms:modified xsi:type="dcterms:W3CDTF">2024-01-10T13:01:52Z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2024-01-10T00:00:00Z</vt:filetime>
  </property>
</Properties>
</file>