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20" w:line="183" w:lineRule="auto"/>
        <w:ind w:left="7832"/>
        <w:rPr>
          <w:rFonts w:ascii="Times New Roman" w:eastAsia="Times New Roman" w:hAnsi="Times New Roman" w:cs="Times New Roman"/>
          <w:sz w:val="96"/>
          <w:szCs w:val="96"/>
        </w:rPr>
      </w:pPr>
      <w:r>
        <w:pict>
          <v:shape id="_x0000_s1025" style="width:466.5pt;height:0.75pt;margin-top:203.08pt;margin-left:73.31pt;mso-position-horizontal-relative:page;mso-position-vertical-relative:page;position:absolute;z-index:251659264" coordorigin="0,0" coordsize="9330,15" o:allowincell="f" path="m7,7l9321,7e" filled="f" strokecolor="black" strokeweight="0.75pt">
            <v:stroke endcap="round"/>
          </v:shape>
        </w:pict>
      </w:r>
      <w:r>
        <w:pict>
          <v:shape id="_x0000_s1026" style="width:468.75pt;height:0.75pt;margin-top:680.68pt;margin-left:83.8pt;mso-position-horizontal-relative:page;mso-position-vertical-relative:page;position:absolute;z-index:251658240" coordorigin="0,0" coordsize="9375,15" o:allowincell="f" path="m7,7l9367,7e" filled="f" strokecolor="black" strokeweight="0.75pt">
            <v:stroke endcap="round"/>
          </v:shape>
        </w:pict>
      </w:r>
      <w:r>
        <w:rPr>
          <w:rFonts w:ascii="Times New Roman" w:eastAsia="Times New Roman" w:hAnsi="Times New Roman" w:cs="Times New Roman"/>
          <w:b/>
          <w:bCs/>
          <w:spacing w:val="-7"/>
          <w:sz w:val="96"/>
          <w:szCs w:val="96"/>
        </w:rPr>
        <w:t>H</w:t>
      </w:r>
      <w:r>
        <w:rPr>
          <w:rFonts w:ascii="Times New Roman" w:eastAsia="Times New Roman" w:hAnsi="Times New Roman" w:cs="Times New Roman"/>
          <w:b/>
          <w:bCs/>
          <w:spacing w:val="-6"/>
          <w:sz w:val="96"/>
          <w:szCs w:val="96"/>
        </w:rPr>
        <w:t>J</w:t>
      </w:r>
    </w:p>
    <w:p>
      <w:pPr>
        <w:spacing w:before="149" w:line="222" w:lineRule="auto"/>
        <w:ind w:left="80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88"/>
          <w:sz w:val="51"/>
          <w:szCs w:val="51"/>
        </w:rPr>
        <w:t>中</w:t>
      </w:r>
      <w:r>
        <w:rPr>
          <w:rFonts w:ascii="SimHei" w:eastAsia="SimHei" w:hAnsi="SimHei" w:cs="SimHei"/>
          <w:spacing w:val="87"/>
          <w:sz w:val="51"/>
          <w:szCs w:val="51"/>
        </w:rPr>
        <w:t>华人民共和国国家环境保护标准</w:t>
      </w:r>
    </w:p>
    <w:p>
      <w:pPr>
        <w:spacing w:before="200" w:line="187" w:lineRule="auto"/>
        <w:ind w:left="7511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z w:val="27"/>
          <w:szCs w:val="27"/>
        </w:rPr>
        <w:t>HJ</w:t>
      </w:r>
      <w:r>
        <w:rPr>
          <w:rFonts w:ascii="SimHei" w:eastAsia="SimHei" w:hAnsi="SimHei" w:cs="SimHei"/>
          <w:spacing w:val="8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5"/>
          <w:sz w:val="27"/>
          <w:szCs w:val="27"/>
        </w:rPr>
        <w:t>5</w:t>
      </w:r>
      <w:r>
        <w:rPr>
          <w:rFonts w:ascii="SimHei" w:eastAsia="SimHei" w:hAnsi="SimHei" w:cs="SimHei"/>
          <w:spacing w:val="4"/>
          <w:sz w:val="27"/>
          <w:szCs w:val="27"/>
        </w:rPr>
        <w:t>80-2010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56" w:line="218" w:lineRule="auto"/>
        <w:ind w:left="1667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-2"/>
          <w:sz w:val="48"/>
          <w:szCs w:val="48"/>
        </w:rPr>
        <w:t>含油污水处理工程技术规</w:t>
      </w:r>
      <w:r>
        <w:rPr>
          <w:rFonts w:ascii="SimHei" w:eastAsia="SimHei" w:hAnsi="SimHei" w:cs="SimHei"/>
          <w:spacing w:val="-1"/>
          <w:sz w:val="48"/>
          <w:szCs w:val="48"/>
        </w:rPr>
        <w:t>范</w:t>
      </w:r>
    </w:p>
    <w:p>
      <w:pPr>
        <w:spacing w:before="268" w:line="599" w:lineRule="auto"/>
        <w:ind w:left="693" w:right="832" w:firstLine="28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Technical</w:t>
      </w:r>
      <w:r>
        <w:rPr>
          <w:rFonts w:ascii="Times New Roman" w:eastAsia="Times New Roman" w:hAnsi="Times New Roman" w:cs="Times New Roman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Specifications</w:t>
      </w:r>
      <w:r>
        <w:rPr>
          <w:rFonts w:ascii="Times New Roman" w:eastAsia="Times New Roman" w:hAnsi="Times New Roman" w:cs="Times New Roman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for</w:t>
      </w:r>
      <w:r>
        <w:rPr>
          <w:rFonts w:ascii="Times New Roman" w:eastAsia="Times New Roman" w:hAnsi="Times New Roman" w:cs="Times New Roman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Oil</w:t>
      </w:r>
      <w:r>
        <w:rPr>
          <w:rFonts w:ascii="Times New Roman" w:eastAsia="Times New Roman" w:hAnsi="Times New Roman" w:cs="Times New Roman"/>
          <w:spacing w:val="31"/>
          <w:sz w:val="27"/>
          <w:szCs w:val="27"/>
        </w:rPr>
        <w:t>-</w:t>
      </w:r>
      <w:r>
        <w:rPr>
          <w:rFonts w:ascii="Times New Roman" w:eastAsia="Times New Roman" w:hAnsi="Times New Roman" w:cs="Times New Roman"/>
          <w:sz w:val="27"/>
          <w:szCs w:val="27"/>
        </w:rPr>
        <w:t>contained</w:t>
      </w:r>
      <w:r>
        <w:rPr>
          <w:rFonts w:ascii="Times New Roman" w:eastAsia="Times New Roman" w:hAnsi="Times New Roman" w:cs="Times New Roman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Wastewater</w:t>
      </w:r>
      <w:r>
        <w:rPr>
          <w:rFonts w:ascii="Times New Roman" w:eastAsia="Times New Roman" w:hAnsi="Times New Roman" w:cs="Times New Roman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Treating</w:t>
      </w:r>
      <w:r>
        <w:rPr>
          <w:rFonts w:ascii="Times New Roman" w:eastAsia="Times New Roman" w:hAnsi="Times New Roman" w:cs="Times New Roman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Process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本电子版为发布稿。请以</w:t>
      </w:r>
      <w:r>
        <w:rPr>
          <w:rFonts w:ascii="SimSun" w:eastAsia="SimSun" w:hAnsi="SimSun" w:cs="SimSun"/>
          <w:spacing w:val="-1"/>
          <w:sz w:val="24"/>
          <w:szCs w:val="24"/>
        </w:rPr>
        <w:t>中国环境科学出版社出版的正式标准文本为准。</w:t>
      </w:r>
    </w:p>
    <w:p/>
    <w:p/>
    <w:p/>
    <w:p/>
    <w:p/>
    <w:p/>
    <w:p/>
    <w:p/>
    <w:p/>
    <w:p/>
    <w:p/>
    <w:p/>
    <w:p/>
    <w:p/>
    <w:p/>
    <w:p/>
    <w:p/>
    <w:p>
      <w:pPr>
        <w:sectPr>
          <w:pgSz w:w="11905" w:h="16840"/>
          <w:pgMar w:top="1431" w:right="853" w:bottom="0" w:left="1466" w:header="0" w:footer="0" w:gutter="0"/>
          <w:cols w:num="1" w:space="708" w:equalWidth="0">
            <w:col w:w="9585" w:space="0"/>
          </w:cols>
        </w:sectPr>
      </w:pPr>
    </w:p>
    <w:p/>
    <w:p/>
    <w:p/>
    <w:p>
      <w:pPr>
        <w:spacing w:line="35" w:lineRule="exact"/>
      </w:pPr>
    </w:p>
    <w:p>
      <w:pPr>
        <w:sectPr>
          <w:type w:val="nextPage"/>
          <w:pgSz w:w="11905" w:h="16840"/>
          <w:pgMar w:top="1431" w:right="853" w:bottom="0" w:left="1466" w:header="0" w:footer="0" w:gutter="0"/>
          <w:pgNumType w:start="2"/>
          <w:cols w:num="1" w:space="708" w:equalWidth="0">
            <w:col w:w="9585" w:space="0"/>
          </w:cols>
          <w:titlePg w:val="0"/>
        </w:sectPr>
      </w:pPr>
    </w:p>
    <w:p>
      <w:pPr>
        <w:spacing w:before="56" w:line="190" w:lineRule="auto"/>
        <w:ind w:left="213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spacing w:val="-8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spacing w:val="-7"/>
          <w:sz w:val="27"/>
          <w:szCs w:val="27"/>
        </w:rPr>
        <w:t>0</w:t>
      </w:r>
      <w:r>
        <w:rPr>
          <w:rFonts w:ascii="Times New Roman" w:eastAsia="Times New Roman" w:hAnsi="Times New Roman" w:cs="Times New Roman"/>
          <w:spacing w:val="-4"/>
          <w:sz w:val="27"/>
          <w:szCs w:val="27"/>
        </w:rPr>
        <w:t>10-</w:t>
      </w:r>
      <w:r>
        <w:rPr>
          <w:rFonts w:ascii="Times New Roman" w:eastAsia="Times New Roman" w:hAnsi="Times New Roman" w:cs="Times New Roman"/>
          <w:spacing w:val="-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7"/>
          <w:szCs w:val="27"/>
        </w:rPr>
        <w:t>10-</w:t>
      </w:r>
      <w:r>
        <w:rPr>
          <w:rFonts w:ascii="Times New Roman" w:eastAsia="Times New Roman" w:hAnsi="Times New Roman" w:cs="Times New Roman"/>
          <w:spacing w:val="-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7"/>
          <w:szCs w:val="27"/>
        </w:rPr>
        <w:t>12</w:t>
      </w:r>
      <w:r>
        <w:rPr>
          <w:rFonts w:ascii="Times New Roman" w:eastAsia="Times New Roman" w:hAnsi="Times New Roman" w:cs="Times New Roman"/>
          <w:spacing w:val="-4"/>
          <w:sz w:val="27"/>
          <w:szCs w:val="27"/>
        </w:rPr>
        <w:t xml:space="preserve">  </w:t>
      </w:r>
      <w:r>
        <w:rPr>
          <w:rFonts w:ascii="SimHei" w:eastAsia="SimHei" w:hAnsi="SimHei" w:cs="SimHei"/>
          <w:spacing w:val="-4"/>
          <w:sz w:val="27"/>
          <w:szCs w:val="27"/>
        </w:rPr>
        <w:t>批准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190" w:lineRule="auto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2011-01-01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  </w:t>
      </w:r>
      <w:r>
        <w:rPr>
          <w:rFonts w:ascii="SimHei" w:eastAsia="SimHei" w:hAnsi="SimHei" w:cs="SimHei"/>
          <w:spacing w:val="4"/>
          <w:sz w:val="27"/>
          <w:szCs w:val="27"/>
        </w:rPr>
        <w:t>实施</w:t>
      </w:r>
    </w:p>
    <w:p>
      <w:pPr>
        <w:sectPr>
          <w:type w:val="continuous"/>
          <w:pgSz w:w="11905" w:h="16840"/>
          <w:pgMar w:top="1431" w:right="853" w:bottom="0" w:left="1466" w:header="0" w:footer="0" w:gutter="0"/>
          <w:pgNumType w:start="3"/>
          <w:cols w:num="2" w:space="708" w:equalWidth="0">
            <w:col w:w="6878" w:space="100"/>
            <w:col w:w="2608" w:space="0"/>
          </w:cols>
        </w:sectPr>
      </w:pPr>
    </w:p>
    <w:p>
      <w:pPr>
        <w:spacing w:before="392" w:line="158" w:lineRule="auto"/>
        <w:ind w:left="2520"/>
        <w:rPr>
          <w:rFonts w:ascii="SimHei" w:eastAsia="SimHei" w:hAnsi="SimHei" w:cs="SimHei"/>
          <w:sz w:val="27"/>
          <w:szCs w:val="27"/>
        </w:rPr>
      </w:pPr>
      <w:r>
        <w:rPr>
          <w:rFonts w:ascii="Microsoft YaHei" w:eastAsia="Microsoft YaHei" w:hAnsi="Microsoft YaHei" w:cs="Microsoft YaHei"/>
          <w:spacing w:val="26"/>
          <w:sz w:val="44"/>
          <w:szCs w:val="44"/>
        </w:rPr>
        <w:t>环</w:t>
      </w:r>
      <w:r>
        <w:rPr>
          <w:rFonts w:ascii="Microsoft YaHei" w:eastAsia="Microsoft YaHei" w:hAnsi="Microsoft YaHei" w:cs="Microsoft YaHei"/>
          <w:spacing w:val="26"/>
          <w:sz w:val="44"/>
          <w:szCs w:val="44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44"/>
          <w:szCs w:val="44"/>
        </w:rPr>
        <w:t>境</w:t>
      </w:r>
      <w:r>
        <w:rPr>
          <w:rFonts w:ascii="Microsoft YaHei" w:eastAsia="Microsoft YaHei" w:hAnsi="Microsoft YaHei" w:cs="Microsoft YaHei"/>
          <w:spacing w:val="26"/>
          <w:sz w:val="44"/>
          <w:szCs w:val="44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44"/>
          <w:szCs w:val="44"/>
        </w:rPr>
        <w:t>保</w:t>
      </w:r>
      <w:r>
        <w:rPr>
          <w:rFonts w:ascii="Microsoft YaHei" w:eastAsia="Microsoft YaHei" w:hAnsi="Microsoft YaHei" w:cs="Microsoft YaHei"/>
          <w:spacing w:val="26"/>
          <w:sz w:val="44"/>
          <w:szCs w:val="44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44"/>
          <w:szCs w:val="44"/>
        </w:rPr>
        <w:t>护</w:t>
      </w:r>
      <w:r>
        <w:rPr>
          <w:rFonts w:ascii="Microsoft YaHei" w:eastAsia="Microsoft YaHei" w:hAnsi="Microsoft YaHei" w:cs="Microsoft YaHei"/>
          <w:spacing w:val="26"/>
          <w:sz w:val="44"/>
          <w:szCs w:val="44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44"/>
          <w:szCs w:val="44"/>
        </w:rPr>
        <w:t>部</w:t>
      </w:r>
      <w:r>
        <w:rPr>
          <w:rFonts w:ascii="Microsoft YaHei" w:eastAsia="Microsoft YaHei" w:hAnsi="Microsoft YaHei" w:cs="Microsoft YaHei"/>
          <w:spacing w:val="26"/>
          <w:sz w:val="44"/>
          <w:szCs w:val="44"/>
        </w:rPr>
        <w:t xml:space="preserve">   </w:t>
      </w:r>
      <w:r>
        <w:rPr>
          <w:rFonts w:ascii="SimHei" w:eastAsia="SimHei" w:hAnsi="SimHei" w:cs="SimHei"/>
          <w:spacing w:val="26"/>
          <w:sz w:val="27"/>
          <w:szCs w:val="27"/>
        </w:rPr>
        <w:t>发布</w:t>
      </w:r>
    </w:p>
    <w:p>
      <w:pPr>
        <w:sectPr>
          <w:type w:val="continuous"/>
          <w:pgSz w:w="11905" w:h="16840"/>
          <w:pgMar w:top="1431" w:right="853" w:bottom="0" w:left="1466" w:header="0" w:footer="0" w:gutter="0"/>
          <w:pgNumType w:start="4"/>
          <w:cols w:num="1" w:space="708" w:equalWidth="0">
            <w:col w:w="9585" w:space="0"/>
          </w:cols>
        </w:sectPr>
      </w:pPr>
    </w:p>
    <w:p>
      <w:pPr>
        <w:spacing w:before="63" w:line="219" w:lineRule="auto"/>
        <w:ind w:left="426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8"/>
          <w:sz w:val="32"/>
          <w:szCs w:val="32"/>
        </w:rPr>
        <w:t>目</w:t>
      </w:r>
      <w:r>
        <w:rPr>
          <w:rFonts w:ascii="SimHei" w:eastAsia="SimHei" w:hAnsi="SimHei" w:cs="SimHei"/>
          <w:spacing w:val="-7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7"/>
          <w:sz w:val="32"/>
          <w:szCs w:val="32"/>
        </w:rPr>
        <w:t>次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2031543578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052"/>
            </w:tabs>
            <w:spacing w:before="69" w:line="220" w:lineRule="auto"/>
            <w:rPr>
              <w:rFonts w:ascii="SimSun" w:eastAsia="SimSun" w:hAnsi="SimSun" w:cs="SimSun"/>
              <w:sz w:val="21"/>
              <w:szCs w:val="21"/>
            </w:rPr>
          </w:pPr>
          <w:hyperlink w:anchor="_bookmark1" w:history="1">
            <w:r>
              <w:rPr>
                <w:rFonts w:ascii="SimSun" w:eastAsia="SimSun" w:hAnsi="SimSun" w:cs="SimSun"/>
                <w:spacing w:val="15"/>
                <w:sz w:val="21"/>
                <w:szCs w:val="21"/>
              </w:rPr>
              <w:t>前</w:t>
            </w:r>
            <w:r>
              <w:rPr>
                <w:rFonts w:ascii="SimSun" w:eastAsia="SimSun" w:hAnsi="SimSun" w:cs="SimSun"/>
                <w:spacing w:val="13"/>
                <w:sz w:val="21"/>
                <w:szCs w:val="21"/>
              </w:rPr>
              <w:t xml:space="preserve">    </w:t>
            </w:r>
            <w:r>
              <w:rPr>
                <w:rFonts w:ascii="SimSun" w:eastAsia="SimSun" w:hAnsi="SimSun" w:cs="SimSun"/>
                <w:spacing w:val="13"/>
                <w:sz w:val="21"/>
                <w:szCs w:val="21"/>
              </w:rPr>
              <w:t>言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z w:val="21"/>
                <w:szCs w:val="21"/>
              </w:rPr>
              <w:t>II</w:t>
            </w:r>
          </w:hyperlink>
        </w:p>
        <w:p>
          <w:pPr>
            <w:tabs>
              <w:tab w:val="right" w:leader="dot" w:pos="9052"/>
            </w:tabs>
            <w:spacing w:before="293" w:line="220" w:lineRule="auto"/>
            <w:ind w:left="16"/>
            <w:rPr>
              <w:rFonts w:ascii="SimSun" w:eastAsia="SimSun" w:hAnsi="SimSun" w:cs="SimSun"/>
              <w:sz w:val="21"/>
              <w:szCs w:val="21"/>
            </w:rPr>
          </w:pPr>
          <w:hyperlink w:anchor="_bookmark2" w:history="1"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适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用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范围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052"/>
            </w:tabs>
            <w:spacing w:before="294" w:line="219" w:lineRule="auto"/>
            <w:ind w:left="3"/>
            <w:rPr>
              <w:rFonts w:ascii="SimSun" w:eastAsia="SimSun" w:hAnsi="SimSun" w:cs="SimSun"/>
              <w:sz w:val="21"/>
              <w:szCs w:val="21"/>
            </w:rPr>
          </w:pPr>
          <w:hyperlink w:anchor="_bookmark3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2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规范性引</w:t>
            </w:r>
            <w:r>
              <w:rPr>
                <w:rFonts w:ascii="SimSun" w:eastAsia="SimSun" w:hAnsi="SimSun" w:cs="SimSun"/>
                <w:sz w:val="21"/>
                <w:szCs w:val="21"/>
              </w:rPr>
              <w:t>用文件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052"/>
            </w:tabs>
            <w:spacing w:before="296" w:line="219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hyperlink w:anchor="_bookmark4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3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术语和定义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052"/>
            </w:tabs>
            <w:spacing w:before="295" w:line="219" w:lineRule="auto"/>
            <w:rPr>
              <w:rFonts w:ascii="SimSun" w:eastAsia="SimSun" w:hAnsi="SimSun" w:cs="SimSun"/>
              <w:sz w:val="21"/>
              <w:szCs w:val="21"/>
            </w:rPr>
          </w:pPr>
          <w:hyperlink w:anchor="_bookmark5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4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>设计水量及设计水质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052"/>
            </w:tabs>
            <w:spacing w:before="296" w:line="220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hyperlink w:anchor="_bookmark6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5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总体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设计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052"/>
            </w:tabs>
            <w:spacing w:before="294" w:line="219" w:lineRule="auto"/>
            <w:ind w:left="2"/>
            <w:rPr>
              <w:rFonts w:ascii="SimSun" w:eastAsia="SimSun" w:hAnsi="SimSun" w:cs="SimSun"/>
              <w:sz w:val="21"/>
              <w:szCs w:val="21"/>
            </w:rPr>
          </w:pPr>
          <w:hyperlink w:anchor="_bookmark7" w:history="1"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6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>含油污水处理单元工艺设计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9052"/>
            </w:tabs>
            <w:spacing w:before="296" w:line="219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hyperlink w:anchor="_bookmark8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7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劳动安全与</w:t>
            </w:r>
            <w:r>
              <w:rPr>
                <w:rFonts w:ascii="SimSun" w:eastAsia="SimSun" w:hAnsi="SimSun" w:cs="SimSun"/>
                <w:sz w:val="21"/>
                <w:szCs w:val="21"/>
              </w:rPr>
              <w:t>职业卫生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9052"/>
            </w:tabs>
            <w:spacing w:before="295" w:line="219" w:lineRule="auto"/>
            <w:ind w:left="1"/>
            <w:rPr>
              <w:rFonts w:ascii="SimSun" w:eastAsia="SimSun" w:hAnsi="SimSun" w:cs="SimSun"/>
              <w:sz w:val="21"/>
              <w:szCs w:val="21"/>
            </w:rPr>
          </w:pPr>
          <w:hyperlink w:anchor="_bookmark9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8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施工与验收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9052"/>
            </w:tabs>
            <w:spacing w:before="295" w:line="219" w:lineRule="auto"/>
            <w:ind w:left="1"/>
            <w:rPr>
              <w:rFonts w:ascii="SimSun" w:eastAsia="SimSun" w:hAnsi="SimSun" w:cs="SimSun"/>
              <w:sz w:val="21"/>
              <w:szCs w:val="21"/>
            </w:rPr>
          </w:pPr>
          <w:hyperlink w:anchor="_bookmark10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9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运行维护</w:t>
            </w:r>
            <w:r>
              <w:rPr>
                <w:rFonts w:ascii="SimSun" w:eastAsia="SimSun" w:hAnsi="SimSun" w:cs="SimSun"/>
                <w:sz w:val="21"/>
                <w:szCs w:val="21"/>
              </w:rPr>
              <w:t>管理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9052"/>
            </w:tabs>
            <w:spacing w:before="296" w:line="218" w:lineRule="auto"/>
            <w:ind w:left="17"/>
            <w:rPr>
              <w:rFonts w:ascii="SimSun" w:eastAsia="SimSun" w:hAnsi="SimSun" w:cs="SimSun"/>
              <w:sz w:val="21"/>
              <w:szCs w:val="21"/>
            </w:rPr>
          </w:pPr>
          <w:hyperlink w:anchor="_bookmark11" w:history="1">
            <w:r>
              <w:rPr>
                <w:rFonts w:ascii="SimSun" w:eastAsia="SimSun" w:hAnsi="SimSun" w:cs="SimSun"/>
                <w:spacing w:val="17"/>
                <w:sz w:val="21"/>
                <w:szCs w:val="21"/>
              </w:rPr>
              <w:t>附</w:t>
            </w:r>
            <w:r>
              <w:rPr>
                <w:rFonts w:ascii="SimSun" w:eastAsia="SimSun" w:hAnsi="SimSun" w:cs="SimSun"/>
                <w:spacing w:val="15"/>
                <w:sz w:val="21"/>
                <w:szCs w:val="21"/>
              </w:rPr>
              <w:t>录</w:t>
            </w:r>
            <w:r>
              <w:rPr>
                <w:rFonts w:ascii="SimSun" w:eastAsia="SimSun" w:hAnsi="SimSun" w:cs="SimSun"/>
                <w:sz w:val="21"/>
                <w:szCs w:val="21"/>
              </w:rPr>
              <w:t>A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15"/>
                <w:sz w:val="21"/>
                <w:szCs w:val="21"/>
              </w:rPr>
              <w:t>11</w:t>
            </w:r>
          </w:hyperlink>
        </w:p>
      </w:sdtContent>
    </w:sdt>
    <w:p>
      <w:pPr>
        <w:sectPr>
          <w:footerReference w:type="default" r:id="rId4"/>
          <w:pgSz w:w="11905" w:h="16840"/>
          <w:pgMar w:top="1401" w:right="1364" w:bottom="1156" w:left="1485" w:header="0" w:footer="998" w:gutter="0"/>
          <w:pgNumType w:start="5"/>
          <w:cols w:space="708"/>
        </w:sectPr>
      </w:pPr>
    </w:p>
    <w:p>
      <w:pPr>
        <w:spacing w:line="354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spacing w:before="104" w:line="219" w:lineRule="auto"/>
        <w:ind w:left="3904"/>
        <w:outlineLvl w:val="0"/>
        <w:rPr>
          <w:rFonts w:ascii="SimHei" w:eastAsia="SimHei" w:hAnsi="SimHei" w:cs="SimHei"/>
          <w:sz w:val="32"/>
          <w:szCs w:val="32"/>
        </w:rPr>
      </w:pPr>
      <w:bookmarkStart w:id="0" w:name="_bookmark1"/>
      <w:bookmarkEnd w:id="0"/>
      <w:r>
        <w:rPr>
          <w:rFonts w:ascii="SimHei" w:eastAsia="SimHei" w:hAnsi="SimHei" w:cs="SimHei"/>
          <w:spacing w:val="1"/>
          <w:sz w:val="32"/>
          <w:szCs w:val="32"/>
        </w:rPr>
        <w:t>前</w:t>
      </w:r>
      <w:r>
        <w:rPr>
          <w:rFonts w:ascii="SimHei" w:eastAsia="SimHei" w:hAnsi="SimHei" w:cs="SimHei"/>
          <w:spacing w:val="1"/>
          <w:sz w:val="32"/>
          <w:szCs w:val="32"/>
        </w:rPr>
        <w:t xml:space="preserve"> </w:t>
      </w:r>
      <w:r>
        <w:rPr>
          <w:rFonts w:ascii="SimHei" w:eastAsia="SimHei" w:hAnsi="SimHei" w:cs="SimHei"/>
          <w:sz w:val="32"/>
          <w:szCs w:val="32"/>
        </w:rPr>
        <w:t xml:space="preserve">   </w:t>
      </w:r>
      <w:r>
        <w:rPr>
          <w:rFonts w:ascii="SimHei" w:eastAsia="SimHei" w:hAnsi="SimHei" w:cs="SimHei"/>
          <w:sz w:val="32"/>
          <w:szCs w:val="32"/>
        </w:rPr>
        <w:t>言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68" w:line="359" w:lineRule="auto"/>
        <w:ind w:firstLine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为贯彻《中华人民共和国环境保护法</w:t>
      </w:r>
      <w:r>
        <w:rPr>
          <w:rFonts w:ascii="SimSun" w:eastAsia="SimSun" w:hAnsi="SimSun" w:cs="SimSun"/>
          <w:sz w:val="21"/>
          <w:szCs w:val="21"/>
        </w:rPr>
        <w:t>》和《中华人民共和国水污染防治法》，规范含油污水处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理工程的建</w:t>
      </w:r>
      <w:r>
        <w:rPr>
          <w:rFonts w:ascii="SimSun" w:eastAsia="SimSun" w:hAnsi="SimSun" w:cs="SimSun"/>
          <w:spacing w:val="-1"/>
          <w:sz w:val="21"/>
          <w:szCs w:val="21"/>
        </w:rPr>
        <w:t>设与运行管理，防治环境污染，保护环境和人体健康，制定本标准。</w:t>
      </w:r>
    </w:p>
    <w:p>
      <w:pPr>
        <w:spacing w:line="218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</w:t>
      </w:r>
      <w:r>
        <w:rPr>
          <w:rFonts w:ascii="SimSun" w:eastAsia="SimSun" w:hAnsi="SimSun" w:cs="SimSun"/>
          <w:spacing w:val="-1"/>
          <w:sz w:val="21"/>
          <w:szCs w:val="21"/>
        </w:rPr>
        <w:t>标准规定了含油污水处理工程中工艺设计、安全与环保、施工与验收的技术要求。</w:t>
      </w:r>
    </w:p>
    <w:p>
      <w:pPr>
        <w:spacing w:before="160" w:line="218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本标准由环境保护部科技标准司组织制订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161" w:line="359" w:lineRule="auto"/>
        <w:ind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本标准主要起草单位：</w:t>
      </w:r>
      <w:r>
        <w:rPr>
          <w:rFonts w:ascii="SimSun" w:eastAsia="SimSun" w:hAnsi="SimSun" w:cs="SimSun"/>
          <w:sz w:val="21"/>
          <w:szCs w:val="21"/>
        </w:rPr>
        <w:t>江西金达莱环保研发中心有限公司、华中科技大学、北京市环境保护科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学</w:t>
      </w:r>
      <w:r>
        <w:rPr>
          <w:rFonts w:ascii="SimSun" w:eastAsia="SimSun" w:hAnsi="SimSun" w:cs="SimSun"/>
          <w:spacing w:val="-6"/>
          <w:sz w:val="21"/>
          <w:szCs w:val="21"/>
        </w:rPr>
        <w:t>研究院。</w:t>
      </w:r>
    </w:p>
    <w:p>
      <w:pPr>
        <w:spacing w:line="218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本标准环境保护</w:t>
      </w:r>
      <w:r>
        <w:rPr>
          <w:rFonts w:ascii="SimSun" w:eastAsia="SimSun" w:hAnsi="SimSun" w:cs="SimSun"/>
          <w:spacing w:val="-1"/>
          <w:sz w:val="21"/>
          <w:szCs w:val="21"/>
        </w:rPr>
        <w:t>部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2010</w:t>
      </w:r>
      <w:r>
        <w:rPr>
          <w:rFonts w:ascii="SimSun" w:eastAsia="SimSun" w:hAnsi="SimSun" w:cs="SimSun"/>
          <w:spacing w:val="-1"/>
          <w:sz w:val="21"/>
          <w:szCs w:val="21"/>
        </w:rPr>
        <w:t>年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10</w:t>
      </w:r>
      <w:r>
        <w:rPr>
          <w:rFonts w:ascii="SimSun" w:eastAsia="SimSun" w:hAnsi="SimSun" w:cs="SimSun"/>
          <w:spacing w:val="-1"/>
          <w:sz w:val="21"/>
          <w:szCs w:val="21"/>
        </w:rPr>
        <w:t>月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12</w:t>
      </w:r>
      <w:r>
        <w:rPr>
          <w:rFonts w:ascii="SimSun" w:eastAsia="SimSun" w:hAnsi="SimSun" w:cs="SimSun"/>
          <w:spacing w:val="-1"/>
          <w:sz w:val="21"/>
          <w:szCs w:val="21"/>
        </w:rPr>
        <w:t>日批准。</w:t>
      </w:r>
    </w:p>
    <w:p>
      <w:pPr>
        <w:spacing w:before="160" w:line="218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本标准自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2011</w:t>
      </w:r>
      <w:r>
        <w:rPr>
          <w:rFonts w:ascii="SimSun" w:eastAsia="SimSun" w:hAnsi="SimSun" w:cs="SimSun"/>
          <w:spacing w:val="-2"/>
          <w:sz w:val="21"/>
          <w:szCs w:val="21"/>
        </w:rPr>
        <w:t>年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</w:t>
      </w:r>
      <w:r>
        <w:rPr>
          <w:rFonts w:ascii="SimSun" w:eastAsia="SimSun" w:hAnsi="SimSun" w:cs="SimSun"/>
          <w:spacing w:val="-2"/>
          <w:sz w:val="21"/>
          <w:szCs w:val="21"/>
        </w:rPr>
        <w:t>月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</w:t>
      </w:r>
      <w:r>
        <w:rPr>
          <w:rFonts w:ascii="SimSun" w:eastAsia="SimSun" w:hAnsi="SimSun" w:cs="SimSun"/>
          <w:spacing w:val="-2"/>
          <w:sz w:val="21"/>
          <w:szCs w:val="21"/>
        </w:rPr>
        <w:t>日</w:t>
      </w:r>
      <w:r>
        <w:rPr>
          <w:rFonts w:ascii="SimSun" w:eastAsia="SimSun" w:hAnsi="SimSun" w:cs="SimSun"/>
          <w:spacing w:val="-1"/>
          <w:sz w:val="21"/>
          <w:szCs w:val="21"/>
        </w:rPr>
        <w:t>起实施。</w:t>
      </w:r>
    </w:p>
    <w:p>
      <w:pPr>
        <w:spacing w:before="161" w:line="218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本标准由环境保护部解释。</w:t>
      </w:r>
    </w:p>
    <w:p>
      <w:pPr>
        <w:sectPr>
          <w:footerReference w:type="default" r:id="rId5"/>
          <w:pgSz w:w="11905" w:h="16840"/>
          <w:pgMar w:top="1431" w:right="1400" w:bottom="1156" w:left="1484" w:header="0" w:footer="998" w:gutter="0"/>
          <w:pgNumType w:start="6"/>
          <w:cols w:space="708"/>
        </w:sectPr>
      </w:pPr>
    </w:p>
    <w:p>
      <w:pPr>
        <w:spacing w:before="161" w:line="218" w:lineRule="auto"/>
        <w:ind w:left="2256"/>
        <w:rPr>
          <w:rFonts w:ascii="SimHei" w:eastAsia="SimHei" w:hAnsi="SimHei" w:cs="SimHei"/>
          <w:sz w:val="32"/>
          <w:szCs w:val="32"/>
        </w:rPr>
      </w:pPr>
      <w:bookmarkStart w:id="1" w:name="_bookmark2"/>
      <w:bookmarkEnd w:id="1"/>
      <w:bookmarkStart w:id="2" w:name="_bookmark4"/>
      <w:bookmarkEnd w:id="2"/>
      <w:bookmarkStart w:id="3" w:name="_bookmark3"/>
      <w:bookmarkEnd w:id="3"/>
      <w:r>
        <w:rPr>
          <w:rFonts w:ascii="SimHei" w:eastAsia="SimHei" w:hAnsi="SimHei" w:cs="SimHei"/>
          <w:spacing w:val="-2"/>
          <w:sz w:val="32"/>
          <w:szCs w:val="32"/>
        </w:rPr>
        <w:t>含油</w:t>
      </w:r>
      <w:r>
        <w:rPr>
          <w:rFonts w:ascii="SimHei" w:eastAsia="SimHei" w:hAnsi="SimHei" w:cs="SimHei"/>
          <w:spacing w:val="-1"/>
          <w:sz w:val="32"/>
          <w:szCs w:val="32"/>
        </w:rPr>
        <w:t>污水处理工程技术规范</w:t>
      </w:r>
    </w:p>
    <w:p>
      <w:pPr>
        <w:spacing w:before="285" w:line="220" w:lineRule="auto"/>
        <w:ind w:left="3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5"/>
          <w:sz w:val="21"/>
          <w:szCs w:val="21"/>
        </w:rPr>
        <w:t>1</w:t>
      </w:r>
      <w:r>
        <w:rPr>
          <w:rFonts w:ascii="SimHei" w:eastAsia="SimHei" w:hAnsi="SimHei" w:cs="SimHei"/>
          <w:spacing w:val="-1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1"/>
          <w:sz w:val="21"/>
          <w:szCs w:val="21"/>
        </w:rPr>
        <w:t>适用范围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68" w:line="218" w:lineRule="auto"/>
        <w:ind w:left="44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2"/>
          <w:sz w:val="21"/>
          <w:szCs w:val="21"/>
        </w:rPr>
        <w:t>本</w:t>
      </w:r>
      <w:r>
        <w:rPr>
          <w:rFonts w:ascii="SimSun" w:eastAsia="SimSun" w:hAnsi="SimSun" w:cs="SimSun"/>
          <w:spacing w:val="-11"/>
          <w:sz w:val="21"/>
          <w:szCs w:val="21"/>
        </w:rPr>
        <w:t>标</w:t>
      </w:r>
      <w:r>
        <w:rPr>
          <w:rFonts w:ascii="SimSun" w:eastAsia="SimSun" w:hAnsi="SimSun" w:cs="SimSun"/>
          <w:spacing w:val="-6"/>
          <w:sz w:val="21"/>
          <w:szCs w:val="21"/>
        </w:rPr>
        <w:t>准规定了含油污水处理工程的设计、施工、验收、运行及维护管理工作的基本要求。</w:t>
      </w:r>
    </w:p>
    <w:p>
      <w:pPr>
        <w:spacing w:before="161" w:line="367" w:lineRule="auto"/>
        <w:ind w:left="20" w:right="74" w:firstLine="43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本标准适用于以油污染为主的污水处理工程，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可作为环境影响评价、环境保护设施设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计与施工、</w:t>
      </w:r>
      <w:r>
        <w:rPr>
          <w:rFonts w:ascii="SimSun" w:eastAsia="SimSun" w:hAnsi="SimSun" w:cs="SimSun"/>
          <w:spacing w:val="-1"/>
          <w:sz w:val="21"/>
          <w:szCs w:val="21"/>
        </w:rPr>
        <w:t>建设项目竣工环境保护验收及建成后运行与管理的技术依据。</w:t>
      </w:r>
    </w:p>
    <w:p>
      <w:pPr>
        <w:spacing w:before="141" w:line="218" w:lineRule="auto"/>
        <w:ind w:left="21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7"/>
          <w:sz w:val="21"/>
          <w:szCs w:val="21"/>
        </w:rPr>
        <w:t>2</w:t>
      </w:r>
      <w:r>
        <w:rPr>
          <w:rFonts w:ascii="SimHei" w:eastAsia="SimHei" w:hAnsi="SimHei" w:cs="SimHei"/>
          <w:spacing w:val="-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7"/>
          <w:sz w:val="21"/>
          <w:szCs w:val="21"/>
        </w:rPr>
        <w:t>规范性引用文件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69" w:line="409" w:lineRule="exact"/>
        <w:ind w:left="44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position w:val="15"/>
          <w:sz w:val="21"/>
          <w:szCs w:val="21"/>
        </w:rPr>
        <w:t>本标准内</w:t>
      </w:r>
      <w:r>
        <w:rPr>
          <w:rFonts w:ascii="SimSun" w:eastAsia="SimSun" w:hAnsi="SimSun" w:cs="SimSun"/>
          <w:spacing w:val="-5"/>
          <w:position w:val="15"/>
          <w:sz w:val="21"/>
          <w:szCs w:val="21"/>
        </w:rPr>
        <w:t>容引用了下列文件中的条款。凡是不注日期的引用文件，</w:t>
      </w:r>
      <w:r>
        <w:rPr>
          <w:rFonts w:ascii="SimSun" w:eastAsia="SimSun" w:hAnsi="SimSun" w:cs="SimSun"/>
          <w:spacing w:val="-5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position w:val="15"/>
          <w:sz w:val="21"/>
          <w:szCs w:val="21"/>
        </w:rPr>
        <w:t>其有效版本适用于本</w:t>
      </w:r>
    </w:p>
    <w:p>
      <w:pPr>
        <w:spacing w:before="1" w:line="219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标</w:t>
      </w:r>
      <w:r>
        <w:rPr>
          <w:rFonts w:ascii="SimSun" w:eastAsia="SimSun" w:hAnsi="SimSun" w:cs="SimSun"/>
          <w:spacing w:val="-8"/>
          <w:sz w:val="21"/>
          <w:szCs w:val="21"/>
        </w:rPr>
        <w:t>准。</w:t>
      </w:r>
    </w:p>
    <w:p>
      <w:pPr>
        <w:spacing w:line="116" w:lineRule="exact"/>
      </w:pPr>
    </w:p>
    <w:p>
      <w:pPr>
        <w:sectPr>
          <w:footerReference w:type="default" r:id="rId6"/>
          <w:pgSz w:w="11905" w:h="16840"/>
          <w:pgMar w:top="1431" w:right="1731" w:bottom="1158" w:left="1785" w:header="0" w:footer="998" w:gutter="0"/>
          <w:pgNumType w:start="7"/>
          <w:cols w:num="1" w:space="708" w:equalWidth="0">
            <w:col w:w="8387" w:space="0"/>
          </w:cols>
        </w:sectPr>
      </w:pPr>
    </w:p>
    <w:p>
      <w:pPr>
        <w:spacing w:before="74" w:line="185" w:lineRule="auto"/>
        <w:ind w:left="43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G</w:t>
      </w:r>
      <w:r>
        <w:rPr>
          <w:rFonts w:ascii="SimSun" w:eastAsia="SimSun" w:hAnsi="SimSun" w:cs="SimSun"/>
          <w:sz w:val="21"/>
          <w:szCs w:val="21"/>
        </w:rPr>
        <w:t>B</w:t>
      </w:r>
      <w:r>
        <w:rPr>
          <w:rFonts w:ascii="SimSun" w:eastAsia="SimSun" w:hAnsi="SimSun" w:cs="SimSun"/>
          <w:spacing w:val="-1"/>
          <w:sz w:val="21"/>
          <w:szCs w:val="21"/>
        </w:rPr>
        <w:t>8978</w:t>
      </w:r>
    </w:p>
    <w:p>
      <w:pPr>
        <w:spacing w:before="199" w:line="185" w:lineRule="auto"/>
        <w:ind w:left="43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50014</w:t>
      </w:r>
    </w:p>
    <w:p>
      <w:pPr>
        <w:spacing w:before="165" w:line="224" w:lineRule="auto"/>
        <w:ind w:left="43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>1648</w:t>
      </w:r>
      <w:r>
        <w:rPr>
          <w:rFonts w:ascii="SimSun" w:eastAsia="SimSun" w:hAnsi="SimSun" w:cs="SimSun"/>
          <w:sz w:val="21"/>
          <w:szCs w:val="21"/>
        </w:rPr>
        <w:t>8</w:t>
      </w:r>
    </w:p>
    <w:p>
      <w:pPr>
        <w:spacing w:before="187" w:line="183" w:lineRule="auto"/>
        <w:ind w:left="43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C</w:t>
      </w:r>
      <w:r>
        <w:rPr>
          <w:rFonts w:ascii="SimSun" w:eastAsia="SimSun" w:hAnsi="SimSun" w:cs="SimSun"/>
          <w:sz w:val="21"/>
          <w:szCs w:val="21"/>
        </w:rPr>
        <w:t>JJ</w:t>
      </w:r>
      <w:r>
        <w:rPr>
          <w:rFonts w:ascii="SimSun" w:eastAsia="SimSun" w:hAnsi="SimSun" w:cs="SimSun"/>
          <w:spacing w:val="-1"/>
          <w:sz w:val="21"/>
          <w:szCs w:val="21"/>
        </w:rPr>
        <w:t>60－94</w:t>
      </w:r>
    </w:p>
    <w:p>
      <w:pPr>
        <w:spacing w:before="168" w:line="184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JB/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>2932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0" w:line="219" w:lineRule="auto"/>
        <w:ind w:left="16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污水综</w:t>
      </w:r>
      <w:r>
        <w:rPr>
          <w:rFonts w:ascii="SimSun" w:eastAsia="SimSun" w:hAnsi="SimSun" w:cs="SimSun"/>
          <w:spacing w:val="-1"/>
          <w:sz w:val="21"/>
          <w:szCs w:val="21"/>
        </w:rPr>
        <w:t>合排放标准</w:t>
      </w:r>
    </w:p>
    <w:p>
      <w:pPr>
        <w:spacing w:before="161" w:line="219" w:lineRule="auto"/>
        <w:ind w:left="16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室外排水设</w:t>
      </w:r>
      <w:r>
        <w:rPr>
          <w:rFonts w:ascii="SimSun" w:eastAsia="SimSun" w:hAnsi="SimSun" w:cs="SimSun"/>
          <w:spacing w:val="-1"/>
          <w:sz w:val="21"/>
          <w:szCs w:val="21"/>
        </w:rPr>
        <w:t>计规范</w:t>
      </w:r>
    </w:p>
    <w:p>
      <w:pPr>
        <w:spacing w:before="158" w:line="219" w:lineRule="auto"/>
        <w:ind w:left="16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水质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石油类和动植物油的</w:t>
      </w:r>
      <w:r>
        <w:rPr>
          <w:rFonts w:ascii="SimSun" w:eastAsia="SimSun" w:hAnsi="SimSun" w:cs="SimSun"/>
          <w:sz w:val="21"/>
          <w:szCs w:val="21"/>
        </w:rPr>
        <w:t>测定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红外光度法</w:t>
      </w:r>
    </w:p>
    <w:p>
      <w:pPr>
        <w:spacing w:before="161" w:line="219" w:lineRule="auto"/>
        <w:ind w:left="26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污水处理运行维护及其安</w:t>
      </w:r>
      <w:r>
        <w:rPr>
          <w:rFonts w:ascii="SimSun" w:eastAsia="SimSun" w:hAnsi="SimSun" w:cs="SimSun"/>
          <w:sz w:val="21"/>
          <w:szCs w:val="21"/>
        </w:rPr>
        <w:t>全技术规程</w:t>
      </w:r>
    </w:p>
    <w:p>
      <w:pPr>
        <w:spacing w:before="159" w:line="184" w:lineRule="auto"/>
        <w:ind w:left="16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水处</w:t>
      </w:r>
      <w:r>
        <w:rPr>
          <w:rFonts w:ascii="SimSun" w:eastAsia="SimSun" w:hAnsi="SimSun" w:cs="SimSun"/>
          <w:spacing w:val="-1"/>
          <w:sz w:val="21"/>
          <w:szCs w:val="21"/>
        </w:rPr>
        <w:t>理设备技术条件</w:t>
      </w:r>
    </w:p>
    <w:p>
      <w:pPr>
        <w:sectPr>
          <w:footerReference w:type="default" r:id="rId7"/>
          <w:type w:val="continuous"/>
          <w:pgSz w:w="11905" w:h="16840"/>
          <w:pgMar w:top="1431" w:right="1731" w:bottom="1158" w:left="1785" w:header="0" w:footer="998" w:gutter="0"/>
          <w:pgNumType w:start="8"/>
          <w:cols w:num="2" w:space="708" w:equalWidth="0">
            <w:col w:w="1540" w:space="0"/>
            <w:col w:w="6848" w:space="0"/>
          </w:cols>
        </w:sectPr>
      </w:pPr>
    </w:p>
    <w:p>
      <w:pPr>
        <w:spacing w:before="199" w:line="218" w:lineRule="auto"/>
        <w:ind w:left="44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建设</w:t>
      </w:r>
      <w:r>
        <w:rPr>
          <w:rFonts w:ascii="SimSun" w:eastAsia="SimSun" w:hAnsi="SimSun" w:cs="SimSun"/>
          <w:spacing w:val="-4"/>
          <w:sz w:val="21"/>
          <w:szCs w:val="21"/>
        </w:rPr>
        <w:t>项</w:t>
      </w:r>
      <w:r>
        <w:rPr>
          <w:rFonts w:ascii="SimSun" w:eastAsia="SimSun" w:hAnsi="SimSun" w:cs="SimSun"/>
          <w:spacing w:val="-3"/>
          <w:sz w:val="21"/>
          <w:szCs w:val="21"/>
        </w:rPr>
        <w:t>目竣工环境保护验收管理办法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[国家环境保护总局令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第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13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号]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69" w:line="219" w:lineRule="auto"/>
        <w:ind w:left="20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1"/>
          <w:sz w:val="21"/>
          <w:szCs w:val="21"/>
        </w:rPr>
        <w:t>3</w:t>
      </w:r>
      <w:r>
        <w:rPr>
          <w:rFonts w:ascii="SimHei" w:eastAsia="SimHei" w:hAnsi="SimHei" w:cs="SimHei"/>
          <w:spacing w:val="-8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8"/>
          <w:sz w:val="21"/>
          <w:szCs w:val="21"/>
        </w:rPr>
        <w:t>术语和定义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68" w:line="218" w:lineRule="auto"/>
        <w:ind w:left="45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下列术语和定义符合本标准</w:t>
      </w:r>
      <w:r>
        <w:rPr>
          <w:rFonts w:ascii="SimSun" w:eastAsia="SimSun" w:hAnsi="SimSun" w:cs="SimSun"/>
          <w:spacing w:val="-2"/>
          <w:sz w:val="21"/>
          <w:szCs w:val="21"/>
        </w:rPr>
        <w:t>。</w:t>
      </w:r>
    </w:p>
    <w:p>
      <w:pPr>
        <w:spacing w:before="160" w:line="214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3.1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油脂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oil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and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greas</w:t>
      </w:r>
      <w:r>
        <w:rPr>
          <w:rFonts w:ascii="SimHei" w:eastAsia="SimHei" w:hAnsi="SimHei" w:cs="SimHei"/>
          <w:spacing w:val="-2"/>
          <w:sz w:val="21"/>
          <w:szCs w:val="21"/>
        </w:rPr>
        <w:t>e</w:t>
      </w:r>
    </w:p>
    <w:p>
      <w:pPr>
        <w:spacing w:before="166" w:line="359" w:lineRule="auto"/>
        <w:ind w:left="20" w:right="76" w:firstLine="43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指乙醇或甘</w:t>
      </w:r>
      <w:r>
        <w:rPr>
          <w:rFonts w:ascii="SimSun" w:eastAsia="SimSun" w:hAnsi="SimSun" w:cs="SimSun"/>
          <w:spacing w:val="-8"/>
          <w:sz w:val="21"/>
          <w:szCs w:val="21"/>
        </w:rPr>
        <w:t>油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(丙三醇)与脂肪酸的化合物，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称为脂肪酸甘油脂。在常温下，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液态脂肪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酸甘油脂，称为油；固态脂肪酸甘</w:t>
      </w:r>
      <w:r>
        <w:rPr>
          <w:rFonts w:ascii="SimSun" w:eastAsia="SimSun" w:hAnsi="SimSun" w:cs="SimSun"/>
          <w:spacing w:val="-1"/>
          <w:sz w:val="21"/>
          <w:szCs w:val="21"/>
        </w:rPr>
        <w:t>油脂，称为脂。</w:t>
      </w:r>
    </w:p>
    <w:p>
      <w:pPr>
        <w:spacing w:line="218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含油污水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oil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wastewater</w:t>
      </w:r>
    </w:p>
    <w:p>
      <w:pPr>
        <w:spacing w:before="160" w:line="219" w:lineRule="auto"/>
        <w:ind w:left="45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指主要污染物为油的污水。</w:t>
      </w:r>
    </w:p>
    <w:p>
      <w:pPr>
        <w:spacing w:before="161" w:line="214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浮油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fl</w:t>
      </w:r>
      <w:r>
        <w:rPr>
          <w:rFonts w:ascii="SimHei" w:eastAsia="SimHei" w:hAnsi="SimHei" w:cs="SimHei"/>
          <w:sz w:val="21"/>
          <w:szCs w:val="21"/>
        </w:rPr>
        <w:t>oating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oil</w:t>
      </w:r>
    </w:p>
    <w:p>
      <w:pPr>
        <w:spacing w:before="164" w:line="218" w:lineRule="auto"/>
        <w:ind w:left="45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指油</w:t>
      </w:r>
      <w:r>
        <w:rPr>
          <w:rFonts w:ascii="SimSun" w:eastAsia="SimSun" w:hAnsi="SimSun" w:cs="SimSun"/>
          <w:spacing w:val="-5"/>
          <w:sz w:val="21"/>
          <w:szCs w:val="21"/>
        </w:rPr>
        <w:t>珠粒径大于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100µm，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静置后能较快上浮，以连续相的油膜漂浮在水面。</w:t>
      </w:r>
    </w:p>
    <w:p>
      <w:pPr>
        <w:spacing w:before="161" w:line="214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3.4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分散油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d</w:t>
      </w:r>
      <w:r>
        <w:rPr>
          <w:rFonts w:ascii="SimHei" w:eastAsia="SimHei" w:hAnsi="SimHei" w:cs="SimHei"/>
          <w:sz w:val="21"/>
          <w:szCs w:val="21"/>
        </w:rPr>
        <w:t>ispersed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oil</w:t>
      </w:r>
    </w:p>
    <w:p>
      <w:pPr>
        <w:spacing w:before="165" w:line="218" w:lineRule="auto"/>
        <w:ind w:left="45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指油珠粒径为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10µ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SimSun" w:eastAsia="SimSun" w:hAnsi="SimSun" w:cs="SimSun"/>
          <w:spacing w:val="1"/>
          <w:sz w:val="21"/>
          <w:szCs w:val="21"/>
        </w:rPr>
        <w:t>~100µ</w:t>
      </w:r>
      <w:r>
        <w:rPr>
          <w:rFonts w:ascii="SimSun" w:eastAsia="SimSun" w:hAnsi="SimSun" w:cs="SimSun"/>
          <w:sz w:val="21"/>
          <w:szCs w:val="21"/>
        </w:rPr>
        <w:t>m，以微小油珠悬浮于污水中，不稳定，静置后易形成浮油。</w:t>
      </w:r>
    </w:p>
    <w:p>
      <w:pPr>
        <w:spacing w:before="160" w:line="220" w:lineRule="auto"/>
        <w:ind w:left="20"/>
        <w:rPr>
          <w:rFonts w:ascii="SimHei" w:eastAsia="SimHei" w:hAnsi="SimHei" w:cs="SimHei"/>
          <w:sz w:val="21"/>
          <w:szCs w:val="21"/>
        </w:rPr>
        <w:sectPr>
          <w:footerReference w:type="default" r:id="rId8"/>
          <w:type w:val="continuous"/>
          <w:pgSz w:w="11905" w:h="16840"/>
          <w:pgMar w:top="1431" w:right="1731" w:bottom="1158" w:left="1785" w:header="0" w:footer="998" w:gutter="0"/>
          <w:pgNumType w:start="9"/>
          <w:cols w:num="1" w:space="708" w:equalWidth="0">
            <w:col w:w="8387" w:space="0"/>
          </w:cols>
        </w:sectPr>
      </w:pPr>
      <w:r>
        <w:rPr>
          <w:rFonts w:ascii="SimHei" w:eastAsia="SimHei" w:hAnsi="SimHei" w:cs="SimHei"/>
          <w:spacing w:val="-1"/>
          <w:sz w:val="21"/>
          <w:szCs w:val="21"/>
        </w:rPr>
        <w:t>3.5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乳化油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e</w:t>
      </w:r>
      <w:r>
        <w:rPr>
          <w:rFonts w:ascii="SimHei" w:eastAsia="SimHei" w:hAnsi="SimHei" w:cs="SimHei"/>
          <w:sz w:val="21"/>
          <w:szCs w:val="21"/>
        </w:rPr>
        <w:t>mulsified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oil</w:t>
      </w:r>
    </w:p>
    <w:p>
      <w:pPr>
        <w:spacing w:before="160" w:line="359" w:lineRule="auto"/>
        <w:ind w:left="19" w:right="75" w:firstLine="43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指油珠粒径小于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10µm，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一般为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0.1µm~2µ</w:t>
      </w:r>
      <w:r>
        <w:rPr>
          <w:rFonts w:ascii="SimSun" w:eastAsia="SimSun" w:hAnsi="SimSun" w:cs="SimSun"/>
          <w:spacing w:val="-2"/>
          <w:sz w:val="21"/>
          <w:szCs w:val="21"/>
        </w:rPr>
        <w:t>m</w:t>
      </w:r>
      <w:r>
        <w:rPr>
          <w:rFonts w:ascii="SimSun" w:eastAsia="SimSun" w:hAnsi="SimSun" w:cs="SimSun"/>
          <w:spacing w:val="-5"/>
          <w:sz w:val="21"/>
          <w:szCs w:val="21"/>
        </w:rPr>
        <w:t>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形成稳定的乳化液。且油滴在污水中分散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度</w:t>
      </w:r>
      <w:r>
        <w:rPr>
          <w:rFonts w:ascii="SimSun" w:eastAsia="SimSun" w:hAnsi="SimSun" w:cs="SimSun"/>
          <w:spacing w:val="-4"/>
          <w:sz w:val="21"/>
          <w:szCs w:val="21"/>
        </w:rPr>
        <w:t>愈大愈稳定。</w:t>
      </w:r>
    </w:p>
    <w:p>
      <w:pPr>
        <w:spacing w:line="217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3.6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溶解油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d</w:t>
      </w:r>
      <w:r>
        <w:rPr>
          <w:rFonts w:ascii="SimHei" w:eastAsia="SimHei" w:hAnsi="SimHei" w:cs="SimHei"/>
          <w:sz w:val="21"/>
          <w:szCs w:val="21"/>
        </w:rPr>
        <w:t>issolved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oil</w:t>
      </w:r>
    </w:p>
    <w:p>
      <w:pPr>
        <w:spacing w:before="161" w:line="219" w:lineRule="auto"/>
        <w:ind w:left="45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指以分子状态或化学方式分散于污水中，形成稳定的均相体系，</w:t>
      </w:r>
      <w:r>
        <w:rPr>
          <w:rFonts w:ascii="SimSun" w:eastAsia="SimSun" w:hAnsi="SimSun" w:cs="SimSun"/>
          <w:spacing w:val="-1"/>
          <w:sz w:val="21"/>
          <w:szCs w:val="21"/>
        </w:rPr>
        <w:t>粒径一般小于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0.1µm。</w:t>
      </w:r>
    </w:p>
    <w:p>
      <w:pPr>
        <w:spacing w:before="159" w:line="184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3.7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调节隔油池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water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adjusting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and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oil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separation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tank</w:t>
      </w:r>
    </w:p>
    <w:p>
      <w:pPr>
        <w:sectPr>
          <w:footerReference w:type="default" r:id="rId9"/>
          <w:type w:val="nextPage"/>
          <w:pgSz w:w="11905" w:h="16840"/>
          <w:pgMar w:top="1431" w:right="1731" w:bottom="1158" w:left="1785" w:header="0" w:footer="998" w:gutter="0"/>
          <w:pgNumType w:start="10"/>
          <w:cols w:num="1" w:space="708" w:equalWidth="0">
            <w:col w:w="8387" w:space="0"/>
          </w:cols>
          <w:titlePg w:val="0"/>
        </w:sectPr>
      </w:pPr>
    </w:p>
    <w:p>
      <w:pPr>
        <w:spacing w:before="41" w:line="219" w:lineRule="auto"/>
        <w:ind w:left="457"/>
        <w:rPr>
          <w:rFonts w:ascii="SimSun" w:eastAsia="SimSun" w:hAnsi="SimSun" w:cs="SimSun"/>
          <w:sz w:val="21"/>
          <w:szCs w:val="21"/>
        </w:rPr>
      </w:pPr>
      <w:bookmarkStart w:id="4" w:name="_bookmark5"/>
      <w:bookmarkEnd w:id="4"/>
      <w:bookmarkStart w:id="5" w:name="_bookmark6"/>
      <w:bookmarkEnd w:id="5"/>
      <w:r>
        <w:rPr>
          <w:rFonts w:ascii="SimSun" w:eastAsia="SimSun" w:hAnsi="SimSun" w:cs="SimSun"/>
          <w:spacing w:val="-2"/>
          <w:sz w:val="21"/>
          <w:szCs w:val="21"/>
        </w:rPr>
        <w:t>指用于调节水质、水量并</w:t>
      </w:r>
      <w:r>
        <w:rPr>
          <w:rFonts w:ascii="SimSun" w:eastAsia="SimSun" w:hAnsi="SimSun" w:cs="SimSun"/>
          <w:spacing w:val="-1"/>
          <w:sz w:val="21"/>
          <w:szCs w:val="21"/>
        </w:rPr>
        <w:t>配置有隔油功能的污水处理构筑物。</w:t>
      </w:r>
    </w:p>
    <w:p>
      <w:pPr>
        <w:spacing w:before="159" w:line="214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3.8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隔油池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oil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separation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tank</w:t>
      </w:r>
    </w:p>
    <w:p>
      <w:pPr>
        <w:spacing w:before="165" w:line="219" w:lineRule="auto"/>
        <w:ind w:left="45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指</w:t>
      </w:r>
      <w:r>
        <w:rPr>
          <w:rFonts w:ascii="SimSun" w:eastAsia="SimSun" w:hAnsi="SimSun" w:cs="SimSun"/>
          <w:spacing w:val="-2"/>
          <w:sz w:val="21"/>
          <w:szCs w:val="21"/>
        </w:rPr>
        <w:t>专门用于隔除浮油的污水处理构筑物。</w:t>
      </w:r>
    </w:p>
    <w:p>
      <w:pPr>
        <w:spacing w:before="158" w:line="219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3.9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气浮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air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floatation</w:t>
      </w:r>
    </w:p>
    <w:p>
      <w:pPr>
        <w:spacing w:before="161" w:line="359" w:lineRule="auto"/>
        <w:ind w:left="37" w:right="20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指空气微气</w:t>
      </w:r>
      <w:r>
        <w:rPr>
          <w:rFonts w:ascii="SimSun" w:eastAsia="SimSun" w:hAnsi="SimSun" w:cs="SimSun"/>
          <w:spacing w:val="2"/>
          <w:sz w:val="21"/>
          <w:szCs w:val="21"/>
        </w:rPr>
        <w:t>泡与油污颗粒结合，增大油污颗粒的浮力，使含油污水中的油污迅速分离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的</w:t>
      </w:r>
      <w:r>
        <w:rPr>
          <w:rFonts w:ascii="SimSun" w:eastAsia="SimSun" w:hAnsi="SimSun" w:cs="SimSun"/>
          <w:spacing w:val="-7"/>
          <w:sz w:val="21"/>
          <w:szCs w:val="21"/>
        </w:rPr>
        <w:t>处理方法。</w:t>
      </w:r>
    </w:p>
    <w:p>
      <w:pPr>
        <w:spacing w:line="219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3.10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粗粒化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coalescence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of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oil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water</w:t>
      </w:r>
    </w:p>
    <w:p>
      <w:pPr>
        <w:spacing w:before="159" w:line="359" w:lineRule="auto"/>
        <w:ind w:left="19" w:right="20" w:firstLine="43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指利用油水</w:t>
      </w:r>
      <w:r>
        <w:rPr>
          <w:rFonts w:ascii="SimSun" w:eastAsia="SimSun" w:hAnsi="SimSun" w:cs="SimSun"/>
          <w:spacing w:val="2"/>
          <w:sz w:val="21"/>
          <w:szCs w:val="21"/>
        </w:rPr>
        <w:t>两相对聚结材料亲和力的不同，使微细油珠在聚结材料表面集聚成为较大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颗粒或油膜，从而达到油水分离的过程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1" w:line="288" w:lineRule="auto"/>
        <w:ind w:left="456" w:right="2758" w:hanging="43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3.11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一级除油处理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primary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treatment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of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oil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wastewater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指</w:t>
      </w:r>
      <w:r>
        <w:rPr>
          <w:rFonts w:ascii="SimSun" w:eastAsia="SimSun" w:hAnsi="SimSun" w:cs="SimSun"/>
          <w:spacing w:val="-2"/>
          <w:sz w:val="21"/>
          <w:szCs w:val="21"/>
        </w:rPr>
        <w:t>采用隔油池进行油水分离的处理阶段。</w:t>
      </w:r>
    </w:p>
    <w:p>
      <w:pPr>
        <w:spacing w:before="162" w:line="214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3.12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二级除油处理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secondary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treatment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of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oil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wastewater</w:t>
      </w:r>
    </w:p>
    <w:p>
      <w:pPr>
        <w:spacing w:before="164" w:line="218" w:lineRule="auto"/>
        <w:ind w:left="45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指采用</w:t>
      </w:r>
      <w:r>
        <w:rPr>
          <w:rFonts w:ascii="SimSun" w:eastAsia="SimSun" w:hAnsi="SimSun" w:cs="SimSun"/>
          <w:spacing w:val="-1"/>
          <w:sz w:val="21"/>
          <w:szCs w:val="21"/>
        </w:rPr>
        <w:t>气浮、粗粒化、板结、过滤等方法或组合工艺进行油水分离的处理阶段。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69" w:line="218" w:lineRule="auto"/>
        <w:ind w:left="18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0"/>
          <w:sz w:val="21"/>
          <w:szCs w:val="21"/>
        </w:rPr>
        <w:t>4</w:t>
      </w:r>
      <w:r>
        <w:rPr>
          <w:rFonts w:ascii="SimHei" w:eastAsia="SimHei" w:hAnsi="SimHei" w:cs="SimHei"/>
          <w:spacing w:val="-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5"/>
          <w:sz w:val="21"/>
          <w:szCs w:val="21"/>
        </w:rPr>
        <w:t>设计水量及设计水质</w:t>
      </w:r>
    </w:p>
    <w:p>
      <w:pPr>
        <w:spacing w:line="346" w:lineRule="auto"/>
        <w:rPr>
          <w:rFonts w:ascii="Arial"/>
          <w:sz w:val="21"/>
        </w:rPr>
      </w:pPr>
    </w:p>
    <w:p>
      <w:pPr>
        <w:spacing w:before="68" w:line="218" w:lineRule="auto"/>
        <w:ind w:left="1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设计</w:t>
      </w:r>
      <w:r>
        <w:rPr>
          <w:rFonts w:ascii="SimHei" w:eastAsia="SimHei" w:hAnsi="SimHei" w:cs="SimHei"/>
          <w:sz w:val="21"/>
          <w:szCs w:val="21"/>
        </w:rPr>
        <w:t>水量</w:t>
      </w:r>
    </w:p>
    <w:p>
      <w:pPr>
        <w:spacing w:before="123" w:line="218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4.1.1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4"/>
          <w:sz w:val="21"/>
          <w:szCs w:val="21"/>
        </w:rPr>
        <w:t>设</w:t>
      </w:r>
      <w:r>
        <w:rPr>
          <w:rFonts w:ascii="SimSun" w:eastAsia="SimSun" w:hAnsi="SimSun" w:cs="SimSun"/>
          <w:spacing w:val="-4"/>
          <w:sz w:val="21"/>
          <w:szCs w:val="21"/>
        </w:rPr>
        <w:t>计</w:t>
      </w:r>
      <w:r>
        <w:rPr>
          <w:rFonts w:ascii="SimSun" w:eastAsia="SimSun" w:hAnsi="SimSun" w:cs="SimSun"/>
          <w:spacing w:val="-2"/>
          <w:sz w:val="21"/>
          <w:szCs w:val="21"/>
        </w:rPr>
        <w:t>水量应按国家现行工业用水量的规定确定或按公式(1)计算。</w:t>
      </w:r>
    </w:p>
    <w:p>
      <w:pPr>
        <w:spacing w:before="159" w:line="214" w:lineRule="auto"/>
        <w:ind w:right="21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Q</w:t>
      </w:r>
      <w:r>
        <w:rPr>
          <w:rFonts w:ascii="SimSun" w:eastAsia="SimSun" w:hAnsi="SimSun" w:cs="SimSun"/>
          <w:spacing w:val="-1"/>
          <w:sz w:val="21"/>
          <w:szCs w:val="21"/>
        </w:rPr>
        <w:t>=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K</w:t>
      </w:r>
      <w:r>
        <w:rPr>
          <w:rFonts w:ascii="SimSun" w:eastAsia="SimSun" w:hAnsi="SimSun" w:cs="SimSun"/>
          <w:spacing w:val="-1"/>
          <w:sz w:val="21"/>
          <w:szCs w:val="21"/>
        </w:rPr>
        <w:t>×</w:t>
      </w:r>
      <w:r>
        <w:rPr>
          <w:rFonts w:ascii="SimSun" w:eastAsia="SimSun" w:hAnsi="SimSun" w:cs="SimSun"/>
          <w:sz w:val="21"/>
          <w:szCs w:val="21"/>
        </w:rPr>
        <w:t>q</w:t>
      </w:r>
      <w:r>
        <w:rPr>
          <w:rFonts w:ascii="SimSun" w:eastAsia="SimSun" w:hAnsi="SimSun" w:cs="SimSun"/>
          <w:spacing w:val="-1"/>
          <w:sz w:val="21"/>
          <w:szCs w:val="21"/>
        </w:rPr>
        <w:t>×</w:t>
      </w:r>
      <w:r>
        <w:rPr>
          <w:rFonts w:ascii="SimSun" w:eastAsia="SimSun" w:hAnsi="SimSun" w:cs="SimSun"/>
          <w:sz w:val="21"/>
          <w:szCs w:val="21"/>
        </w:rPr>
        <w:t>S</w:t>
      </w:r>
      <w:r>
        <w:rPr>
          <w:position w:val="7"/>
          <w:sz w:val="21"/>
          <w:szCs w:val="21"/>
        </w:rPr>
        <w:drawing>
          <wp:inline distT="0" distB="0" distL="0" distR="0">
            <wp:extent cx="1018" cy="762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18" cy="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"/>
          <w:sz w:val="21"/>
          <w:szCs w:val="21"/>
        </w:rPr>
        <w:t xml:space="preserve">          </w:t>
      </w:r>
      <w:r>
        <w:rPr>
          <w:rFonts w:ascii="SimSun" w:eastAsia="SimSun" w:hAnsi="SimSun" w:cs="SimSun"/>
          <w:sz w:val="21"/>
          <w:szCs w:val="21"/>
        </w:rPr>
        <w:t xml:space="preserve">                      </w:t>
      </w:r>
      <w:r>
        <w:rPr>
          <w:rFonts w:ascii="SimSun" w:eastAsia="SimSun" w:hAnsi="SimSun" w:cs="SimSun"/>
          <w:sz w:val="21"/>
          <w:szCs w:val="21"/>
        </w:rPr>
        <w:t>(1)</w:t>
      </w:r>
    </w:p>
    <w:p>
      <w:pPr>
        <w:spacing w:before="166" w:line="220" w:lineRule="auto"/>
        <w:ind w:left="44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150" w:line="408" w:lineRule="exact"/>
        <w:ind w:left="159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4"/>
          <w:sz w:val="21"/>
          <w:szCs w:val="21"/>
        </w:rPr>
        <w:t>Q</w:t>
      </w:r>
      <w:r>
        <w:rPr>
          <w:rFonts w:ascii="SimSun" w:eastAsia="SimSun" w:hAnsi="SimSun" w:cs="SimSun"/>
          <w:spacing w:val="-1"/>
          <w:position w:val="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14"/>
          <w:sz w:val="21"/>
          <w:szCs w:val="21"/>
        </w:rPr>
        <w:t>——</w:t>
      </w:r>
      <w:r>
        <w:rPr>
          <w:rFonts w:ascii="SimSun" w:eastAsia="SimSun" w:hAnsi="SimSun" w:cs="SimSun"/>
          <w:spacing w:val="-1"/>
          <w:position w:val="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14"/>
          <w:sz w:val="21"/>
          <w:szCs w:val="21"/>
        </w:rPr>
        <w:t>每日产</w:t>
      </w:r>
      <w:r>
        <w:rPr>
          <w:rFonts w:ascii="SimSun" w:eastAsia="SimSun" w:hAnsi="SimSun" w:cs="SimSun"/>
          <w:position w:val="14"/>
          <w:sz w:val="21"/>
          <w:szCs w:val="21"/>
        </w:rPr>
        <w:t>生的含油污水总水量，m</w:t>
      </w:r>
      <w:r>
        <w:rPr>
          <w:rFonts w:ascii="SimSun" w:eastAsia="SimSun" w:hAnsi="SimSun" w:cs="SimSun"/>
          <w:position w:val="24"/>
          <w:sz w:val="11"/>
          <w:szCs w:val="11"/>
        </w:rPr>
        <w:t>3</w:t>
      </w:r>
      <w:r>
        <w:rPr>
          <w:rFonts w:ascii="SimSun" w:eastAsia="SimSun" w:hAnsi="SimSun" w:cs="SimSun"/>
          <w:position w:val="14"/>
          <w:sz w:val="21"/>
          <w:szCs w:val="21"/>
        </w:rPr>
        <w:t>/d；</w:t>
      </w:r>
    </w:p>
    <w:p>
      <w:pPr>
        <w:spacing w:line="221" w:lineRule="auto"/>
        <w:ind w:left="159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q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——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单位产品污水产</w:t>
      </w:r>
      <w:r>
        <w:rPr>
          <w:rFonts w:ascii="SimSun" w:eastAsia="SimSun" w:hAnsi="SimSun" w:cs="SimSun"/>
          <w:sz w:val="21"/>
          <w:szCs w:val="21"/>
        </w:rPr>
        <w:t>生量，m</w:t>
      </w:r>
      <w:r>
        <w:rPr>
          <w:rFonts w:ascii="SimSun" w:eastAsia="SimSun" w:hAnsi="SimSun" w:cs="SimSun"/>
          <w:position w:val="10"/>
          <w:sz w:val="11"/>
          <w:szCs w:val="11"/>
        </w:rPr>
        <w:t>3</w:t>
      </w:r>
      <w:r>
        <w:rPr>
          <w:rFonts w:ascii="SimSun" w:eastAsia="SimSun" w:hAnsi="SimSun" w:cs="SimSun"/>
          <w:sz w:val="21"/>
          <w:szCs w:val="21"/>
        </w:rPr>
        <w:t>/件；</w:t>
      </w:r>
    </w:p>
    <w:p>
      <w:pPr>
        <w:spacing w:before="166" w:line="219" w:lineRule="auto"/>
        <w:ind w:left="159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S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——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每日生产产品总数量，件；</w:t>
      </w:r>
    </w:p>
    <w:p>
      <w:pPr>
        <w:spacing w:before="158" w:line="219" w:lineRule="auto"/>
        <w:ind w:left="159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K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——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变化系数，根据</w:t>
      </w:r>
      <w:r>
        <w:rPr>
          <w:rFonts w:ascii="SimSun" w:eastAsia="SimSun" w:hAnsi="SimSun" w:cs="SimSun"/>
          <w:spacing w:val="-1"/>
          <w:sz w:val="21"/>
          <w:szCs w:val="21"/>
        </w:rPr>
        <w:t>生产工艺或经验决定。</w:t>
      </w:r>
    </w:p>
    <w:p>
      <w:pPr>
        <w:spacing w:before="258" w:line="218" w:lineRule="auto"/>
        <w:ind w:left="1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设计</w:t>
      </w:r>
      <w:r>
        <w:rPr>
          <w:rFonts w:ascii="SimHei" w:eastAsia="SimHei" w:hAnsi="SimHei" w:cs="SimHei"/>
          <w:sz w:val="21"/>
          <w:szCs w:val="21"/>
        </w:rPr>
        <w:t>水质</w:t>
      </w:r>
    </w:p>
    <w:p>
      <w:pPr>
        <w:spacing w:before="123" w:line="359" w:lineRule="auto"/>
        <w:ind w:left="21" w:right="23" w:hanging="3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5"/>
          <w:sz w:val="21"/>
          <w:szCs w:val="21"/>
        </w:rPr>
        <w:t>4.2.1</w:t>
      </w:r>
      <w:r>
        <w:rPr>
          <w:rFonts w:ascii="SimHei" w:eastAsia="SimHei" w:hAnsi="SimHei" w:cs="SimHe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金属加工工业、油脂化工等行业产生的含油污水，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其污染物有油脂、表面活性剂</w:t>
      </w:r>
      <w:r>
        <w:rPr>
          <w:rFonts w:ascii="SimSun" w:eastAsia="SimSun" w:hAnsi="SimSun" w:cs="SimSun"/>
          <w:spacing w:val="-4"/>
          <w:sz w:val="21"/>
          <w:szCs w:val="21"/>
        </w:rPr>
        <w:t>及</w:t>
      </w:r>
      <w:r>
        <w:rPr>
          <w:rFonts w:ascii="SimSun" w:eastAsia="SimSun" w:hAnsi="SimSun" w:cs="SimSun"/>
          <w:sz w:val="21"/>
          <w:szCs w:val="21"/>
        </w:rPr>
        <w:t>悬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浮</w:t>
      </w:r>
      <w:r>
        <w:rPr>
          <w:rFonts w:ascii="SimSun" w:eastAsia="SimSun" w:hAnsi="SimSun" w:cs="SimSun"/>
          <w:spacing w:val="-7"/>
          <w:sz w:val="21"/>
          <w:szCs w:val="21"/>
        </w:rPr>
        <w:t>杂质。</w:t>
      </w:r>
    </w:p>
    <w:p>
      <w:pPr>
        <w:spacing w:before="1" w:line="367" w:lineRule="auto"/>
        <w:ind w:left="18" w:right="213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4.2</w:t>
      </w:r>
      <w:r>
        <w:rPr>
          <w:rFonts w:ascii="SimHei" w:eastAsia="SimHei" w:hAnsi="SimHei" w:cs="SimHei"/>
          <w:spacing w:val="-2"/>
          <w:sz w:val="21"/>
          <w:szCs w:val="21"/>
        </w:rPr>
        <w:t>.2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屠宰及肉食品加工业和餐饮业产生的含油污水，含有可生化性较强的动植物油脂。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4"/>
          <w:sz w:val="21"/>
          <w:szCs w:val="21"/>
        </w:rPr>
        <w:t>4.2.3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设计水质应根</w:t>
      </w:r>
      <w:r>
        <w:rPr>
          <w:rFonts w:ascii="SimSun" w:eastAsia="SimSun" w:hAnsi="SimSun" w:cs="SimSun"/>
          <w:spacing w:val="-2"/>
          <w:sz w:val="21"/>
          <w:szCs w:val="21"/>
        </w:rPr>
        <w:t>据调查资料确定，或参照类似工业水质确定。</w:t>
      </w:r>
    </w:p>
    <w:p>
      <w:pPr>
        <w:spacing w:before="141" w:line="218" w:lineRule="auto"/>
        <w:ind w:left="20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4"/>
          <w:sz w:val="21"/>
          <w:szCs w:val="21"/>
        </w:rPr>
        <w:t>5</w:t>
      </w:r>
      <w:r>
        <w:rPr>
          <w:rFonts w:ascii="SimHei" w:eastAsia="SimHei" w:hAnsi="SimHei" w:cs="SimHei"/>
          <w:spacing w:val="-9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9"/>
          <w:sz w:val="21"/>
          <w:szCs w:val="21"/>
        </w:rPr>
        <w:t>总体设计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69" w:line="217" w:lineRule="auto"/>
        <w:ind w:left="20"/>
        <w:rPr>
          <w:rFonts w:ascii="SimHei" w:eastAsia="SimHei" w:hAnsi="SimHei" w:cs="SimHei"/>
          <w:sz w:val="21"/>
          <w:szCs w:val="21"/>
        </w:rPr>
        <w:sectPr>
          <w:footerReference w:type="default" r:id="rId11"/>
          <w:pgSz w:w="11905" w:h="16840"/>
          <w:pgMar w:top="1429" w:right="1785" w:bottom="1158" w:left="1785" w:header="0" w:footer="998" w:gutter="0"/>
          <w:pgNumType w:start="11"/>
          <w:cols w:space="708"/>
        </w:sectPr>
      </w:pPr>
      <w:r>
        <w:rPr>
          <w:rFonts w:ascii="SimHei" w:eastAsia="SimHei" w:hAnsi="SimHei" w:cs="SimHei"/>
          <w:spacing w:val="-2"/>
          <w:sz w:val="21"/>
          <w:szCs w:val="21"/>
        </w:rPr>
        <w:t>5</w:t>
      </w:r>
      <w:r>
        <w:rPr>
          <w:rFonts w:ascii="SimHei" w:eastAsia="SimHei" w:hAnsi="SimHei" w:cs="SimHei"/>
          <w:spacing w:val="-1"/>
          <w:sz w:val="21"/>
          <w:szCs w:val="21"/>
        </w:rPr>
        <w:t>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一般规定</w:t>
      </w:r>
    </w:p>
    <w:p>
      <w:pPr>
        <w:spacing w:before="162" w:line="359" w:lineRule="auto"/>
        <w:ind w:left="19" w:right="22" w:firstLine="1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5"/>
          <w:sz w:val="21"/>
          <w:szCs w:val="21"/>
        </w:rPr>
        <w:t>5.1.1</w:t>
      </w:r>
      <w:r>
        <w:rPr>
          <w:rFonts w:ascii="SimHei" w:eastAsia="SimHei" w:hAnsi="SimHei" w:cs="SimHe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对含油污水应进行单独除油处理，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以保证城市污水处理系统或者后续污水处理工艺</w:t>
      </w:r>
      <w:r>
        <w:rPr>
          <w:rFonts w:ascii="SimSun" w:eastAsia="SimSun" w:hAnsi="SimSun" w:cs="SimSun"/>
          <w:spacing w:val="-1"/>
          <w:sz w:val="21"/>
          <w:szCs w:val="21"/>
        </w:rPr>
        <w:t>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程</w:t>
      </w:r>
      <w:r>
        <w:rPr>
          <w:rFonts w:ascii="SimSun" w:eastAsia="SimSun" w:hAnsi="SimSun" w:cs="SimSun"/>
          <w:spacing w:val="-5"/>
          <w:sz w:val="21"/>
          <w:szCs w:val="21"/>
        </w:rPr>
        <w:t>正常运行。</w:t>
      </w:r>
    </w:p>
    <w:p>
      <w:pPr>
        <w:spacing w:before="1" w:line="218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7"/>
          <w:sz w:val="21"/>
          <w:szCs w:val="21"/>
        </w:rPr>
        <w:t>5.1.2</w:t>
      </w:r>
      <w:r>
        <w:rPr>
          <w:rFonts w:ascii="SimHei" w:eastAsia="SimHei" w:hAnsi="SimHei" w:cs="SimHei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含油污水处理工程应根据不同行业含油污水的水质特点，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选择适合的处理工艺，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并</w:t>
      </w:r>
      <w:r>
        <w:rPr>
          <w:rFonts w:ascii="SimSun" w:eastAsia="SimSun" w:hAnsi="SimSun" w:cs="SimSun"/>
          <w:spacing w:val="-6"/>
          <w:sz w:val="21"/>
          <w:szCs w:val="21"/>
        </w:rPr>
        <w:t>根</w:t>
      </w:r>
    </w:p>
    <w:p>
      <w:pPr>
        <w:sectPr>
          <w:footerReference w:type="default" r:id="rId12"/>
          <w:type w:val="nextPage"/>
          <w:pgSz w:w="11905" w:h="16840"/>
          <w:pgMar w:top="1429" w:right="1785" w:bottom="1158" w:left="1785" w:header="0" w:footer="998" w:gutter="0"/>
          <w:pgNumType w:start="12"/>
          <w:cols w:space="708"/>
          <w:titlePg w:val="0"/>
        </w:sectPr>
      </w:pPr>
    </w:p>
    <w:p>
      <w:pPr>
        <w:spacing w:before="41" w:line="219" w:lineRule="auto"/>
        <w:ind w:left="18"/>
        <w:rPr>
          <w:rFonts w:ascii="SimSun" w:eastAsia="SimSun" w:hAnsi="SimSun" w:cs="SimSun"/>
          <w:sz w:val="21"/>
          <w:szCs w:val="21"/>
        </w:rPr>
      </w:pPr>
      <w:r>
        <w:pict>
          <v:rect id="_x0000_s1027" style="width:45.7pt;height:0.75pt;margin-top:471.52pt;margin-left:390.76pt;mso-position-horizontal-relative:page;mso-position-vertical-relative:page;position:absolute;z-index:251680768" o:allowincell="f" filled="t" fillcolor="black" stroked="f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43.2pt;height:18.65pt;margin-top:381.36pt;margin-left:172.14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808" w:type="dxa"/>
                    <w:tblInd w:w="2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</w:tblBorders>
                    <w:tblLayout w:type="fixed"/>
                  </w:tblPr>
                  <w:tblGrid>
                    <w:gridCol w:w="808"/>
                  </w:tblGrid>
                  <w:tr>
                    <w:tblPrEx>
                      <w:tblW w:w="808" w:type="dxa"/>
                      <w:tblInd w:w="2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tblBorders>
                      <w:tblLayout w:type="fixed"/>
                    </w:tblPrEx>
                    <w:trPr>
                      <w:trHeight w:val="302"/>
                    </w:trPr>
                    <w:tc>
                      <w:tcPr>
                        <w:tcW w:w="808" w:type="dxa"/>
                        <w:vAlign w:val="top"/>
                      </w:tcPr>
                      <w:p>
                        <w:pPr>
                          <w:spacing w:before="94" w:line="220" w:lineRule="auto"/>
                          <w:ind w:left="177"/>
                          <w:rPr>
                            <w:rFonts w:ascii="SimSun" w:eastAsia="SimSun" w:hAnsi="SimSun" w:cs="SimSu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5"/>
                            <w:szCs w:val="15"/>
                          </w:rPr>
                          <w:t>预处理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29" type="#_x0000_t202" style="width:42.55pt;height:18.65pt;margin-top:381.36pt;margin-left:235.62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795" w:type="dxa"/>
                    <w:tblInd w:w="2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</w:tblBorders>
                    <w:tblLayout w:type="fixed"/>
                  </w:tblPr>
                  <w:tblGrid>
                    <w:gridCol w:w="795"/>
                  </w:tblGrid>
                  <w:tr>
                    <w:tblPrEx>
                      <w:tblW w:w="795" w:type="dxa"/>
                      <w:tblInd w:w="2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tblBorders>
                      <w:tblLayout w:type="fixed"/>
                    </w:tblPrEx>
                    <w:trPr>
                      <w:trHeight w:val="302"/>
                    </w:trPr>
                    <w:tc>
                      <w:tcPr>
                        <w:tcW w:w="795" w:type="dxa"/>
                        <w:vAlign w:val="top"/>
                      </w:tcPr>
                      <w:p>
                        <w:pPr>
                          <w:spacing w:before="94" w:line="220" w:lineRule="auto"/>
                          <w:ind w:left="181"/>
                          <w:rPr>
                            <w:rFonts w:ascii="SimSun" w:eastAsia="SimSun" w:hAnsi="SimSun" w:cs="SimSu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4"/>
                            <w:sz w:val="15"/>
                            <w:szCs w:val="15"/>
                          </w:rPr>
                          <w:t>隔</w:t>
                        </w:r>
                        <w:r>
                          <w:rPr>
                            <w:rFonts w:ascii="SimSun" w:eastAsia="SimSun" w:hAnsi="SimSun" w:cs="SimSun"/>
                            <w:spacing w:val="-3"/>
                            <w:sz w:val="15"/>
                            <w:szCs w:val="15"/>
                          </w:rPr>
                          <w:t>油池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0" type="#_x0000_t202" style="width:41.05pt;height:18.65pt;margin-top:381.36pt;margin-left:422.64pt;mso-position-horizontal-relative:page;mso-position-vertical-relative:page;position:absolute;z-index:25166848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765" w:type="dxa"/>
                    <w:tblInd w:w="27" w:type="dxa"/>
                    <w:tblBorders>
                      <w:top w:val="single" w:sz="6" w:space="0" w:color="FFFFFF"/>
                      <w:left w:val="single" w:sz="6" w:space="0" w:color="FFFFFF"/>
                      <w:bottom w:val="single" w:sz="6" w:space="0" w:color="FFFFFF"/>
                      <w:right w:val="single" w:sz="6" w:space="0" w:color="FFFFFF"/>
                    </w:tblBorders>
                    <w:tblLayout w:type="fixed"/>
                  </w:tblPr>
                  <w:tblGrid>
                    <w:gridCol w:w="765"/>
                  </w:tblGrid>
                  <w:tr>
                    <w:tblPrEx>
                      <w:tblW w:w="765" w:type="dxa"/>
                      <w:tblInd w:w="27" w:type="dxa"/>
                      <w:tblBorders>
                        <w:top w:val="single" w:sz="6" w:space="0" w:color="FFFFFF"/>
                        <w:left w:val="single" w:sz="6" w:space="0" w:color="FFFFFF"/>
                        <w:bottom w:val="single" w:sz="6" w:space="0" w:color="FFFFFF"/>
                        <w:right w:val="single" w:sz="6" w:space="0" w:color="FFFFFF"/>
                      </w:tblBorders>
                      <w:tblLayout w:type="fixed"/>
                    </w:tblPrEx>
                    <w:trPr>
                      <w:trHeight w:val="302"/>
                    </w:trPr>
                    <w:tc>
                      <w:tcPr>
                        <w:tcW w:w="765" w:type="dxa"/>
                        <w:vAlign w:val="top"/>
                      </w:tcPr>
                      <w:p>
                        <w:pPr>
                          <w:spacing w:before="94" w:line="220" w:lineRule="auto"/>
                          <w:ind w:left="156"/>
                          <w:rPr>
                            <w:rFonts w:ascii="SimSun" w:eastAsia="SimSun" w:hAnsi="SimSun" w:cs="SimSu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sz w:val="15"/>
                            <w:szCs w:val="15"/>
                          </w:rPr>
                          <w:t>排</w:t>
                        </w:r>
                        <w:r>
                          <w:rPr>
                            <w:rFonts w:ascii="SimSun" w:eastAsia="SimSun" w:hAnsi="SimSun" w:cs="SimSun"/>
                            <w:spacing w:val="-1"/>
                            <w:sz w:val="15"/>
                            <w:szCs w:val="15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z w:val="15"/>
                            <w:szCs w:val="15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z w:val="15"/>
                            <w:szCs w:val="15"/>
                          </w:rPr>
                          <w:t>放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1" type="#_x0000_t202" style="width:38.75pt;height:18.65pt;margin-top:382.14pt;margin-left:297.12pt;mso-position-horizontal-relative:page;mso-position-vertical-relative:page;position:absolute;z-index:25167052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720" w:type="dxa"/>
                    <w:tblInd w:w="2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</w:tblBorders>
                    <w:tblLayout w:type="fixed"/>
                  </w:tblPr>
                  <w:tblGrid>
                    <w:gridCol w:w="720"/>
                  </w:tblGrid>
                  <w:tr>
                    <w:tblPrEx>
                      <w:tblW w:w="720" w:type="dxa"/>
                      <w:tblInd w:w="2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tblBorders>
                      <w:tblLayout w:type="fixed"/>
                    </w:tblPrEx>
                    <w:trPr>
                      <w:trHeight w:val="302"/>
                    </w:trPr>
                    <w:tc>
                      <w:tcPr>
                        <w:tcW w:w="720" w:type="dxa"/>
                        <w:vAlign w:val="top"/>
                      </w:tcPr>
                      <w:p>
                        <w:pPr>
                          <w:spacing w:before="93" w:line="220" w:lineRule="auto"/>
                          <w:ind w:left="208"/>
                          <w:rPr>
                            <w:rFonts w:ascii="SimSun" w:eastAsia="SimSun" w:hAnsi="SimSun" w:cs="SimSu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5"/>
                            <w:szCs w:val="15"/>
                          </w:rPr>
                          <w:t>气</w:t>
                        </w:r>
                        <w:r>
                          <w:rPr>
                            <w:rFonts w:ascii="SimSun" w:eastAsia="SimSun" w:hAnsi="SimSun" w:cs="SimSun"/>
                            <w:spacing w:val="-1"/>
                            <w:sz w:val="15"/>
                            <w:szCs w:val="15"/>
                          </w:rPr>
                          <w:t>浮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2" type="#_x0000_t202" style="width:41.7pt;height:18.65pt;margin-top:382.14pt;margin-left:359.1pt;mso-position-horizontal-relative:page;mso-position-vertical-relative:page;position:absolute;z-index:25166745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778" w:type="dxa"/>
                    <w:tblInd w:w="2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</w:tblBorders>
                    <w:tblLayout w:type="fixed"/>
                  </w:tblPr>
                  <w:tblGrid>
                    <w:gridCol w:w="778"/>
                  </w:tblGrid>
                  <w:tr>
                    <w:tblPrEx>
                      <w:tblW w:w="778" w:type="dxa"/>
                      <w:tblInd w:w="2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tblBorders>
                      <w:tblLayout w:type="fixed"/>
                    </w:tblPrEx>
                    <w:trPr>
                      <w:trHeight w:val="302"/>
                    </w:trPr>
                    <w:tc>
                      <w:tcPr>
                        <w:tcW w:w="778" w:type="dxa"/>
                        <w:vAlign w:val="top"/>
                      </w:tcPr>
                      <w:p>
                        <w:pPr>
                          <w:spacing w:before="93" w:line="220" w:lineRule="auto"/>
                          <w:ind w:left="165"/>
                          <w:rPr>
                            <w:rFonts w:ascii="SimSun" w:eastAsia="SimSun" w:hAnsi="SimSun" w:cs="SimSu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5"/>
                            <w:szCs w:val="15"/>
                          </w:rPr>
                          <w:t>调节</w:t>
                        </w:r>
                        <w:r>
                          <w:rPr>
                            <w:rFonts w:ascii="SimSun" w:eastAsia="SimSun" w:hAnsi="SimSun" w:cs="SimSun"/>
                            <w:spacing w:val="-1"/>
                            <w:sz w:val="15"/>
                            <w:szCs w:val="15"/>
                          </w:rPr>
                          <w:t>池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5116829</wp:posOffset>
            </wp:positionH>
            <wp:positionV relativeFrom="page">
              <wp:posOffset>4967478</wp:posOffset>
            </wp:positionV>
            <wp:extent cx="271271" cy="5105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1271" cy="51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4269485</wp:posOffset>
            </wp:positionH>
            <wp:positionV relativeFrom="page">
              <wp:posOffset>4966716</wp:posOffset>
            </wp:positionV>
            <wp:extent cx="269747" cy="51053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9747" cy="51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3500628</wp:posOffset>
            </wp:positionH>
            <wp:positionV relativeFrom="page">
              <wp:posOffset>4958334</wp:posOffset>
            </wp:positionV>
            <wp:extent cx="290321" cy="51053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0321" cy="51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2716529</wp:posOffset>
            </wp:positionH>
            <wp:positionV relativeFrom="page">
              <wp:posOffset>4956810</wp:posOffset>
            </wp:positionV>
            <wp:extent cx="267461" cy="51053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7461" cy="51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1929384</wp:posOffset>
            </wp:positionH>
            <wp:positionV relativeFrom="page">
              <wp:posOffset>4962144</wp:posOffset>
            </wp:positionV>
            <wp:extent cx="271272" cy="51053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1272" cy="51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3" type="#_x0000_t202" style="width:47.7pt;height:20.25pt;margin-top:453.06pt;margin-left:389.76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898" w:type="dxa"/>
                    <w:tblInd w:w="27" w:type="dxa"/>
                    <w:tblBorders>
                      <w:top w:val="single" w:sz="6" w:space="0" w:color="000000"/>
                      <w:left w:val="single" w:sz="6" w:space="0" w:color="000000"/>
                      <w:right w:val="single" w:sz="6" w:space="0" w:color="000000"/>
                    </w:tblBorders>
                    <w:tblLayout w:type="fixed"/>
                  </w:tblPr>
                  <w:tblGrid>
                    <w:gridCol w:w="898"/>
                  </w:tblGrid>
                  <w:tr>
                    <w:tblPrEx>
                      <w:tblW w:w="898" w:type="dxa"/>
                      <w:tblInd w:w="27" w:type="dxa"/>
                      <w:tblBorders>
                        <w:top w:val="single" w:sz="6" w:space="0" w:color="000000"/>
                        <w:left w:val="single" w:sz="6" w:space="0" w:color="000000"/>
                        <w:right w:val="single" w:sz="6" w:space="0" w:color="000000"/>
                      </w:tblBorders>
                      <w:tblLayout w:type="fixed"/>
                    </w:tblPrEx>
                    <w:trPr>
                      <w:trHeight w:val="349"/>
                    </w:trPr>
                    <w:tc>
                      <w:tcPr>
                        <w:tcW w:w="898" w:type="dxa"/>
                        <w:vAlign w:val="top"/>
                      </w:tcPr>
                      <w:p>
                        <w:pPr>
                          <w:spacing w:before="94" w:line="219" w:lineRule="auto"/>
                          <w:ind w:left="228"/>
                          <w:rPr>
                            <w:rFonts w:ascii="SimSun" w:eastAsia="SimSun" w:hAnsi="SimSun" w:cs="SimSu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15"/>
                            <w:szCs w:val="15"/>
                          </w:rPr>
                          <w:t>消</w:t>
                        </w:r>
                        <w:r>
                          <w:rPr>
                            <w:rFonts w:ascii="SimSun" w:eastAsia="SimSun" w:hAnsi="SimSun" w:cs="SimSun"/>
                            <w:spacing w:val="-2"/>
                            <w:sz w:val="15"/>
                            <w:szCs w:val="15"/>
                          </w:rPr>
                          <w:t>毒池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4" type="#_x0000_t202" style="width:49.95pt;height:18.55pt;margin-top:453.84pt;margin-left:268.38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943" w:type="dxa"/>
                    <w:tblInd w:w="2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</w:tblBorders>
                    <w:tblLayout w:type="fixed"/>
                  </w:tblPr>
                  <w:tblGrid>
                    <w:gridCol w:w="943"/>
                  </w:tblGrid>
                  <w:tr>
                    <w:tblPrEx>
                      <w:tblW w:w="943" w:type="dxa"/>
                      <w:tblInd w:w="2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tblBorders>
                      <w:tblLayout w:type="fixed"/>
                    </w:tblPrEx>
                    <w:trPr>
                      <w:trHeight w:val="300"/>
                    </w:trPr>
                    <w:tc>
                      <w:tcPr>
                        <w:tcW w:w="943" w:type="dxa"/>
                        <w:vAlign w:val="top"/>
                      </w:tcPr>
                      <w:p>
                        <w:pPr>
                          <w:spacing w:before="93" w:line="218" w:lineRule="auto"/>
                          <w:ind w:left="170"/>
                          <w:rPr>
                            <w:rFonts w:ascii="SimSun" w:eastAsia="SimSun" w:hAnsi="SimSun" w:cs="SimSu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sz w:val="15"/>
                            <w:szCs w:val="15"/>
                          </w:rPr>
                          <w:t>接触氧化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5" type="#_x0000_t202" style="width:43.95pt;height:19.25pt;margin-top:453.84pt;margin-left:332.76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823" w:type="dxa"/>
                    <w:tblInd w:w="2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</w:tblBorders>
                    <w:tblLayout w:type="fixed"/>
                  </w:tblPr>
                  <w:tblGrid>
                    <w:gridCol w:w="823"/>
                  </w:tblGrid>
                  <w:tr>
                    <w:tblPrEx>
                      <w:tblW w:w="823" w:type="dxa"/>
                      <w:tblInd w:w="2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tblBorders>
                      <w:tblLayout w:type="fixed"/>
                    </w:tblPrEx>
                    <w:trPr>
                      <w:trHeight w:val="315"/>
                    </w:trPr>
                    <w:tc>
                      <w:tcPr>
                        <w:tcW w:w="823" w:type="dxa"/>
                        <w:vAlign w:val="top"/>
                      </w:tcPr>
                      <w:p>
                        <w:pPr>
                          <w:spacing w:before="93" w:line="220" w:lineRule="auto"/>
                          <w:ind w:left="185"/>
                          <w:rPr>
                            <w:rFonts w:ascii="SimSun" w:eastAsia="SimSun" w:hAnsi="SimSun" w:cs="SimSu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5"/>
                            <w:szCs w:val="15"/>
                          </w:rPr>
                          <w:t>沉</w:t>
                        </w:r>
                        <w:r>
                          <w:rPr>
                            <w:rFonts w:ascii="SimSun" w:eastAsia="SimSun" w:hAnsi="SimSun" w:cs="SimSun"/>
                            <w:spacing w:val="-1"/>
                            <w:sz w:val="15"/>
                            <w:szCs w:val="15"/>
                          </w:rPr>
                          <w:t>淀池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6" type="#_x0000_t202" style="width:44.9pt;height:18.6pt;margin-top:454.44pt;margin-left:145.56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842" w:type="dxa"/>
                    <w:tblInd w:w="2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</w:tblBorders>
                    <w:tblLayout w:type="fixed"/>
                  </w:tblPr>
                  <w:tblGrid>
                    <w:gridCol w:w="842"/>
                  </w:tblGrid>
                  <w:tr>
                    <w:tblPrEx>
                      <w:tblW w:w="842" w:type="dxa"/>
                      <w:tblInd w:w="2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tblBorders>
                      <w:tblLayout w:type="fixed"/>
                    </w:tblPrEx>
                    <w:trPr>
                      <w:trHeight w:val="301"/>
                    </w:trPr>
                    <w:tc>
                      <w:tcPr>
                        <w:tcW w:w="842" w:type="dxa"/>
                        <w:vAlign w:val="top"/>
                      </w:tcPr>
                      <w:p>
                        <w:pPr>
                          <w:spacing w:before="94" w:line="220" w:lineRule="auto"/>
                          <w:ind w:left="195"/>
                          <w:rPr>
                            <w:rFonts w:ascii="SimSun" w:eastAsia="SimSun" w:hAnsi="SimSun" w:cs="SimSu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5"/>
                            <w:szCs w:val="15"/>
                          </w:rPr>
                          <w:t>预</w:t>
                        </w:r>
                        <w:r>
                          <w:rPr>
                            <w:rFonts w:ascii="SimSun" w:eastAsia="SimSun" w:hAnsi="SimSun" w:cs="SimSun"/>
                            <w:spacing w:val="-1"/>
                            <w:sz w:val="15"/>
                            <w:szCs w:val="15"/>
                          </w:rPr>
                          <w:t>处理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7" type="#_x0000_t202" style="width:49.4pt;height:19pt;margin-top:454.44pt;margin-left:202.68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932" w:type="dxa"/>
                    <w:tblInd w:w="2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</w:tblBorders>
                    <w:tblLayout w:type="fixed"/>
                  </w:tblPr>
                  <w:tblGrid>
                    <w:gridCol w:w="932"/>
                  </w:tblGrid>
                  <w:tr>
                    <w:tblPrEx>
                      <w:tblW w:w="932" w:type="dxa"/>
                      <w:tblInd w:w="2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tblBorders>
                      <w:tblLayout w:type="fixed"/>
                    </w:tblPrEx>
                    <w:trPr>
                      <w:trHeight w:val="309"/>
                    </w:trPr>
                    <w:tc>
                      <w:tcPr>
                        <w:tcW w:w="932" w:type="dxa"/>
                        <w:vAlign w:val="top"/>
                      </w:tcPr>
                      <w:p>
                        <w:pPr>
                          <w:spacing w:before="94" w:line="219" w:lineRule="auto"/>
                          <w:ind w:left="165"/>
                          <w:rPr>
                            <w:rFonts w:ascii="SimSun" w:eastAsia="SimSun" w:hAnsi="SimSun" w:cs="SimSu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5"/>
                            <w:szCs w:val="15"/>
                          </w:rPr>
                          <w:t>水解酸化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8" type="#_x0000_t202" style="width:20.45pt;height:10.95pt;margin-top:457.95pt;margin-left:458.11pt;mso-position-horizontal-relative:page;mso-position-vertical-relative:page;position:absolute;z-index:251671552" o:allowincell="f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15"/>
                      <w:szCs w:val="15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5"/>
                      <w:szCs w:val="15"/>
                    </w:rPr>
                    <w:t>排</w:t>
                  </w:r>
                  <w:r>
                    <w:rPr>
                      <w:rFonts w:ascii="SimSun" w:eastAsia="SimSun" w:hAnsi="SimSun" w:cs="SimSun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5"/>
                      <w:szCs w:val="15"/>
                    </w:rPr>
                    <w:t>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5539739</wp:posOffset>
            </wp:positionH>
            <wp:positionV relativeFrom="page">
              <wp:posOffset>5869686</wp:posOffset>
            </wp:positionV>
            <wp:extent cx="184403" cy="51054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4403" cy="51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4767071</wp:posOffset>
            </wp:positionH>
            <wp:positionV relativeFrom="page">
              <wp:posOffset>5865876</wp:posOffset>
            </wp:positionV>
            <wp:extent cx="205740" cy="51053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5740" cy="51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4020311</wp:posOffset>
            </wp:positionH>
            <wp:positionV relativeFrom="page">
              <wp:posOffset>5855208</wp:posOffset>
            </wp:positionV>
            <wp:extent cx="205739" cy="51054"/>
            <wp:effectExtent l="0" t="0" r="0" b="0"/>
            <wp:wrapNone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5739" cy="51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3179825</wp:posOffset>
            </wp:positionH>
            <wp:positionV relativeFrom="page">
              <wp:posOffset>5854446</wp:posOffset>
            </wp:positionV>
            <wp:extent cx="243077" cy="51053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3077" cy="51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2385822</wp:posOffset>
            </wp:positionH>
            <wp:positionV relativeFrom="page">
              <wp:posOffset>5855970</wp:posOffset>
            </wp:positionV>
            <wp:extent cx="214122" cy="51054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4122" cy="51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1631442</wp:posOffset>
            </wp:positionH>
            <wp:positionV relativeFrom="page">
              <wp:posOffset>5880354</wp:posOffset>
            </wp:positionV>
            <wp:extent cx="214122" cy="51053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4122" cy="51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6" w:name="_bookmark7"/>
      <w:bookmarkEnd w:id="6"/>
      <w:r>
        <w:rPr>
          <w:rFonts w:ascii="SimSun" w:eastAsia="SimSun" w:hAnsi="SimSun" w:cs="SimSun"/>
          <w:spacing w:val="-2"/>
          <w:sz w:val="21"/>
          <w:szCs w:val="21"/>
        </w:rPr>
        <w:t>据污水排放去</w:t>
      </w:r>
      <w:r>
        <w:rPr>
          <w:rFonts w:ascii="SimSun" w:eastAsia="SimSun" w:hAnsi="SimSun" w:cs="SimSun"/>
          <w:spacing w:val="-1"/>
          <w:sz w:val="21"/>
          <w:szCs w:val="21"/>
        </w:rPr>
        <w:t>向和当地的环境保护要求，经技术经济比较后确定。</w:t>
      </w:r>
    </w:p>
    <w:p>
      <w:pPr>
        <w:spacing w:before="158" w:line="219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5.1.3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含油污水最</w:t>
      </w:r>
      <w:r>
        <w:rPr>
          <w:rFonts w:ascii="SimSun" w:eastAsia="SimSun" w:hAnsi="SimSun" w:cs="SimSun"/>
          <w:spacing w:val="-3"/>
          <w:sz w:val="21"/>
          <w:szCs w:val="21"/>
        </w:rPr>
        <w:t>终</w:t>
      </w:r>
      <w:r>
        <w:rPr>
          <w:rFonts w:ascii="SimSun" w:eastAsia="SimSun" w:hAnsi="SimSun" w:cs="SimSun"/>
          <w:spacing w:val="-2"/>
          <w:sz w:val="21"/>
          <w:szCs w:val="21"/>
        </w:rPr>
        <w:t>处理效果应满足国家或地方污水排放标准的要求。</w:t>
      </w:r>
    </w:p>
    <w:p>
      <w:pPr>
        <w:spacing w:before="161" w:line="359" w:lineRule="auto"/>
        <w:ind w:left="20" w:right="22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5.1.4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含油污水处理</w:t>
      </w:r>
      <w:r>
        <w:rPr>
          <w:rFonts w:ascii="SimSun" w:eastAsia="SimSun" w:hAnsi="SimSun" w:cs="SimSun"/>
          <w:spacing w:val="-3"/>
          <w:sz w:val="21"/>
          <w:szCs w:val="21"/>
        </w:rPr>
        <w:t>深</w:t>
      </w:r>
      <w:r>
        <w:rPr>
          <w:rFonts w:ascii="SimSun" w:eastAsia="SimSun" w:hAnsi="SimSun" w:cs="SimSun"/>
          <w:spacing w:val="-2"/>
          <w:sz w:val="21"/>
          <w:szCs w:val="21"/>
        </w:rPr>
        <w:t>度分为一级除油处理和二级除油处理。一级除油处理出水含油量应控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制</w:t>
      </w:r>
      <w:r>
        <w:rPr>
          <w:rFonts w:ascii="SimSun" w:eastAsia="SimSun" w:hAnsi="SimSun" w:cs="SimSun"/>
          <w:spacing w:val="-9"/>
          <w:sz w:val="21"/>
          <w:szCs w:val="21"/>
        </w:rPr>
        <w:t>在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30mg/L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以下。</w:t>
      </w:r>
    </w:p>
    <w:p>
      <w:pPr>
        <w:spacing w:line="218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5.1.5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应</w:t>
      </w:r>
      <w:r>
        <w:rPr>
          <w:rFonts w:ascii="SimSun" w:eastAsia="SimSun" w:hAnsi="SimSun" w:cs="SimSun"/>
          <w:spacing w:val="-3"/>
          <w:sz w:val="21"/>
          <w:szCs w:val="21"/>
        </w:rPr>
        <w:t>根</w:t>
      </w:r>
      <w:r>
        <w:rPr>
          <w:rFonts w:ascii="SimSun" w:eastAsia="SimSun" w:hAnsi="SimSun" w:cs="SimSun"/>
          <w:spacing w:val="-2"/>
          <w:sz w:val="21"/>
          <w:szCs w:val="21"/>
        </w:rPr>
        <w:t>据工厂生产工艺，实现生产用水的循环利用，以减少污水处理水量。</w:t>
      </w:r>
    </w:p>
    <w:p>
      <w:pPr>
        <w:spacing w:before="160" w:line="359" w:lineRule="auto"/>
        <w:ind w:left="20" w:right="22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2"/>
          <w:sz w:val="21"/>
          <w:szCs w:val="21"/>
        </w:rPr>
        <w:t>5.1.</w:t>
      </w:r>
      <w:r>
        <w:rPr>
          <w:rFonts w:ascii="SimHei" w:eastAsia="SimHei" w:hAnsi="SimHei" w:cs="SimHei"/>
          <w:spacing w:val="-9"/>
          <w:sz w:val="21"/>
          <w:szCs w:val="21"/>
        </w:rPr>
        <w:t>6</w:t>
      </w:r>
      <w:r>
        <w:rPr>
          <w:rFonts w:ascii="SimHei" w:eastAsia="SimHei" w:hAnsi="SimHei" w:cs="SimHei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含油污水处理工程检测及控制设备的设置应参照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GB50014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的规定。同时，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仪表的选型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应根据污水中油类及悬浮物的含量、腐蚀性物质的特性和管道敷设条件等因素确定。</w:t>
      </w:r>
    </w:p>
    <w:p>
      <w:pPr>
        <w:spacing w:line="218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5</w:t>
      </w:r>
      <w:r>
        <w:rPr>
          <w:rFonts w:ascii="SimHei" w:eastAsia="SimHei" w:hAnsi="SimHei" w:cs="SimHei"/>
          <w:spacing w:val="-1"/>
          <w:sz w:val="21"/>
          <w:szCs w:val="21"/>
        </w:rPr>
        <w:t>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厂址选择</w:t>
      </w:r>
    </w:p>
    <w:p>
      <w:pPr>
        <w:spacing w:before="161" w:line="359" w:lineRule="auto"/>
        <w:ind w:left="20" w:right="21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5.2.</w:t>
      </w:r>
      <w:r>
        <w:rPr>
          <w:rFonts w:ascii="SimHei" w:eastAsia="SimHei" w:hAnsi="SimHei" w:cs="SimHei"/>
          <w:spacing w:val="-2"/>
          <w:sz w:val="21"/>
          <w:szCs w:val="21"/>
        </w:rPr>
        <w:t>1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含油污水处理设施应设在工业区夏季主导风向下方；尽可能选在工业区下游地区。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3"/>
          <w:sz w:val="21"/>
          <w:szCs w:val="21"/>
        </w:rPr>
        <w:t>5</w:t>
      </w:r>
      <w:r>
        <w:rPr>
          <w:rFonts w:ascii="SimSun" w:eastAsia="SimSun" w:hAnsi="SimSun" w:cs="SimSun"/>
          <w:spacing w:val="-7"/>
          <w:sz w:val="21"/>
          <w:szCs w:val="21"/>
        </w:rPr>
        <w:t>.2.2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应结合工业厂区总体规划，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考虑远景发展，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并应考虑交通运输、水电供应、水文地质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等</w:t>
      </w:r>
      <w:r>
        <w:rPr>
          <w:rFonts w:ascii="SimSun" w:eastAsia="SimSun" w:hAnsi="SimSun" w:cs="SimSun"/>
          <w:spacing w:val="-5"/>
          <w:sz w:val="21"/>
          <w:szCs w:val="21"/>
        </w:rPr>
        <w:t>条件。应参照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GB50014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中相关规定。</w:t>
      </w:r>
    </w:p>
    <w:p>
      <w:pPr>
        <w:spacing w:before="1" w:line="220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0"/>
          <w:sz w:val="21"/>
          <w:szCs w:val="21"/>
        </w:rPr>
        <w:t>5</w:t>
      </w:r>
      <w:r>
        <w:rPr>
          <w:rFonts w:ascii="SimHei" w:eastAsia="SimHei" w:hAnsi="SimHei" w:cs="SimHei"/>
          <w:spacing w:val="-7"/>
          <w:sz w:val="21"/>
          <w:szCs w:val="21"/>
        </w:rPr>
        <w:t>.3</w:t>
      </w:r>
      <w:r>
        <w:rPr>
          <w:rFonts w:ascii="SimHei" w:eastAsia="SimHei" w:hAnsi="SimHei" w:cs="SimHei"/>
          <w:spacing w:val="-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7"/>
          <w:sz w:val="21"/>
          <w:szCs w:val="21"/>
        </w:rPr>
        <w:t>总体布置</w:t>
      </w:r>
    </w:p>
    <w:p>
      <w:pPr>
        <w:spacing w:before="157" w:line="218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8"/>
          <w:sz w:val="21"/>
          <w:szCs w:val="21"/>
        </w:rPr>
        <w:t>5.3.1</w:t>
      </w:r>
      <w:r>
        <w:rPr>
          <w:rFonts w:ascii="SimHei" w:eastAsia="SimHei" w:hAnsi="SimHei" w:cs="SimHei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含油污水处理工程总体布置应参照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GB50014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中相关规定。</w:t>
      </w:r>
    </w:p>
    <w:p>
      <w:pPr>
        <w:spacing w:before="162" w:line="217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5.4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污水处理工</w:t>
      </w:r>
      <w:r>
        <w:rPr>
          <w:rFonts w:ascii="SimHei" w:eastAsia="SimHei" w:hAnsi="SimHei" w:cs="SimHei"/>
          <w:sz w:val="21"/>
          <w:szCs w:val="21"/>
        </w:rPr>
        <w:t>艺流程</w:t>
      </w:r>
    </w:p>
    <w:p>
      <w:pPr>
        <w:spacing w:before="161" w:line="218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5.</w:t>
      </w:r>
      <w:r>
        <w:rPr>
          <w:rFonts w:ascii="SimHei" w:eastAsia="SimHei" w:hAnsi="SimHei" w:cs="SimHei"/>
          <w:spacing w:val="-4"/>
          <w:sz w:val="21"/>
          <w:szCs w:val="21"/>
        </w:rPr>
        <w:t>4</w:t>
      </w:r>
      <w:r>
        <w:rPr>
          <w:rFonts w:ascii="SimHei" w:eastAsia="SimHei" w:hAnsi="SimHei" w:cs="SimHei"/>
          <w:spacing w:val="-3"/>
          <w:sz w:val="21"/>
          <w:szCs w:val="21"/>
        </w:rPr>
        <w:t>.1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金属加工工业、油脂化工行业含油污水处理推荐工艺流程如图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</w:t>
      </w:r>
      <w:r>
        <w:rPr>
          <w:rFonts w:ascii="SimSun" w:eastAsia="SimSun" w:hAnsi="SimSun" w:cs="SimSun"/>
          <w:spacing w:val="-3"/>
          <w:sz w:val="21"/>
          <w:szCs w:val="21"/>
        </w:rPr>
        <w:t>。</w:t>
      </w:r>
    </w:p>
    <w:p>
      <w:pPr>
        <w:spacing w:line="169" w:lineRule="exact"/>
      </w:pPr>
    </w:p>
    <w:tbl>
      <w:tblPr>
        <w:tblStyle w:val="TableNormal0"/>
        <w:tblW w:w="718" w:type="dxa"/>
        <w:tblInd w:w="68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tblLayout w:type="fixed"/>
      </w:tblPr>
      <w:tblGrid>
        <w:gridCol w:w="718"/>
      </w:tblGrid>
      <w:tr>
        <w:tblPrEx>
          <w:tblW w:w="718" w:type="dxa"/>
          <w:tblInd w:w="680" w:type="dxa"/>
          <w:tblBorders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tblBorders>
          <w:tblLayout w:type="fixed"/>
        </w:tblPrEx>
        <w:trPr>
          <w:trHeight w:val="369"/>
        </w:trPr>
        <w:tc>
          <w:tcPr>
            <w:tcW w:w="718" w:type="dxa"/>
            <w:vAlign w:val="top"/>
          </w:tcPr>
          <w:p>
            <w:pPr>
              <w:spacing w:before="93" w:line="219" w:lineRule="auto"/>
              <w:ind w:left="149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-2"/>
                <w:sz w:val="15"/>
                <w:szCs w:val="15"/>
              </w:rPr>
              <w:t>进</w:t>
            </w:r>
            <w:r>
              <w:rPr>
                <w:rFonts w:ascii="SimSun" w:eastAsia="SimSun" w:hAnsi="SimSun" w:cs="SimSun"/>
                <w:spacing w:val="-1"/>
                <w:sz w:val="15"/>
                <w:szCs w:val="15"/>
              </w:rPr>
              <w:t>水</w:t>
            </w:r>
          </w:p>
        </w:tc>
      </w:tr>
    </w:tbl>
    <w:p>
      <w:pPr>
        <w:spacing w:before="216" w:line="352" w:lineRule="auto"/>
        <w:ind w:left="20" w:right="1205" w:firstLine="119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图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4"/>
          <w:sz w:val="21"/>
          <w:szCs w:val="21"/>
        </w:rPr>
        <w:t>金属加</w:t>
      </w:r>
      <w:r>
        <w:rPr>
          <w:rFonts w:ascii="SimHei" w:eastAsia="SimHei" w:hAnsi="SimHei" w:cs="SimHei"/>
          <w:spacing w:val="-3"/>
          <w:sz w:val="21"/>
          <w:szCs w:val="21"/>
        </w:rPr>
        <w:t>工</w:t>
      </w:r>
      <w:r>
        <w:rPr>
          <w:rFonts w:ascii="SimHei" w:eastAsia="SimHei" w:hAnsi="SimHei" w:cs="SimHei"/>
          <w:spacing w:val="-2"/>
          <w:sz w:val="21"/>
          <w:szCs w:val="21"/>
        </w:rPr>
        <w:t>、轻工、油脂化工行业含油污水处理基本工艺流程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6"/>
          <w:sz w:val="21"/>
          <w:szCs w:val="21"/>
        </w:rPr>
        <w:t>5.4</w:t>
      </w:r>
      <w:r>
        <w:rPr>
          <w:rFonts w:ascii="SimHei" w:eastAsia="SimHei" w:hAnsi="SimHei" w:cs="SimHei"/>
          <w:spacing w:val="-4"/>
          <w:sz w:val="21"/>
          <w:szCs w:val="21"/>
        </w:rPr>
        <w:t>.</w:t>
      </w: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屠宰、肉食品加工和餐饮业含油污水处理推荐工艺流程如图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</w:t>
      </w:r>
      <w:r>
        <w:rPr>
          <w:rFonts w:ascii="SimSun" w:eastAsia="SimSun" w:hAnsi="SimSun" w:cs="SimSun"/>
          <w:spacing w:val="-3"/>
          <w:sz w:val="21"/>
          <w:szCs w:val="21"/>
        </w:rPr>
        <w:t>。</w:t>
      </w:r>
    </w:p>
    <w:tbl>
      <w:tblPr>
        <w:tblStyle w:val="TableNormal0"/>
        <w:tblW w:w="718" w:type="dxa"/>
        <w:tblInd w:w="113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tblLayout w:type="fixed"/>
      </w:tblPr>
      <w:tblGrid>
        <w:gridCol w:w="718"/>
      </w:tblGrid>
      <w:tr>
        <w:tblPrEx>
          <w:tblW w:w="718" w:type="dxa"/>
          <w:tblInd w:w="113" w:type="dxa"/>
          <w:tblBorders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tblBorders>
          <w:tblLayout w:type="fixed"/>
        </w:tblPrEx>
        <w:trPr>
          <w:trHeight w:val="392"/>
        </w:trPr>
        <w:tc>
          <w:tcPr>
            <w:tcW w:w="718" w:type="dxa"/>
            <w:vAlign w:val="top"/>
          </w:tcPr>
          <w:p>
            <w:pPr>
              <w:spacing w:before="153" w:line="219" w:lineRule="auto"/>
              <w:ind w:left="207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-2"/>
                <w:sz w:val="15"/>
                <w:szCs w:val="15"/>
              </w:rPr>
              <w:t>进</w:t>
            </w:r>
            <w:r>
              <w:rPr>
                <w:rFonts w:ascii="SimSun" w:eastAsia="SimSun" w:hAnsi="SimSun" w:cs="SimSun"/>
                <w:spacing w:val="-1"/>
                <w:sz w:val="15"/>
                <w:szCs w:val="15"/>
              </w:rPr>
              <w:t>水</w:t>
            </w:r>
          </w:p>
        </w:tc>
      </w:tr>
    </w:tbl>
    <w:p>
      <w:pPr>
        <w:spacing w:before="249" w:line="217" w:lineRule="auto"/>
        <w:ind w:left="142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图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4"/>
          <w:sz w:val="21"/>
          <w:szCs w:val="21"/>
        </w:rPr>
        <w:t>2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4"/>
          <w:sz w:val="21"/>
          <w:szCs w:val="21"/>
        </w:rPr>
        <w:t>屠宰、肉食</w:t>
      </w:r>
      <w:r>
        <w:rPr>
          <w:rFonts w:ascii="SimHei" w:eastAsia="SimHei" w:hAnsi="SimHei" w:cs="SimHei"/>
          <w:spacing w:val="-3"/>
          <w:sz w:val="21"/>
          <w:szCs w:val="21"/>
        </w:rPr>
        <w:t>品</w:t>
      </w:r>
      <w:r>
        <w:rPr>
          <w:rFonts w:ascii="SimHei" w:eastAsia="SimHei" w:hAnsi="SimHei" w:cs="SimHei"/>
          <w:spacing w:val="-2"/>
          <w:sz w:val="21"/>
          <w:szCs w:val="21"/>
        </w:rPr>
        <w:t>加工和餐饮业含油污水处理基本工艺流程</w:t>
      </w:r>
    </w:p>
    <w:p>
      <w:pPr>
        <w:spacing w:before="206" w:line="218" w:lineRule="auto"/>
        <w:ind w:left="2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8"/>
          <w:sz w:val="21"/>
          <w:szCs w:val="21"/>
        </w:rPr>
        <w:t>6</w:t>
      </w:r>
      <w:r>
        <w:rPr>
          <w:rFonts w:ascii="SimHei" w:eastAsia="SimHei" w:hAnsi="SimHei" w:cs="SimHei"/>
          <w:spacing w:val="-8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5"/>
          <w:sz w:val="21"/>
          <w:szCs w:val="21"/>
        </w:rPr>
        <w:t>含</w:t>
      </w:r>
      <w:r>
        <w:rPr>
          <w:rFonts w:ascii="SimHei" w:eastAsia="SimHei" w:hAnsi="SimHei" w:cs="SimHei"/>
          <w:spacing w:val="-4"/>
          <w:sz w:val="21"/>
          <w:szCs w:val="21"/>
        </w:rPr>
        <w:t>油污水处理单元工艺设计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69" w:line="217" w:lineRule="auto"/>
        <w:ind w:left="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0"/>
          <w:sz w:val="21"/>
          <w:szCs w:val="21"/>
        </w:rPr>
        <w:t>6</w:t>
      </w:r>
      <w:r>
        <w:rPr>
          <w:rFonts w:ascii="SimHei" w:eastAsia="SimHei" w:hAnsi="SimHei" w:cs="SimHei"/>
          <w:spacing w:val="-6"/>
          <w:sz w:val="21"/>
          <w:szCs w:val="21"/>
        </w:rPr>
        <w:t>.1</w:t>
      </w:r>
      <w:r>
        <w:rPr>
          <w:rFonts w:ascii="SimHei" w:eastAsia="SimHei" w:hAnsi="SimHei" w:cs="SimHei"/>
          <w:spacing w:val="-6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6"/>
          <w:sz w:val="21"/>
          <w:szCs w:val="21"/>
        </w:rPr>
        <w:t>平流式隔油池</w:t>
      </w:r>
    </w:p>
    <w:p>
      <w:pPr>
        <w:spacing w:before="160" w:line="219" w:lineRule="auto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0"/>
          <w:sz w:val="21"/>
          <w:szCs w:val="21"/>
        </w:rPr>
        <w:t>6.1</w:t>
      </w:r>
      <w:r>
        <w:rPr>
          <w:rFonts w:ascii="SimHei" w:eastAsia="SimHei" w:hAnsi="SimHei" w:cs="SimHei"/>
          <w:spacing w:val="-5"/>
          <w:sz w:val="21"/>
          <w:szCs w:val="21"/>
        </w:rPr>
        <w:t>.1</w:t>
      </w:r>
      <w:r>
        <w:rPr>
          <w:rFonts w:ascii="SimHei" w:eastAsia="SimHei" w:hAnsi="SimHei" w:cs="SimHe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平流式隔油池宜用于去除粒径大于等于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150μm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的油珠。</w:t>
      </w:r>
    </w:p>
    <w:p>
      <w:pPr>
        <w:spacing w:before="161" w:line="359" w:lineRule="auto"/>
        <w:ind w:left="21" w:right="22" w:firstLine="1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5"/>
          <w:sz w:val="21"/>
          <w:szCs w:val="21"/>
        </w:rPr>
        <w:t>6.1.2</w:t>
      </w:r>
      <w:r>
        <w:rPr>
          <w:rFonts w:ascii="SimHei" w:eastAsia="SimHei" w:hAnsi="SimHei" w:cs="SimHe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含油污水应该以基本无冲击状态进入隔油池进水配水间，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进水配水间的前置构筑物</w:t>
      </w:r>
      <w:r>
        <w:rPr>
          <w:rFonts w:ascii="SimSun" w:eastAsia="SimSun" w:hAnsi="SimSun" w:cs="SimSun"/>
          <w:spacing w:val="-3"/>
          <w:sz w:val="21"/>
          <w:szCs w:val="21"/>
        </w:rPr>
        <w:t>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水</w:t>
      </w:r>
      <w:r>
        <w:rPr>
          <w:rFonts w:ascii="SimSun" w:eastAsia="SimSun" w:hAnsi="SimSun" w:cs="SimSun"/>
          <w:spacing w:val="-5"/>
          <w:sz w:val="21"/>
          <w:szCs w:val="21"/>
        </w:rPr>
        <w:t>水头应小于等于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0.2m。</w:t>
      </w:r>
    </w:p>
    <w:p>
      <w:pPr>
        <w:spacing w:before="1" w:line="359" w:lineRule="auto"/>
        <w:ind w:left="20" w:right="66" w:firstLine="3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6.1.3</w:t>
      </w:r>
      <w:r>
        <w:rPr>
          <w:rFonts w:ascii="SimHei" w:eastAsia="SimHei" w:hAnsi="SimHei" w:cs="SimHei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进</w:t>
      </w:r>
      <w:r>
        <w:rPr>
          <w:rFonts w:ascii="SimSun" w:eastAsia="SimSun" w:hAnsi="SimSun" w:cs="SimSun"/>
          <w:spacing w:val="-3"/>
          <w:sz w:val="21"/>
          <w:szCs w:val="21"/>
        </w:rPr>
        <w:t>水配水间应为垂直折流式，二室配置，二室隔墙下部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0.5m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悬空。第一室下向流，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第二室上向流。第二室与隔油段用</w:t>
      </w:r>
      <w:r>
        <w:rPr>
          <w:rFonts w:ascii="SimSun" w:eastAsia="SimSun" w:hAnsi="SimSun" w:cs="SimSun"/>
          <w:spacing w:val="-1"/>
          <w:sz w:val="21"/>
          <w:szCs w:val="21"/>
        </w:rPr>
        <w:t>配水墙间隔。</w:t>
      </w:r>
    </w:p>
    <w:p>
      <w:pPr>
        <w:spacing w:before="2" w:line="358" w:lineRule="auto"/>
        <w:ind w:left="14" w:right="19" w:firstLine="9"/>
        <w:rPr>
          <w:rFonts w:ascii="SimSun" w:eastAsia="SimSun" w:hAnsi="SimSun" w:cs="SimSun"/>
          <w:sz w:val="21"/>
          <w:szCs w:val="21"/>
        </w:rPr>
        <w:sectPr>
          <w:footerReference w:type="default" r:id="rId24"/>
          <w:pgSz w:w="11905" w:h="16840"/>
          <w:pgMar w:top="1429" w:right="1785" w:bottom="1158" w:left="1785" w:header="0" w:footer="998" w:gutter="0"/>
          <w:pgNumType w:start="13"/>
          <w:cols w:space="708"/>
        </w:sectPr>
      </w:pPr>
      <w:r>
        <w:rPr>
          <w:rFonts w:ascii="SimHei" w:eastAsia="SimHei" w:hAnsi="SimHei" w:cs="SimHei"/>
          <w:spacing w:val="-4"/>
          <w:sz w:val="21"/>
          <w:szCs w:val="21"/>
        </w:rPr>
        <w:t>6.1.4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进水配水墙配水孔应设置于水面下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0.5m，池底上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0.8m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处。配水孔孔口流速应为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20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pacing w:val="17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s</w:t>
      </w:r>
      <w:r>
        <w:rPr>
          <w:rFonts w:ascii="SimSun" w:eastAsia="SimSun" w:hAnsi="SimSun" w:cs="SimSun"/>
          <w:spacing w:val="17"/>
          <w:sz w:val="21"/>
          <w:szCs w:val="21"/>
        </w:rPr>
        <w:t>~50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pacing w:val="17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s</w:t>
      </w:r>
      <w:r>
        <w:rPr>
          <w:rFonts w:ascii="SimSun" w:eastAsia="SimSun" w:hAnsi="SimSun" w:cs="SimSun"/>
          <w:spacing w:val="16"/>
          <w:sz w:val="21"/>
          <w:szCs w:val="21"/>
        </w:rPr>
        <w:t>。</w:t>
      </w:r>
    </w:p>
    <w:p>
      <w:pPr>
        <w:spacing w:before="1" w:line="218" w:lineRule="auto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6</w:t>
      </w:r>
      <w:r>
        <w:rPr>
          <w:rFonts w:ascii="SimHei" w:eastAsia="SimHei" w:hAnsi="SimHei" w:cs="SimHei"/>
          <w:spacing w:val="-1"/>
          <w:sz w:val="21"/>
          <w:szCs w:val="21"/>
        </w:rPr>
        <w:t>.1.5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含油污水在隔油段的计算水平流速应为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2mm/s~5mm/s。</w:t>
      </w:r>
    </w:p>
    <w:p>
      <w:pPr>
        <w:spacing w:before="160" w:line="219" w:lineRule="auto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0"/>
          <w:sz w:val="21"/>
          <w:szCs w:val="21"/>
        </w:rPr>
        <w:t>6.</w:t>
      </w:r>
      <w:r>
        <w:rPr>
          <w:rFonts w:ascii="SimHei" w:eastAsia="SimHei" w:hAnsi="SimHei" w:cs="SimHei"/>
          <w:spacing w:val="-9"/>
          <w:sz w:val="21"/>
          <w:szCs w:val="21"/>
        </w:rPr>
        <w:t>1</w:t>
      </w:r>
      <w:r>
        <w:rPr>
          <w:rFonts w:ascii="SimHei" w:eastAsia="SimHei" w:hAnsi="SimHei" w:cs="SimHei"/>
          <w:spacing w:val="-5"/>
          <w:sz w:val="21"/>
          <w:szCs w:val="21"/>
        </w:rPr>
        <w:t>.6</w:t>
      </w:r>
      <w:r>
        <w:rPr>
          <w:rFonts w:ascii="SimHei" w:eastAsia="SimHei" w:hAnsi="SimHei" w:cs="SimHe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单格池宽应小于等于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6m，隔油段长宽比应不小于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4。</w:t>
      </w:r>
    </w:p>
    <w:p>
      <w:pPr>
        <w:spacing w:before="159" w:line="219" w:lineRule="auto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5"/>
          <w:sz w:val="21"/>
          <w:szCs w:val="21"/>
        </w:rPr>
        <w:t>6.1.7</w:t>
      </w:r>
      <w:r>
        <w:rPr>
          <w:rFonts w:ascii="SimHei" w:eastAsia="SimHei" w:hAnsi="SimHei" w:cs="SimHei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隔油段的有效水深应小于等于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2m，池体超高应小于等于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0.4</w:t>
      </w:r>
      <w:r>
        <w:rPr>
          <w:rFonts w:ascii="SimSun" w:eastAsia="SimSun" w:hAnsi="SimSun" w:cs="SimSun"/>
          <w:spacing w:val="-1"/>
          <w:sz w:val="21"/>
          <w:szCs w:val="21"/>
        </w:rPr>
        <w:t>m</w:t>
      </w:r>
      <w:r>
        <w:rPr>
          <w:rFonts w:ascii="SimSun" w:eastAsia="SimSun" w:hAnsi="SimSun" w:cs="SimSun"/>
          <w:spacing w:val="-5"/>
          <w:sz w:val="21"/>
          <w:szCs w:val="21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https://d.book118.com/297040166111006043</w:t>
        </w:r>
      </w:hyperlink>
    </w:p>
    <w:p/>
    <w:sectPr>
      <w:footerReference w:type="default" r:id="rId26"/>
      <w:type w:val="nextPage"/>
      <w:pgSz w:w="11905" w:h="16840"/>
      <w:pgMar w:top="1429" w:right="1785" w:bottom="1158" w:left="1785" w:header="0" w:footer="998" w:gutter="0"/>
      <w:pgNumType w:start="1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44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446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I</w:t>
    </w:r>
    <w:r>
      <w:rPr>
        <w:rFonts w:ascii="Times New Roman" w:eastAsia="Times New Roman" w:hAnsi="Times New Roman" w:cs="Times New Roman"/>
        <w:spacing w:val="-1"/>
        <w:sz w:val="18"/>
        <w:szCs w:val="18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3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3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3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3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1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1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2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2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1.png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image" Target="media/image2.png" /><Relationship Id="rId14" Type="http://schemas.openxmlformats.org/officeDocument/2006/relationships/image" Target="media/image3.png" /><Relationship Id="rId15" Type="http://schemas.openxmlformats.org/officeDocument/2006/relationships/image" Target="media/image4.png" /><Relationship Id="rId16" Type="http://schemas.openxmlformats.org/officeDocument/2006/relationships/image" Target="media/image5.png" /><Relationship Id="rId17" Type="http://schemas.openxmlformats.org/officeDocument/2006/relationships/image" Target="media/image6.png" /><Relationship Id="rId18" Type="http://schemas.openxmlformats.org/officeDocument/2006/relationships/image" Target="media/image7.pn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footer" Target="footer9.xml" /><Relationship Id="rId25" Type="http://schemas.openxmlformats.org/officeDocument/2006/relationships/hyperlink" Target="https://d.book118.com/297040166111006043" TargetMode="External" /><Relationship Id="rId26" Type="http://schemas.openxmlformats.org/officeDocument/2006/relationships/footer" Target="footer10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    录</dc:title>
  <dc:creator>微软用户</dc:creator>
  <cp:revision>0</cp:revision>
  <dcterms:created xsi:type="dcterms:W3CDTF">2010-10-18T14:49:16Z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2024-01-29T21:33:15Z</vt:filetime>
  </property>
  <property fmtid="{D5CDD505-2E9C-101B-9397-08002B2CF9AE}" pid="3" name="CRO">
    <vt:lpwstr>wqlLaW5nc29mdCBQREYgdG8gV1BTIDgw</vt:lpwstr>
  </property>
</Properties>
</file>