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2018-2023年西昌民族幼儿师范高等专科学校高职单招（数学／语文／英语）历年常考试题库含答案解析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下列关于作家、作品搭配错误的是（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A.鲁迅——《灯下漫笔》、《论毅力》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B.茅盾——《子夜》、《香市》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C.巴金——《爱尔克的灯光》、《家》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D.曹禺——《雷雨》、《日出》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贯穿《谏逐客书》一文始终的论证方法是（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C.演绎论证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《长亭送别》的语言特色是（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A.慷慨悲凉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C.明白晓畅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D.优美雅致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《爱尔克的灯光》中故居照壁上的四个大字是（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A.礼义廉耻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B.光明正大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C.家门和顺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D.长宜子孙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“明月松间照，清泉石上流”使用的修辞方法是（）。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中国第一篇现代白话文小说《狂人日记》是发表在（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A.《彷徨》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B.《新青年》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C.《野草》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“譬如为山，未成一篑，止，吾止也；譬如平地，虽复一篑，进，吾往也”这段话所用的逻辑论证方法是（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C.类比、归纳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D.对比、类比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七斤、八一嫂和赵七爷是鲁迅的哪部小说中的人物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A.《狂人日记》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B.《伤逝》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C.《祝福》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D.《风波》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代表沈从文艺术创作高峰的一部中篇小说是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A.《萧萧》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B.《湘西》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C.《边城》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D.《长河》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《苦恼》中主人公的名字叫（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A.姚纳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B.拉京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C.万卡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D.别里科夫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孔子认为他所生活的时代是（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A.大同时代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B.三代之英的时代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D.礼崩乐坏的时代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下列同属“新月派”的一组作家是（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A.艾青、徐志摩、郭沫若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B.闻一多、郭沫若、冰心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C.徐志摩、闻一多、梁实秋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D.郁达夫、徐志摩、艾青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曹操《短歌行》的主旨是（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C.感慨功业无成，忧从中来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B.套曲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https://d.book118.com/297145132156006044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97145132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