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29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5"/>
          <w:sz w:val="19"/>
          <w:szCs w:val="19"/>
        </w:rPr>
        <w:t>91. 100.</w:t>
      </w:r>
      <w:r>
        <w:rPr>
          <w:spacing w:val="-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15</w:t>
      </w:r>
    </w:p>
    <w:p>
      <w:pPr>
        <w:pStyle w:val="BodyText"/>
        <w:spacing w:line="225" w:lineRule="auto"/>
        <w:rPr>
          <w:sz w:val="19"/>
          <w:szCs w:val="19"/>
        </w:rPr>
      </w:pPr>
      <w:r>
        <w:rPr>
          <w:spacing w:val="8"/>
          <w:sz w:val="19"/>
          <w:szCs w:val="19"/>
        </w:rPr>
        <w:t>Q</w:t>
      </w:r>
      <w:r>
        <w:rPr>
          <w:spacing w:val="1"/>
          <w:sz w:val="19"/>
          <w:szCs w:val="19"/>
        </w:rPr>
        <w:t xml:space="preserve">  </w:t>
      </w:r>
      <w:r>
        <w:rPr>
          <w:spacing w:val="8"/>
          <w:sz w:val="19"/>
          <w:szCs w:val="19"/>
        </w:rPr>
        <w:t>13</w:t>
      </w: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66" w:line="209" w:lineRule="auto"/>
        <w:ind w:left="170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3"/>
          <w:sz w:val="51"/>
          <w:szCs w:val="51"/>
        </w:rPr>
        <w:t>中华人民共和国城镇建设行业标准</w:t>
      </w:r>
    </w:p>
    <w:p>
      <w:pPr>
        <w:pStyle w:val="BodyText"/>
        <w:spacing w:line="430" w:lineRule="auto"/>
      </w:pPr>
    </w:p>
    <w:p>
      <w:pPr>
        <w:pStyle w:val="BodyText"/>
        <w:spacing w:before="75" w:line="187" w:lineRule="auto"/>
        <w:ind w:left="7292" w:right="219" w:firstLine="50"/>
        <w:rPr>
          <w:sz w:val="19"/>
          <w:szCs w:val="19"/>
        </w:rPr>
      </w:pPr>
      <w:r>
        <w:rPr>
          <w:sz w:val="26"/>
          <w:szCs w:val="26"/>
        </w:rPr>
        <w:t>CJ</w:t>
      </w:r>
      <w:r>
        <w:rPr>
          <w:spacing w:val="22"/>
          <w:sz w:val="26"/>
          <w:szCs w:val="26"/>
        </w:rPr>
        <w:t>/T486</w:t>
      </w:r>
      <w:r>
        <w:rPr>
          <w:spacing w:val="22"/>
          <w:position w:val="3"/>
          <w:sz w:val="26"/>
          <w:szCs w:val="26"/>
        </w:rPr>
        <w:t>—</w:t>
      </w:r>
      <w:r>
        <w:rPr>
          <w:spacing w:val="-53"/>
          <w:position w:val="3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2015</w:t>
      </w:r>
      <w:r>
        <w:rPr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代替 </w:t>
      </w:r>
      <w:r>
        <w:rPr>
          <w:sz w:val="19"/>
          <w:szCs w:val="19"/>
        </w:rPr>
        <w:t>CJ</w:t>
      </w:r>
      <w:r>
        <w:rPr>
          <w:spacing w:val="14"/>
          <w:sz w:val="19"/>
          <w:szCs w:val="19"/>
        </w:rPr>
        <w:t>/T3073</w:t>
      </w:r>
      <w:r>
        <w:rPr>
          <w:spacing w:val="14"/>
          <w:position w:val="2"/>
          <w:sz w:val="19"/>
          <w:szCs w:val="19"/>
        </w:rPr>
        <w:t>—</w:t>
      </w:r>
      <w:r>
        <w:rPr>
          <w:spacing w:val="-20"/>
          <w:position w:val="2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1998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66" w:line="209" w:lineRule="auto"/>
        <w:ind w:left="253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-19"/>
          <w:sz w:val="51"/>
          <w:szCs w:val="51"/>
        </w:rPr>
        <w:t>土</w:t>
      </w:r>
      <w:r>
        <w:rPr>
          <w:rFonts w:ascii="SimHei" w:eastAsia="SimHei" w:hAnsi="SimHei" w:cs="SimHei"/>
          <w:spacing w:val="-69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9"/>
          <w:sz w:val="51"/>
          <w:szCs w:val="51"/>
        </w:rPr>
        <w:t>壤</w:t>
      </w:r>
      <w:r>
        <w:rPr>
          <w:rFonts w:ascii="SimHei" w:eastAsia="SimHei" w:hAnsi="SimHei" w:cs="SimHei"/>
          <w:spacing w:val="-19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9"/>
          <w:sz w:val="51"/>
          <w:szCs w:val="51"/>
        </w:rPr>
        <w:t>固</w:t>
      </w:r>
      <w:r>
        <w:rPr>
          <w:rFonts w:ascii="SimHei" w:eastAsia="SimHei" w:hAnsi="SimHei" w:cs="SimHei"/>
          <w:spacing w:val="-72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9"/>
          <w:sz w:val="51"/>
          <w:szCs w:val="51"/>
        </w:rPr>
        <w:t>化</w:t>
      </w:r>
      <w:r>
        <w:rPr>
          <w:rFonts w:ascii="SimHei" w:eastAsia="SimHei" w:hAnsi="SimHei" w:cs="SimHei"/>
          <w:spacing w:val="-68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9"/>
          <w:sz w:val="51"/>
          <w:szCs w:val="51"/>
        </w:rPr>
        <w:t>外</w:t>
      </w:r>
      <w:r>
        <w:rPr>
          <w:rFonts w:ascii="SimHei" w:eastAsia="SimHei" w:hAnsi="SimHei" w:cs="SimHei"/>
          <w:spacing w:val="-68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9"/>
          <w:sz w:val="51"/>
          <w:szCs w:val="51"/>
        </w:rPr>
        <w:t>加</w:t>
      </w:r>
      <w:r>
        <w:rPr>
          <w:rFonts w:ascii="SimHei" w:eastAsia="SimHei" w:hAnsi="SimHei" w:cs="SimHei"/>
          <w:spacing w:val="-68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9"/>
          <w:sz w:val="51"/>
          <w:szCs w:val="51"/>
        </w:rPr>
        <w:t>剂</w:t>
      </w:r>
    </w:p>
    <w:p>
      <w:pPr>
        <w:pStyle w:val="BodyText"/>
        <w:spacing w:line="426" w:lineRule="auto"/>
      </w:pPr>
    </w:p>
    <w:p>
      <w:pPr>
        <w:pStyle w:val="BodyText"/>
        <w:spacing w:before="75" w:line="196" w:lineRule="auto"/>
        <w:ind w:left="3259"/>
        <w:rPr>
          <w:sz w:val="26"/>
          <w:szCs w:val="26"/>
        </w:rPr>
      </w:pPr>
      <w:r>
        <w:rPr>
          <w:spacing w:val="13"/>
          <w:sz w:val="26"/>
          <w:szCs w:val="26"/>
        </w:rPr>
        <w:t>Soilstabilizing</w:t>
      </w:r>
      <w:r>
        <w:rPr>
          <w:spacing w:val="-33"/>
          <w:sz w:val="26"/>
          <w:szCs w:val="26"/>
        </w:rPr>
        <w:t xml:space="preserve"> </w:t>
      </w:r>
      <w:r>
        <w:rPr>
          <w:spacing w:val="13"/>
          <w:sz w:val="26"/>
          <w:szCs w:val="26"/>
        </w:rPr>
        <w:t>admixtures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>
      <w:pPr>
        <w:sectPr>
          <w:pgSz w:w="11900" w:h="16840"/>
          <w:pgMar w:top="769" w:right="1136" w:bottom="0" w:left="1139" w:header="0" w:footer="0" w:gutter="0"/>
          <w:cols w:num="1" w:space="708" w:equalWidth="0">
            <w:col w:w="9624" w:space="0"/>
          </w:cols>
        </w:sectPr>
      </w:pPr>
    </w:p>
    <w:p/>
    <w:p/>
    <w:p/>
    <w:p/>
    <w:p/>
    <w:p/>
    <w:p/>
    <w:p/>
    <w:p/>
    <w:p/>
    <w:p/>
    <w:p>
      <w:pPr>
        <w:sectPr>
          <w:type w:val="nextPage"/>
          <w:pgSz w:w="11900" w:h="16840"/>
          <w:pgMar w:top="769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8" w:line="171" w:lineRule="auto"/>
        <w:ind w:left="1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2015-11-</w:t>
      </w:r>
      <w:r>
        <w:rPr>
          <w:spacing w:val="5"/>
          <w:position w:val="1"/>
          <w:sz w:val="26"/>
          <w:szCs w:val="26"/>
        </w:rPr>
        <w:t>23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7" w:line="171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2016-04-</w:t>
      </w:r>
      <w:r>
        <w:rPr>
          <w:spacing w:val="5"/>
          <w:position w:val="1"/>
          <w:sz w:val="26"/>
          <w:szCs w:val="26"/>
        </w:rPr>
        <w:t>01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实施</w:t>
      </w:r>
    </w:p>
    <w:p>
      <w:pPr>
        <w:spacing w:line="171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95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ind w:left="7714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before="95" w:line="209" w:lineRule="auto"/>
        <w:ind w:left="4033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spacing w:before="67"/>
      </w:pPr>
    </w:p>
    <w:p>
      <w:pPr>
        <w:spacing w:before="66"/>
      </w:pPr>
    </w:p>
    <w:p>
      <w:pPr>
        <w:sectPr>
          <w:footerReference w:type="default" r:id="rId5"/>
          <w:pgSz w:w="11906" w:h="16838"/>
          <w:pgMar w:top="1255" w:right="838" w:bottom="1462" w:left="1352" w:header="0" w:footer="1276" w:gutter="0"/>
          <w:pgNumType w:start="5"/>
          <w:cols w:num="1" w:space="708" w:equalWidth="0">
            <w:col w:w="9715" w:space="0"/>
          </w:cols>
        </w:sectPr>
      </w:pPr>
    </w:p>
    <w:p>
      <w:pPr>
        <w:spacing w:before="36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前言  …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</w:p>
    <w:p>
      <w:pPr>
        <w:spacing w:before="120" w:line="180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范围  …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</w:p>
    <w:p>
      <w:pPr>
        <w:spacing w:before="100" w:line="181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规范性引用文件  …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</w:p>
    <w:p>
      <w:pPr>
        <w:spacing w:before="101" w:line="181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术语和定义  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</w:p>
    <w:p>
      <w:pPr>
        <w:spacing w:before="102" w:line="181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分类和标记  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</w:p>
    <w:p>
      <w:pPr>
        <w:spacing w:before="99" w:line="18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要求  …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</w:p>
    <w:p>
      <w:pPr>
        <w:spacing w:before="89" w:line="214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试验材料  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</w:p>
    <w:p>
      <w:pPr>
        <w:spacing w:before="65" w:line="18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试件制备及养生  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</w:p>
    <w:p>
      <w:pPr>
        <w:spacing w:before="102" w:line="179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8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试验方法  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</w:p>
    <w:p>
      <w:pPr>
        <w:spacing w:before="102" w:line="180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2"/>
          <w:sz w:val="19"/>
          <w:szCs w:val="19"/>
        </w:rPr>
        <w:t>9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检验规则  …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</w:p>
    <w:p>
      <w:pPr>
        <w:spacing w:before="101" w:line="182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标志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…</w:t>
      </w:r>
    </w:p>
    <w:p>
      <w:pPr>
        <w:spacing w:before="100" w:line="176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附录 A(规范性附录)   凝结时间影响系数试验方法   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…</w:t>
      </w:r>
    </w:p>
    <w:p>
      <w:pPr>
        <w:spacing w:before="129" w:line="183" w:lineRule="exact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19"/>
          <w:szCs w:val="19"/>
        </w:rPr>
        <w:t>附录 B(规范性附录)   水稳系数试验方法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 xml:space="preserve">   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…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4" w:line="383" w:lineRule="exact"/>
        <w:ind w:left="4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15"/>
          <w:sz w:val="19"/>
          <w:szCs w:val="19"/>
        </w:rPr>
        <w:t>Ⅲ</w:t>
      </w:r>
    </w:p>
    <w:p>
      <w:pPr>
        <w:spacing w:before="1" w:line="163" w:lineRule="auto"/>
        <w:ind w:left="13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</w:t>
      </w:r>
    </w:p>
    <w:p>
      <w:pPr>
        <w:spacing w:before="144" w:line="164" w:lineRule="auto"/>
        <w:ind w:left="13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</w:t>
      </w:r>
    </w:p>
    <w:p>
      <w:pPr>
        <w:spacing w:before="144" w:line="164" w:lineRule="auto"/>
        <w:ind w:left="13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</w:t>
      </w:r>
    </w:p>
    <w:p>
      <w:pPr>
        <w:spacing w:before="144" w:line="164" w:lineRule="auto"/>
        <w:ind w:left="1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2</w:t>
      </w:r>
    </w:p>
    <w:p>
      <w:pPr>
        <w:spacing w:before="144" w:line="164" w:lineRule="auto"/>
        <w:ind w:left="1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2</w:t>
      </w:r>
    </w:p>
    <w:p>
      <w:pPr>
        <w:spacing w:before="148" w:line="161" w:lineRule="auto"/>
        <w:ind w:left="12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3</w:t>
      </w:r>
    </w:p>
    <w:p>
      <w:pPr>
        <w:spacing w:before="145" w:line="163" w:lineRule="auto"/>
        <w:ind w:left="1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4</w:t>
      </w:r>
    </w:p>
    <w:p>
      <w:pPr>
        <w:spacing w:before="146" w:line="163" w:lineRule="auto"/>
        <w:ind w:left="1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4</w:t>
      </w:r>
    </w:p>
    <w:p>
      <w:pPr>
        <w:spacing w:before="146" w:line="162" w:lineRule="auto"/>
        <w:ind w:left="1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6</w:t>
      </w:r>
    </w:p>
    <w:p>
      <w:pPr>
        <w:spacing w:before="147" w:line="162" w:lineRule="auto"/>
        <w:ind w:left="1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6</w:t>
      </w:r>
    </w:p>
    <w:p>
      <w:pPr>
        <w:spacing w:before="144" w:line="164" w:lineRule="auto"/>
        <w:ind w:left="1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8</w:t>
      </w:r>
    </w:p>
    <w:p>
      <w:pPr>
        <w:spacing w:before="148" w:line="154" w:lineRule="exact"/>
        <w:ind w:left="1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-3"/>
          <w:sz w:val="19"/>
          <w:szCs w:val="19"/>
        </w:rPr>
        <w:t>9</w:t>
      </w:r>
    </w:p>
    <w:p>
      <w:pPr>
        <w:spacing w:line="154" w:lineRule="exact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type w:val="continuous"/>
          <w:pgSz w:w="11906" w:h="16838"/>
          <w:pgMar w:top="1255" w:right="838" w:bottom="1462" w:left="1352" w:header="0" w:footer="1276" w:gutter="0"/>
          <w:pgNumType w:start="6"/>
          <w:cols w:num="2" w:space="708" w:equalWidth="0">
            <w:col w:w="8994" w:space="0"/>
            <w:col w:w="720" w:space="0"/>
          </w:cols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7" w:lineRule="auto"/>
        <w:ind w:left="399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2" w:line="174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pStyle w:val="BodyText"/>
        <w:spacing w:before="54" w:line="204" w:lineRule="auto"/>
        <w:ind w:left="625" w:right="597" w:hanging="2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本标准代替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/T3073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2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1998《土壤固化剂》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与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/T3073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1998相比主要技术变化如下 </w:t>
      </w:r>
      <w:r>
        <w:rPr>
          <w:rFonts w:ascii="Microsoft YaHei" w:eastAsia="Microsoft YaHei" w:hAnsi="Microsoft YaHei" w:cs="Microsoft YaHei"/>
          <w:spacing w:val="9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position w:val="1"/>
          <w:sz w:val="19"/>
          <w:szCs w:val="19"/>
        </w:rPr>
        <w:t xml:space="preserve"> </w:t>
      </w:r>
      <w:r>
        <w:rPr>
          <w:b/>
          <w:bCs/>
          <w:spacing w:val="15"/>
          <w:sz w:val="19"/>
          <w:szCs w:val="19"/>
        </w:rPr>
        <w:t>—</w:t>
      </w:r>
      <w:r>
        <w:rPr>
          <w:b/>
          <w:bCs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修改了标准的名称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;</w:t>
      </w:r>
    </w:p>
    <w:p>
      <w:pPr>
        <w:pStyle w:val="BodyText"/>
        <w:spacing w:before="67" w:line="231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7"/>
          <w:sz w:val="19"/>
          <w:szCs w:val="19"/>
        </w:rPr>
        <w:t>—</w:t>
      </w:r>
      <w:r>
        <w:rPr>
          <w:b/>
          <w:bCs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增加了标准适用的土壤固化外加剂范围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pStyle w:val="BodyText"/>
        <w:spacing w:before="1" w:line="181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6"/>
          <w:sz w:val="19"/>
          <w:szCs w:val="19"/>
        </w:rPr>
        <w:t>—</w:t>
      </w:r>
      <w:r>
        <w:rPr>
          <w:b/>
          <w:bCs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增加了规范性引用文件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pStyle w:val="BodyText"/>
        <w:spacing w:before="67" w:line="224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7"/>
          <w:sz w:val="19"/>
          <w:szCs w:val="19"/>
        </w:rPr>
        <w:t>—</w:t>
      </w:r>
      <w:r>
        <w:rPr>
          <w:b/>
          <w:bCs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明确了土壤固化外加剂的定义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,增删了相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关定义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pStyle w:val="BodyText"/>
        <w:spacing w:before="1" w:line="212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6"/>
          <w:sz w:val="19"/>
          <w:szCs w:val="19"/>
        </w:rPr>
        <w:t>—</w:t>
      </w:r>
      <w:r>
        <w:rPr>
          <w:b/>
          <w:bCs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修改了产品分类和标记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;</w:t>
      </w:r>
    </w:p>
    <w:p>
      <w:pPr>
        <w:pStyle w:val="BodyText"/>
        <w:spacing w:before="33" w:line="184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8"/>
          <w:sz w:val="19"/>
          <w:szCs w:val="19"/>
        </w:rPr>
        <w:t>—</w:t>
      </w:r>
      <w:r>
        <w:rPr>
          <w:b/>
          <w:bCs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删除了液粉土壤固化外加剂固体含量和安定性的要求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;</w:t>
      </w:r>
    </w:p>
    <w:p>
      <w:pPr>
        <w:pStyle w:val="BodyText"/>
        <w:spacing w:before="64" w:line="208" w:lineRule="auto"/>
        <w:ind w:left="837" w:right="77" w:hanging="21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-6"/>
          <w:sz w:val="19"/>
          <w:szCs w:val="19"/>
        </w:rPr>
        <w:t>—</w:t>
      </w:r>
      <w:r>
        <w:rPr>
          <w:b/>
          <w:bCs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增加 了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匀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质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性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指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标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、液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体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土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壤 固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化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外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加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剂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稳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性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、可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性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重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金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属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离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子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含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量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水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稳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系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数 比 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要求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;</w:t>
      </w:r>
    </w:p>
    <w:p>
      <w:pPr>
        <w:pStyle w:val="BodyText"/>
        <w:spacing w:before="65" w:line="183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7"/>
          <w:sz w:val="19"/>
          <w:szCs w:val="19"/>
        </w:rPr>
        <w:t>—</w:t>
      </w:r>
      <w:r>
        <w:rPr>
          <w:b/>
          <w:bCs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修改了无侧限抗压强度和凝结时间的要求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pStyle w:val="BodyText"/>
        <w:spacing w:before="64" w:line="208" w:lineRule="auto"/>
        <w:ind w:left="839" w:right="77" w:hanging="2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8"/>
          <w:sz w:val="19"/>
          <w:szCs w:val="19"/>
        </w:rPr>
        <w:t>—</w:t>
      </w:r>
      <w:r>
        <w:rPr>
          <w:b/>
          <w:bCs/>
          <w:spacing w:val="-3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增加了匀质性指标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、液体土壤固化外加剂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稳定性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、可溶性重金属离子含量和水稳系数的试验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方法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;</w:t>
      </w:r>
    </w:p>
    <w:p>
      <w:pPr>
        <w:pStyle w:val="BodyText"/>
        <w:spacing w:before="66" w:line="183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15"/>
          <w:sz w:val="19"/>
          <w:szCs w:val="19"/>
        </w:rPr>
        <w:t>—</w:t>
      </w:r>
      <w:r>
        <w:rPr>
          <w:b/>
          <w:bCs/>
          <w:spacing w:val="-3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修改了检验规则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;</w:t>
      </w:r>
    </w:p>
    <w:p>
      <w:pPr>
        <w:pStyle w:val="BodyText"/>
        <w:spacing w:before="57" w:line="213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2"/>
          <w:sz w:val="19"/>
          <w:szCs w:val="19"/>
        </w:rPr>
        <w:t>—</w:t>
      </w:r>
      <w:r>
        <w:rPr>
          <w:b/>
          <w:bCs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修改了产品的标志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。</w:t>
      </w:r>
    </w:p>
    <w:p>
      <w:pPr>
        <w:spacing w:before="33" w:line="182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6" w:line="183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本标准由住房和城乡建设部道路与桥梁标准化技术委员会归口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59" w:line="213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本标准负责起草单位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:北京建筑材料科学研究总院有限公司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、福建省建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筑科学研究院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31" w:line="222" w:lineRule="auto"/>
        <w:ind w:left="2" w:firstLine="417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2640832</wp:posOffset>
                </wp:positionH>
                <wp:positionV relativeFrom="paragraph">
                  <wp:posOffset>526419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0832" y="526419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41.45pt;margin-left:207.94pt;mso-wrap-distance-bottom:0;mso-wrap-distance-left:0;mso-wrap-distance-right:0;mso-wrap-distance-top:0;position:absolute;rotation:300;v-text-anchor:top;z-index:251663360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本标准参加起草单位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:柳州东风化工股份有限公司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、中建海峡建设发展有限公司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、北京华夏先河新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材料有限公司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、广东省建筑科学研究院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、中科盛联(北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京)环保科技有限公司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、湖南路易通科技有限公司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中城建第五工程局有限公司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、耕保土壤固化股份有限公司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、福建建工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建材科技开发有限公司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、广西壮族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自治区建筑科学研究设计院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、石狮市圣德环保科技有限公司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、福建省建筑工程质量检测中心有限公司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洛阳路世丰土壤固化科技有限公司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、北京金隅股份有限公司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before="67" w:line="215" w:lineRule="auto"/>
        <w:ind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本标准主要起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草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人 :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顾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军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、高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庆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强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、郑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敏 升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、战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佳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宇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、蔡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文 涛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、陈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乘 鑫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、张 勇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、马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立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军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、谢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荣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武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吴平春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、李金辉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、李建新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、包宗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义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、李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春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萍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、黄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文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、方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承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仕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、刘 国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强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、陈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寿 睦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、尚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路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、任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妍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婷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、黄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建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、谢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景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0"/>
          <w:w w:val="95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候梅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、李万民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。</w:t>
      </w:r>
    </w:p>
    <w:p>
      <w:pPr>
        <w:spacing w:before="68" w:line="239" w:lineRule="auto"/>
        <w:ind w:left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本标准所代替标准的历次版本发布情况为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:</w:t>
      </w:r>
    </w:p>
    <w:p>
      <w:pPr>
        <w:pStyle w:val="BodyText"/>
        <w:spacing w:line="161" w:lineRule="auto"/>
        <w:ind w:left="62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b/>
          <w:bCs/>
          <w:spacing w:val="9"/>
          <w:position w:val="2"/>
          <w:sz w:val="19"/>
          <w:szCs w:val="19"/>
        </w:rPr>
        <w:t>—</w:t>
      </w:r>
      <w:r>
        <w:rPr>
          <w:b/>
          <w:bCs/>
          <w:spacing w:val="-32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/T3073</w:t>
      </w:r>
      <w:r>
        <w:rPr>
          <w:rFonts w:ascii="Microsoft YaHei" w:eastAsia="Microsoft YaHei" w:hAnsi="Microsoft YaHei" w:cs="Microsoft YaHei"/>
          <w:spacing w:val="9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1998</w:t>
      </w:r>
      <w:r>
        <w:rPr>
          <w:rFonts w:ascii="Microsoft YaHei" w:eastAsia="Microsoft YaHei" w:hAnsi="Microsoft YaHei" w:cs="Microsoft YaHei"/>
          <w:spacing w:val="9"/>
          <w:position w:val="2"/>
          <w:sz w:val="19"/>
          <w:szCs w:val="19"/>
        </w:rPr>
        <w:t>。</w:t>
      </w:r>
    </w:p>
    <w:p>
      <w:pPr>
        <w:spacing w:line="16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pgSz w:w="11906" w:h="16838"/>
          <w:pgMar w:top="1255" w:right="1271" w:bottom="1462" w:left="1351" w:header="0" w:footer="1275" w:gutter="0"/>
          <w:pgNumType w:start="7"/>
          <w:cols w:space="708"/>
        </w:sectPr>
      </w:pPr>
    </w:p>
    <w:p>
      <w:pPr>
        <w:spacing w:before="35" w:line="163" w:lineRule="auto"/>
        <w:ind w:right="17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350" w:lineRule="auto"/>
      </w:pPr>
    </w:p>
    <w:p>
      <w:pPr>
        <w:pStyle w:val="BodyText"/>
        <w:spacing w:line="350" w:lineRule="auto"/>
      </w:pPr>
    </w:p>
    <w:p>
      <w:pPr>
        <w:spacing w:before="95" w:line="210" w:lineRule="auto"/>
        <w:ind w:left="3299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10"/>
          <w:sz w:val="29"/>
          <w:szCs w:val="29"/>
        </w:rPr>
        <w:t>土</w:t>
      </w:r>
      <w:r>
        <w:rPr>
          <w:rFonts w:ascii="SimHei" w:eastAsia="SimHei" w:hAnsi="SimHei" w:cs="SimHei"/>
          <w:spacing w:val="-36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10"/>
          <w:sz w:val="29"/>
          <w:szCs w:val="29"/>
        </w:rPr>
        <w:t>壤</w:t>
      </w:r>
      <w:r>
        <w:rPr>
          <w:rFonts w:ascii="SimHei" w:eastAsia="SimHei" w:hAnsi="SimHei" w:cs="SimHei"/>
          <w:spacing w:val="-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10"/>
          <w:sz w:val="29"/>
          <w:szCs w:val="29"/>
        </w:rPr>
        <w:t>固</w:t>
      </w:r>
      <w:r>
        <w:rPr>
          <w:rFonts w:ascii="SimHei" w:eastAsia="SimHei" w:hAnsi="SimHei" w:cs="SimHei"/>
          <w:spacing w:val="-4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10"/>
          <w:sz w:val="29"/>
          <w:szCs w:val="29"/>
        </w:rPr>
        <w:t>化</w:t>
      </w:r>
      <w:r>
        <w:rPr>
          <w:rFonts w:ascii="SimHei" w:eastAsia="SimHei" w:hAnsi="SimHei" w:cs="SimHei"/>
          <w:spacing w:val="-37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10"/>
          <w:sz w:val="29"/>
          <w:szCs w:val="29"/>
        </w:rPr>
        <w:t>外</w:t>
      </w:r>
      <w:r>
        <w:rPr>
          <w:rFonts w:ascii="SimHei" w:eastAsia="SimHei" w:hAnsi="SimHei" w:cs="SimHei"/>
          <w:spacing w:val="-38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10"/>
          <w:sz w:val="29"/>
          <w:szCs w:val="29"/>
        </w:rPr>
        <w:t>加</w:t>
      </w:r>
      <w:r>
        <w:rPr>
          <w:rFonts w:ascii="SimHei" w:eastAsia="SimHei" w:hAnsi="SimHei" w:cs="SimHei"/>
          <w:spacing w:val="-38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10"/>
          <w:sz w:val="29"/>
          <w:szCs w:val="29"/>
        </w:rPr>
        <w:t>剂</w:t>
      </w:r>
    </w:p>
    <w:p>
      <w:pPr>
        <w:pStyle w:val="BodyText"/>
        <w:spacing w:line="299" w:lineRule="auto"/>
      </w:pPr>
    </w:p>
    <w:p>
      <w:pPr>
        <w:pStyle w:val="BodyText"/>
        <w:spacing w:line="300" w:lineRule="auto"/>
      </w:pPr>
    </w:p>
    <w:p>
      <w:pPr>
        <w:spacing w:before="81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75" w:lineRule="auto"/>
      </w:pPr>
    </w:p>
    <w:p>
      <w:pPr>
        <w:spacing w:before="82" w:line="211" w:lineRule="auto"/>
        <w:ind w:left="3" w:right="74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本标准规定了土壤固化外加剂的术语和定义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、分类和标记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、要求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、试验材料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、试件制备及养生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、试验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方法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、检验规则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、标志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>。</w:t>
      </w:r>
    </w:p>
    <w:p>
      <w:pPr>
        <w:spacing w:before="69" w:line="182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本标准适用于无机类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、有机高分子类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、有机无机复合类和离子类土壤固化外加剂的生产及检验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pStyle w:val="BodyText"/>
        <w:spacing w:line="304" w:lineRule="auto"/>
      </w:pPr>
    </w:p>
    <w:p>
      <w:pPr>
        <w:spacing w:before="82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75" w:lineRule="auto"/>
      </w:pPr>
    </w:p>
    <w:p>
      <w:pPr>
        <w:spacing w:before="82" w:line="206" w:lineRule="auto"/>
        <w:ind w:left="4" w:right="74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74" w:line="18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175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通用硅酸盐水泥</w:t>
      </w:r>
    </w:p>
    <w:p>
      <w:pPr>
        <w:spacing w:before="62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/T208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水泥密度测定方法</w:t>
      </w:r>
    </w:p>
    <w:p>
      <w:pPr>
        <w:spacing w:before="67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/T1345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水泥细度检验方法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筛析法</w:t>
      </w:r>
    </w:p>
    <w:p>
      <w:pPr>
        <w:spacing w:before="67" w:line="174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5085.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2007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危险废物鉴别标准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浸出毒性鉴别</w:t>
      </w:r>
    </w:p>
    <w:p>
      <w:pPr>
        <w:spacing w:before="61" w:line="18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8076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2008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混凝土外加剂</w:t>
      </w:r>
    </w:p>
    <w:p>
      <w:pPr>
        <w:spacing w:before="48" w:line="22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/T8077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混凝土外加剂匀质性试验方法</w:t>
      </w:r>
    </w:p>
    <w:p>
      <w:pPr>
        <w:spacing w:before="1" w:line="18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12573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水泥取样方法</w:t>
      </w:r>
    </w:p>
    <w:p>
      <w:pPr>
        <w:spacing w:before="51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5"/>
          <w:position w:val="-1"/>
          <w:sz w:val="19"/>
          <w:szCs w:val="19"/>
        </w:rPr>
        <w:t>/T17671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水泥胶砂强度检验方法(</w:t>
      </w:r>
      <w:r>
        <w:rPr>
          <w:rFonts w:ascii="Microsoft YaHei" w:eastAsia="Microsoft YaHei" w:hAnsi="Microsoft YaHei" w:cs="Microsoft YaHei"/>
          <w:sz w:val="19"/>
          <w:szCs w:val="19"/>
        </w:rPr>
        <w:t>ISO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法)</w:t>
      </w:r>
    </w:p>
    <w:p>
      <w:pPr>
        <w:spacing w:before="67" w:line="22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/T25499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城市污水再生利用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绿地灌溉水质</w:t>
      </w:r>
    </w:p>
    <w:p>
      <w:pPr>
        <w:spacing w:before="1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/T50145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土的工程分类标准</w:t>
      </w:r>
    </w:p>
    <w:p>
      <w:pPr>
        <w:spacing w:before="65" w:line="180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JGJ</w:t>
      </w:r>
      <w:r>
        <w:rPr>
          <w:rFonts w:ascii="Microsoft YaHei" w:eastAsia="Microsoft YaHei" w:hAnsi="Microsoft YaHei" w:cs="Microsoft YaHei"/>
          <w:spacing w:val="27"/>
          <w:position w:val="-1"/>
          <w:sz w:val="19"/>
          <w:szCs w:val="19"/>
        </w:rPr>
        <w:t>63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混凝土用水标准</w:t>
      </w:r>
    </w:p>
    <w:p>
      <w:pPr>
        <w:spacing w:before="52" w:line="646" w:lineRule="exact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-99627</wp:posOffset>
                </wp:positionV>
                <wp:extent cx="158114" cy="2406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-99627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2.45pt;height:18.95pt;margin-top:-7.84pt;margin-left:208.05pt;mso-wrap-distance-bottom:0;mso-wrap-distance-left:0;mso-wrap-distance-right:0;mso-wrap-distance-top:0;position:absolute;rotation:300;v-text-anchor:top;z-index:251665408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position w:val="33"/>
          <w:sz w:val="19"/>
          <w:szCs w:val="19"/>
        </w:rPr>
        <w:t>JTG</w:t>
      </w:r>
      <w:r>
        <w:rPr>
          <w:rFonts w:ascii="Microsoft YaHei" w:eastAsia="Microsoft YaHei" w:hAnsi="Microsoft YaHei" w:cs="Microsoft YaHei"/>
          <w:spacing w:val="16"/>
          <w:position w:val="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33"/>
          <w:sz w:val="19"/>
          <w:szCs w:val="19"/>
        </w:rPr>
        <w:t>E</w:t>
      </w:r>
      <w:r>
        <w:rPr>
          <w:rFonts w:ascii="Microsoft YaHei" w:eastAsia="Microsoft YaHei" w:hAnsi="Microsoft YaHei" w:cs="Microsoft YaHei"/>
          <w:spacing w:val="16"/>
          <w:position w:val="33"/>
          <w:sz w:val="19"/>
          <w:szCs w:val="19"/>
        </w:rPr>
        <w:t>51</w:t>
      </w:r>
      <w:r>
        <w:rPr>
          <w:rFonts w:ascii="Microsoft YaHei" w:eastAsia="Microsoft YaHei" w:hAnsi="Microsoft YaHei" w:cs="Microsoft YaHei"/>
          <w:spacing w:val="16"/>
          <w:position w:val="35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23"/>
          <w:position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33"/>
          <w:sz w:val="19"/>
          <w:szCs w:val="19"/>
        </w:rPr>
        <w:t>2009</w:t>
      </w:r>
      <w:r>
        <w:rPr>
          <w:rFonts w:ascii="Microsoft YaHei" w:eastAsia="Microsoft YaHei" w:hAnsi="Microsoft YaHei" w:cs="Microsoft YaHei"/>
          <w:spacing w:val="2"/>
          <w:position w:val="33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position w:val="34"/>
          <w:sz w:val="19"/>
          <w:szCs w:val="19"/>
        </w:rPr>
        <w:t>公路工程无机结合料稳定材料试验规程</w:t>
      </w:r>
    </w:p>
    <w:p>
      <w:pPr>
        <w:spacing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79" w:lineRule="auto"/>
      </w:pPr>
    </w:p>
    <w:p>
      <w:pPr>
        <w:spacing w:before="82" w:line="339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。</w:t>
      </w:r>
    </w:p>
    <w:p>
      <w:pPr>
        <w:spacing w:before="1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8"/>
          <w:pgSz w:w="11906" w:h="16838"/>
          <w:pgMar w:top="1255" w:right="1275" w:bottom="1448" w:left="1349" w:header="0" w:footer="1260" w:gutter="0"/>
          <w:pgNumType w:start="8"/>
          <w:cols w:space="708"/>
        </w:sect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65" w:line="179" w:lineRule="auto"/>
        <w:ind w:left="43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5"/>
          <w:position w:val="1"/>
          <w:sz w:val="19"/>
          <w:szCs w:val="19"/>
        </w:rPr>
        <w:t>土壤固化外加剂</w:t>
      </w:r>
      <w:r>
        <w:rPr>
          <w:rFonts w:ascii="SimHei" w:eastAsia="SimHei" w:hAnsi="SimHei" w:cs="SimHei"/>
          <w:spacing w:val="25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soilstabilizing</w:t>
      </w:r>
      <w:r>
        <w:rPr>
          <w:rFonts w:ascii="Microsoft YaHei" w:eastAsia="Microsoft YaHei" w:hAnsi="Microsoft YaHei" w:cs="Microsoft YaHei"/>
          <w:spacing w:val="-2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admixtures</w:t>
      </w:r>
    </w:p>
    <w:p>
      <w:pPr>
        <w:spacing w:before="69" w:line="207" w:lineRule="auto"/>
        <w:ind w:left="7" w:firstLine="41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加入土壤中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,通过与无机结合料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、土壤和水的物理和(或)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化学反应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改善土壤工程性能的外加剂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简称土壤固化剂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92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3.2</w:t>
      </w:r>
    </w:p>
    <w:p>
      <w:pPr>
        <w:spacing w:before="67" w:line="191" w:lineRule="auto"/>
        <w:ind w:left="4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5"/>
          <w:position w:val="1"/>
          <w:sz w:val="19"/>
          <w:szCs w:val="19"/>
        </w:rPr>
        <w:t>稳定土</w:t>
      </w:r>
      <w:r>
        <w:rPr>
          <w:rFonts w:ascii="SimHei" w:eastAsia="SimHei" w:hAnsi="SimHei" w:cs="SimHei"/>
          <w:spacing w:val="17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stabilized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soil</w:t>
      </w:r>
    </w:p>
    <w:p>
      <w:pPr>
        <w:spacing w:before="51" w:line="208" w:lineRule="auto"/>
        <w:ind w:left="3" w:right="74" w:firstLine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在经过粉碎的或原来松散的土中掺入适量的无机结合料和水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,掺入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或不掺土壤固化外加剂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,经拌和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得到的混合料在压实和养生后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,符合工程性能要求时的土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91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3.3</w:t>
      </w:r>
    </w:p>
    <w:p>
      <w:pPr>
        <w:spacing w:before="65" w:line="196" w:lineRule="auto"/>
        <w:ind w:left="42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9"/>
          <w:position w:val="1"/>
          <w:sz w:val="19"/>
          <w:szCs w:val="19"/>
        </w:rPr>
        <w:t>稳定土混合料</w:t>
      </w:r>
      <w:r>
        <w:rPr>
          <w:rFonts w:ascii="SimHei" w:eastAsia="SimHei" w:hAnsi="SimHei" w:cs="SimHei"/>
          <w:spacing w:val="2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stabilized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soilmixture</w:t>
      </w:r>
    </w:p>
    <w:p>
      <w:pPr>
        <w:spacing w:before="43" w:line="209" w:lineRule="auto"/>
        <w:ind w:left="3" w:right="74" w:firstLine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在经过粉碎的或原来松散的土中掺入适量的无机结合料和水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,掺入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或不掺土壤固化外加剂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,经拌和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得到的混合料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line="209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9"/>
          <w:type w:val="nextPage"/>
          <w:pgSz w:w="11906" w:h="16838"/>
          <w:pgMar w:top="1255" w:right="1275" w:bottom="1448" w:left="1349" w:header="0" w:footer="1260" w:gutter="0"/>
          <w:pgNumType w:start="9"/>
          <w:cols w:space="708"/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0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7456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2015</w:t>
      </w:r>
    </w:p>
    <w:p>
      <w:pPr>
        <w:pStyle w:val="BodyText"/>
        <w:spacing w:line="242" w:lineRule="auto"/>
      </w:pPr>
    </w:p>
    <w:p>
      <w:pPr>
        <w:spacing w:before="81"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3.4</w:t>
      </w:r>
    </w:p>
    <w:p>
      <w:pPr>
        <w:spacing w:before="61" w:line="175" w:lineRule="auto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7"/>
          <w:position w:val="1"/>
          <w:sz w:val="19"/>
          <w:szCs w:val="19"/>
        </w:rPr>
        <w:t>基准试件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referencespecimen</w:t>
      </w:r>
    </w:p>
    <w:p>
      <w:pPr>
        <w:spacing w:before="73" w:line="336" w:lineRule="exact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11"/>
          <w:sz w:val="19"/>
          <w:szCs w:val="19"/>
        </w:rPr>
        <w:t>按本标准制备的不掺土壤固化外加剂的稳定土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试件</w:t>
      </w:r>
      <w:r>
        <w:rPr>
          <w:rFonts w:ascii="Microsoft YaHei" w:eastAsia="Microsoft YaHei" w:hAnsi="Microsoft YaHei" w:cs="Microsoft YaHei"/>
          <w:spacing w:val="-26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。</w:t>
      </w:r>
    </w:p>
    <w:p>
      <w:pPr>
        <w:spacing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3.5</w:t>
      </w:r>
    </w:p>
    <w:p>
      <w:pPr>
        <w:spacing w:before="62" w:line="175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-1"/>
          <w:position w:val="1"/>
          <w:sz w:val="19"/>
          <w:szCs w:val="19"/>
        </w:rPr>
        <w:t>检测试件</w:t>
      </w:r>
      <w:r>
        <w:rPr>
          <w:rFonts w:ascii="SimHei" w:eastAsia="SimHei" w:hAnsi="SimHei" w:cs="SimHei"/>
          <w:spacing w:val="24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>tested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>specimen</w:t>
      </w:r>
    </w:p>
    <w:p>
      <w:pPr>
        <w:spacing w:before="74" w:line="336" w:lineRule="exact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按本标准制备的掺土壤固化外加剂的稳定土试件</w:t>
      </w:r>
      <w:r>
        <w:rPr>
          <w:rFonts w:ascii="Microsoft YaHei" w:eastAsia="Microsoft YaHei" w:hAnsi="Microsoft YaHei" w:cs="Microsoft YaHei"/>
          <w:spacing w:val="-9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。</w:t>
      </w:r>
    </w:p>
    <w:p>
      <w:pPr>
        <w:spacing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3.6</w:t>
      </w:r>
    </w:p>
    <w:p>
      <w:pPr>
        <w:spacing w:before="64" w:line="177" w:lineRule="auto"/>
        <w:ind w:left="4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1"/>
          <w:position w:val="1"/>
          <w:sz w:val="19"/>
          <w:szCs w:val="19"/>
        </w:rPr>
        <w:t>凝结时间影响系数</w:t>
      </w:r>
      <w:r>
        <w:rPr>
          <w:rFonts w:ascii="SimHei" w:eastAsia="SimHei" w:hAnsi="SimHei" w:cs="SimHei"/>
          <w:spacing w:val="31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influencecoefficientofsettingtime</w:t>
      </w:r>
    </w:p>
    <w:p>
      <w:pPr>
        <w:spacing w:before="69" w:line="336" w:lineRule="exact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11"/>
          <w:sz w:val="19"/>
          <w:szCs w:val="19"/>
        </w:rPr>
        <w:t>稳定土混合料停放 4h后成型试件与立即成型试件的无侧限抗压强度</w:t>
      </w:r>
      <w:r>
        <w:rPr>
          <w:rFonts w:ascii="Microsoft YaHei" w:eastAsia="Microsoft YaHei" w:hAnsi="Microsoft YaHei" w:cs="Microsoft YaHei"/>
          <w:spacing w:val="19"/>
          <w:position w:val="11"/>
          <w:sz w:val="19"/>
          <w:szCs w:val="19"/>
        </w:rPr>
        <w:t>之比</w:t>
      </w:r>
      <w:r>
        <w:rPr>
          <w:rFonts w:ascii="Microsoft YaHei" w:eastAsia="Microsoft YaHei" w:hAnsi="Microsoft YaHei" w:cs="Microsoft YaHei"/>
          <w:spacing w:val="-26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1"/>
          <w:sz w:val="19"/>
          <w:szCs w:val="19"/>
        </w:rPr>
        <w:t>。</w:t>
      </w:r>
    </w:p>
    <w:p>
      <w:pPr>
        <w:spacing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3.7</w:t>
      </w:r>
    </w:p>
    <w:p>
      <w:pPr>
        <w:spacing w:before="65" w:line="227" w:lineRule="auto"/>
        <w:ind w:left="4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8"/>
          <w:position w:val="1"/>
          <w:sz w:val="19"/>
          <w:szCs w:val="19"/>
        </w:rPr>
        <w:t>凝结时间影响系数比</w:t>
      </w:r>
      <w:r>
        <w:rPr>
          <w:rFonts w:ascii="SimHei" w:eastAsia="SimHei" w:hAnsi="SimHei" w:cs="SimHei"/>
          <w:spacing w:val="38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ratio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ofinfluencecoefficientofsettingtime</w:t>
      </w:r>
    </w:p>
    <w:p>
      <w:pPr>
        <w:spacing w:line="182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检测试件与基准试件凝结时间影响系数的比值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89"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8</w:t>
      </w:r>
    </w:p>
    <w:p>
      <w:pPr>
        <w:spacing w:before="65" w:line="227" w:lineRule="auto"/>
        <w:ind w:left="44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3"/>
          <w:position w:val="1"/>
          <w:sz w:val="19"/>
          <w:szCs w:val="19"/>
        </w:rPr>
        <w:t>无侧限抗压强度比</w:t>
      </w:r>
      <w:r>
        <w:rPr>
          <w:rFonts w:ascii="SimHei" w:eastAsia="SimHei" w:hAnsi="SimHei" w:cs="SimHei"/>
          <w:spacing w:val="13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unconfined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compressivestrength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ratio</w:t>
      </w:r>
    </w:p>
    <w:p>
      <w:pPr>
        <w:spacing w:before="1" w:line="178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检测试件与基准试件同龄期(7d)无侧限抗压强度的比值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</w:t>
      </w:r>
    </w:p>
    <w:p>
      <w:pPr>
        <w:spacing w:before="94"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3.9</w:t>
      </w:r>
    </w:p>
    <w:p>
      <w:pPr>
        <w:spacing w:before="64" w:line="174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45"/>
          <w:position w:val="1"/>
          <w:sz w:val="19"/>
          <w:szCs w:val="19"/>
        </w:rPr>
        <w:t>水稳系数</w:t>
      </w:r>
      <w:r>
        <w:rPr>
          <w:rFonts w:ascii="SimHei" w:eastAsia="SimHei" w:hAnsi="SimHei" w:cs="SimHei"/>
          <w:spacing w:val="45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coefficientofwaterstability</w:t>
      </w:r>
    </w:p>
    <w:p>
      <w:pPr>
        <w:spacing w:before="74" w:line="206" w:lineRule="auto"/>
        <w:ind w:left="19" w:right="15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采用标准养生龄期 7d最后一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天浸水的稳定土试件无侧限抗压强度与不经过水中浸泡的同龄期试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件的无侧限抗压强度之比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90" w:line="172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10</w:t>
      </w:r>
    </w:p>
    <w:p>
      <w:pPr>
        <w:spacing w:before="64" w:line="227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9"/>
          <w:position w:val="1"/>
          <w:sz w:val="19"/>
          <w:szCs w:val="19"/>
        </w:rPr>
        <w:t>水稳系数比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ratio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ofcoefficientofwaterstability</w:t>
      </w:r>
    </w:p>
    <w:p>
      <w:pPr>
        <w:spacing w:before="1" w:line="182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检测试件与基准试件水稳系数的比值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pStyle w:val="BodyText"/>
        <w:spacing w:line="300" w:lineRule="auto"/>
      </w:pPr>
    </w:p>
    <w:p>
      <w:pPr>
        <w:spacing w:before="82" w:line="196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分类和标记</w:t>
      </w:r>
    </w:p>
    <w:p>
      <w:pPr>
        <w:spacing w:before="311" w:line="188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sz w:val="19"/>
          <w:szCs w:val="19"/>
        </w:rPr>
        <w:t>分类</w:t>
      </w:r>
    </w:p>
    <w:p>
      <w:pPr>
        <w:spacing w:before="211" w:line="179" w:lineRule="auto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按形态分为液体(L)和粉体(P)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。</w:t>
      </w:r>
    </w:p>
    <w:p>
      <w:pPr>
        <w:spacing w:before="235" w:line="193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4.2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标记</w:t>
      </w:r>
    </w:p>
    <w:p>
      <w:pPr>
        <w:spacing w:before="203" w:line="183" w:lineRule="auto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液体土壤固化外加剂标记为 </w:t>
      </w:r>
      <w:r>
        <w:rPr>
          <w:rFonts w:ascii="Microsoft YaHei" w:eastAsia="Microsoft YaHei" w:hAnsi="Microsoft YaHei" w:cs="Microsoft YaHei"/>
          <w:sz w:val="19"/>
          <w:szCs w:val="19"/>
        </w:rPr>
        <w:t>LSS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,粉体土壤固化外加剂标记为 </w:t>
      </w:r>
      <w:r>
        <w:rPr>
          <w:rFonts w:ascii="Microsoft YaHei" w:eastAsia="Microsoft YaHei" w:hAnsi="Microsoft YaHei" w:cs="Microsoft YaHei"/>
          <w:sz w:val="19"/>
          <w:szCs w:val="19"/>
        </w:rPr>
        <w:t>PSS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。</w:t>
      </w:r>
    </w:p>
    <w:p>
      <w:pPr>
        <w:pStyle w:val="BodyText"/>
        <w:spacing w:line="303" w:lineRule="auto"/>
      </w:pPr>
    </w:p>
    <w:p>
      <w:pPr>
        <w:spacing w:before="82" w:line="188" w:lineRule="auto"/>
        <w:ind w:left="15"/>
        <w:rPr>
          <w:rFonts w:ascii="SimHei" w:eastAsia="SimHei" w:hAnsi="SimHei" w:cs="SimHei"/>
          <w:sz w:val="19"/>
          <w:szCs w:val="19"/>
        </w:rPr>
        <w:sectPr>
          <w:footerReference w:type="default" r:id="rId10"/>
          <w:pgSz w:w="11906" w:h="16838"/>
          <w:pgMar w:top="1255" w:right="1334" w:bottom="1448" w:left="1334" w:header="0" w:footer="1260" w:gutter="0"/>
          <w:pgNumType w:start="10"/>
          <w:cols w:space="708"/>
        </w:sectPr>
      </w:pP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2"/>
          <w:sz w:val="19"/>
          <w:szCs w:val="19"/>
        </w:rPr>
        <w:t>要求</w:t>
      </w:r>
    </w:p>
    <w:p>
      <w:pPr>
        <w:spacing w:before="321" w:line="189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7"/>
          <w:sz w:val="19"/>
          <w:szCs w:val="19"/>
        </w:rPr>
        <w:t>匀质性指标</w:t>
      </w:r>
    </w:p>
    <w:p>
      <w:pPr>
        <w:spacing w:before="209" w:line="183" w:lineRule="auto"/>
        <w:ind w:left="4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土壤固化外加剂的匀质性指标应符合表</w:t>
      </w:r>
      <w:r>
        <w:rPr>
          <w:rFonts w:ascii="Microsoft YaHei" w:eastAsia="Microsoft YaHei" w:hAnsi="Microsoft YaHei" w:cs="Microsoft YaHei"/>
          <w:spacing w:val="34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1的规定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27" w:line="197" w:lineRule="auto"/>
        <w:ind w:left="381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0"/>
          <w:sz w:val="19"/>
          <w:szCs w:val="19"/>
        </w:rPr>
        <w:t>表</w:t>
      </w:r>
      <w:r>
        <w:rPr>
          <w:rFonts w:ascii="SimHei" w:eastAsia="SimHei" w:hAnsi="SimHei" w:cs="Sim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0"/>
          <w:sz w:val="19"/>
          <w:szCs w:val="19"/>
        </w:rPr>
        <w:t>匀质性指标</w:t>
      </w:r>
    </w:p>
    <w:p>
      <w:pPr>
        <w:spacing w:line="188" w:lineRule="exact"/>
      </w:pPr>
    </w:p>
    <w:tbl>
      <w:tblPr>
        <w:tblStyle w:val="TableNormal0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809"/>
        <w:gridCol w:w="1982"/>
        <w:gridCol w:w="2703"/>
        <w:gridCol w:w="272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1809" w:type="dxa"/>
            <w:vMerge w:val="restart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267" w:line="184" w:lineRule="auto"/>
              <w:ind w:left="726"/>
            </w:pPr>
            <w:r>
              <w:rPr>
                <w:spacing w:val="10"/>
              </w:rPr>
              <w:t>序号</w:t>
            </w:r>
          </w:p>
        </w:tc>
        <w:tc>
          <w:tcPr>
            <w:tcW w:w="1982" w:type="dxa"/>
            <w:vMerge w:val="restart"/>
            <w:tcBorders>
              <w:top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271" w:line="176" w:lineRule="auto"/>
              <w:ind w:left="815"/>
            </w:pPr>
            <w:r>
              <w:rPr>
                <w:spacing w:val="11"/>
              </w:rPr>
              <w:t>项目</w:t>
            </w:r>
          </w:p>
        </w:tc>
        <w:tc>
          <w:tcPr>
            <w:tcW w:w="5431" w:type="dxa"/>
            <w:gridSpan w:val="2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8" w:line="183" w:lineRule="auto"/>
              <w:ind w:left="2544"/>
            </w:pPr>
            <w:r>
              <w:rPr>
                <w:spacing w:val="10"/>
              </w:rPr>
              <w:t>指标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180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5" w:lineRule="auto"/>
              <w:ind w:left="551"/>
            </w:pPr>
            <w:r>
              <w:rPr>
                <w:spacing w:val="18"/>
              </w:rPr>
              <w:t>液体土壤固化外加剂</w:t>
            </w:r>
          </w:p>
        </w:tc>
        <w:tc>
          <w:tcPr>
            <w:tcW w:w="272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9" w:line="185" w:lineRule="auto"/>
              <w:ind w:left="562"/>
            </w:pPr>
            <w:r>
              <w:rPr>
                <w:spacing w:val="18"/>
              </w:rPr>
              <w:t>粉体土壤固化外加剂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4"/>
        </w:trPr>
        <w:tc>
          <w:tcPr>
            <w:tcW w:w="1809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5" w:line="165" w:lineRule="auto"/>
              <w:ind w:left="866"/>
            </w:pPr>
            <w:r>
              <w:rPr>
                <w:spacing w:val="15"/>
              </w:rPr>
              <w:t>1</w:t>
            </w:r>
          </w:p>
        </w:tc>
        <w:tc>
          <w:tcPr>
            <w:tcW w:w="198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83" w:line="182" w:lineRule="auto"/>
              <w:ind w:left="815"/>
            </w:pPr>
            <w:r>
              <w:rPr>
                <w:spacing w:val="11"/>
              </w:rPr>
              <w:t>外观</w:t>
            </w:r>
          </w:p>
        </w:tc>
        <w:tc>
          <w:tcPr>
            <w:tcW w:w="270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82" w:line="184" w:lineRule="auto"/>
              <w:ind w:left="413"/>
            </w:pPr>
            <w:r>
              <w:rPr>
                <w:spacing w:val="17"/>
              </w:rPr>
              <w:t>呈均匀状态</w:t>
            </w:r>
            <w:r>
              <w:rPr>
                <w:spacing w:val="1"/>
              </w:rPr>
              <w:t xml:space="preserve"> </w:t>
            </w:r>
            <w:r>
              <w:rPr>
                <w:spacing w:val="17"/>
              </w:rPr>
              <w:t>,不应有沉淀</w:t>
            </w:r>
          </w:p>
        </w:tc>
        <w:tc>
          <w:tcPr>
            <w:tcW w:w="272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3" w:line="181" w:lineRule="auto"/>
              <w:ind w:left="518"/>
            </w:pPr>
            <w:r>
              <w:rPr>
                <w:spacing w:val="15"/>
              </w:rPr>
              <w:t>均匀</w:t>
            </w:r>
            <w:r>
              <w:rPr>
                <w:spacing w:val="-27"/>
              </w:rPr>
              <w:t xml:space="preserve"> </w:t>
            </w:r>
            <w:r>
              <w:rPr>
                <w:spacing w:val="15"/>
              </w:rPr>
              <w:t>一致</w:t>
            </w:r>
            <w:r>
              <w:rPr>
                <w:spacing w:val="-5"/>
              </w:rPr>
              <w:t xml:space="preserve"> </w:t>
            </w:r>
            <w:r>
              <w:rPr>
                <w:spacing w:val="15"/>
              </w:rPr>
              <w:t>,不应有结块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8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6" w:line="165" w:lineRule="auto"/>
              <w:ind w:left="863"/>
            </w:pPr>
            <w:r>
              <w:rPr>
                <w:spacing w:val="19"/>
              </w:rPr>
              <w:t>2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92" w:line="185" w:lineRule="auto"/>
              <w:ind w:left="590"/>
            </w:pPr>
            <w:r>
              <w:rPr>
                <w:spacing w:val="22"/>
              </w:rPr>
              <w:t>含固量/%</w:t>
            </w:r>
          </w:p>
        </w:tc>
        <w:tc>
          <w:tcPr>
            <w:tcW w:w="2703" w:type="dxa"/>
            <w:vAlign w:val="top"/>
          </w:tcPr>
          <w:p>
            <w:pPr>
              <w:pStyle w:val="TableText"/>
              <w:spacing w:before="105" w:line="180" w:lineRule="auto"/>
              <w:ind w:left="1107"/>
            </w:pPr>
            <w:r>
              <w:rPr>
                <w:spacing w:val="15"/>
              </w:rPr>
              <w:t>S±2.</w:t>
            </w:r>
            <w:r>
              <w:rPr>
                <w:spacing w:val="-25"/>
              </w:rPr>
              <w:t xml:space="preserve"> </w:t>
            </w:r>
            <w:r>
              <w:rPr>
                <w:spacing w:val="15"/>
              </w:rPr>
              <w:t>0</w:t>
            </w:r>
          </w:p>
        </w:tc>
        <w:tc>
          <w:tcPr>
            <w:tcW w:w="272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73" w:line="120" w:lineRule="exact"/>
              <w:ind w:left="1280"/>
            </w:pPr>
            <w:r>
              <w:rPr>
                <w:position w:val="-1"/>
              </w:rPr>
              <w:t>—</w:t>
            </w:r>
          </w:p>
        </w:tc>
      </w:tr>
    </w:tbl>
    <w:p>
      <w:pPr>
        <w:pStyle w:val="BodyText"/>
      </w:pPr>
    </w:p>
    <w:p>
      <w:pPr>
        <w:sectPr>
          <w:footerReference w:type="default" r:id="rId11"/>
          <w:type w:val="nextPage"/>
          <w:pgSz w:w="11906" w:h="16838"/>
          <w:pgMar w:top="1255" w:right="1334" w:bottom="1448" w:left="1334" w:header="0" w:footer="1260" w:gutter="0"/>
          <w:pgNumType w:start="11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31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9504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486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2015</w:t>
      </w:r>
    </w:p>
    <w:p>
      <w:pPr>
        <w:pStyle w:val="BodyText"/>
        <w:spacing w:line="378" w:lineRule="auto"/>
      </w:pPr>
    </w:p>
    <w:p>
      <w:pPr>
        <w:spacing w:before="81" w:line="175" w:lineRule="auto"/>
        <w:ind w:left="419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1"/>
          <w:sz w:val="19"/>
          <w:szCs w:val="19"/>
        </w:rPr>
        <w:t>表</w:t>
      </w:r>
      <w:r>
        <w:rPr>
          <w:rFonts w:ascii="SimHei" w:eastAsia="SimHei" w:hAnsi="SimHei" w:cs="Sim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1(续)</w:t>
      </w:r>
    </w:p>
    <w:p>
      <w:pPr>
        <w:spacing w:before="3"/>
      </w:pPr>
    </w:p>
    <w:tbl>
      <w:tblPr>
        <w:tblStyle w:val="TableNormal1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809"/>
        <w:gridCol w:w="1982"/>
        <w:gridCol w:w="2703"/>
        <w:gridCol w:w="272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1"/>
        </w:trPr>
        <w:tc>
          <w:tcPr>
            <w:tcW w:w="1809" w:type="dxa"/>
            <w:vMerge w:val="restart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267" w:line="184" w:lineRule="auto"/>
              <w:ind w:left="726"/>
            </w:pPr>
            <w:r>
              <w:rPr>
                <w:spacing w:val="10"/>
              </w:rPr>
              <w:t>序号</w:t>
            </w:r>
          </w:p>
        </w:tc>
        <w:tc>
          <w:tcPr>
            <w:tcW w:w="1982" w:type="dxa"/>
            <w:vMerge w:val="restart"/>
            <w:tcBorders>
              <w:top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271" w:line="176" w:lineRule="auto"/>
              <w:ind w:left="815"/>
            </w:pPr>
            <w:r>
              <w:rPr>
                <w:spacing w:val="11"/>
              </w:rPr>
              <w:t>项目</w:t>
            </w:r>
          </w:p>
        </w:tc>
        <w:tc>
          <w:tcPr>
            <w:tcW w:w="5431" w:type="dxa"/>
            <w:gridSpan w:val="2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8" w:line="183" w:lineRule="auto"/>
              <w:ind w:left="2544"/>
            </w:pPr>
            <w:r>
              <w:rPr>
                <w:spacing w:val="10"/>
              </w:rPr>
              <w:t>指标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1809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551"/>
            </w:pPr>
            <w:r>
              <w:rPr>
                <w:spacing w:val="18"/>
              </w:rPr>
              <w:t>液体土壤固化外加剂</w:t>
            </w:r>
          </w:p>
        </w:tc>
        <w:tc>
          <w:tcPr>
            <w:tcW w:w="272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5" w:lineRule="auto"/>
              <w:ind w:left="562"/>
            </w:pPr>
            <w:r>
              <w:rPr>
                <w:spacing w:val="18"/>
              </w:rPr>
              <w:t>粉体土壤固化外加剂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3"/>
        </w:trPr>
        <w:tc>
          <w:tcPr>
            <w:tcW w:w="1809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10" w:line="162" w:lineRule="auto"/>
              <w:ind w:left="864"/>
            </w:pPr>
            <w:r>
              <w:rPr>
                <w:spacing w:val="18"/>
              </w:rPr>
              <w:t>3</w:t>
            </w:r>
          </w:p>
        </w:tc>
        <w:tc>
          <w:tcPr>
            <w:tcW w:w="198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82" w:line="187" w:lineRule="auto"/>
              <w:ind w:left="590"/>
            </w:pPr>
            <w:r>
              <w:rPr>
                <w:spacing w:val="22"/>
              </w:rPr>
              <w:t>含水率/%</w:t>
            </w:r>
          </w:p>
        </w:tc>
        <w:tc>
          <w:tcPr>
            <w:tcW w:w="2703" w:type="dxa"/>
            <w:tcBorders>
              <w:top w:val="single" w:sz="6" w:space="0" w:color="231F20"/>
            </w:tcBorders>
            <w:vAlign w:val="top"/>
          </w:tcPr>
          <w:p>
            <w:pPr>
              <w:tabs>
                <w:tab w:val="left" w:pos="1431"/>
              </w:tabs>
              <w:spacing w:line="210" w:lineRule="exact"/>
              <w:ind w:left="126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72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5" w:line="180" w:lineRule="auto"/>
              <w:ind w:left="1082"/>
            </w:pPr>
            <w:r>
              <w:rPr>
                <w:spacing w:val="15"/>
              </w:rPr>
              <w:t>W±2.</w:t>
            </w:r>
            <w:r>
              <w:rPr>
                <w:spacing w:val="-22"/>
              </w:rPr>
              <w:t xml:space="preserve"> </w:t>
            </w:r>
            <w:r>
              <w:rPr>
                <w:spacing w:val="15"/>
              </w:rPr>
              <w:t>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1" w:line="164" w:lineRule="auto"/>
              <w:ind w:left="861"/>
            </w:pPr>
            <w:r>
              <w:rPr>
                <w:spacing w:val="22"/>
              </w:rPr>
              <w:t>4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103" w:line="174" w:lineRule="auto"/>
              <w:ind w:left="443"/>
            </w:pPr>
            <w:r>
              <w:rPr>
                <w:spacing w:val="14"/>
              </w:rPr>
              <w:t>密度/(g/</w:t>
            </w:r>
            <w:r>
              <w:rPr>
                <w:position w:val="-2"/>
              </w:rPr>
              <w:t>cm</w:t>
            </w:r>
            <w:r>
              <w:rPr>
                <w:spacing w:val="14"/>
                <w:position w:val="5"/>
                <w:sz w:val="9"/>
                <w:szCs w:val="9"/>
              </w:rPr>
              <w:t>3</w:t>
            </w:r>
            <w:r>
              <w:rPr>
                <w:spacing w:val="-6"/>
                <w:position w:val="5"/>
                <w:sz w:val="9"/>
                <w:szCs w:val="9"/>
              </w:rPr>
              <w:t xml:space="preserve"> </w:t>
            </w:r>
            <w:r>
              <w:rPr>
                <w:spacing w:val="14"/>
              </w:rPr>
              <w:t>)</w:t>
            </w:r>
          </w:p>
        </w:tc>
        <w:tc>
          <w:tcPr>
            <w:tcW w:w="2703" w:type="dxa"/>
            <w:vAlign w:val="top"/>
          </w:tcPr>
          <w:p>
            <w:pPr>
              <w:pStyle w:val="TableText"/>
              <w:spacing w:before="108" w:line="180" w:lineRule="auto"/>
              <w:ind w:left="1047"/>
            </w:pPr>
            <w:r>
              <w:rPr>
                <w:spacing w:val="12"/>
              </w:rPr>
              <w:t>D±0.</w:t>
            </w:r>
            <w:r>
              <w:rPr>
                <w:spacing w:val="-25"/>
              </w:rPr>
              <w:t xml:space="preserve"> </w:t>
            </w:r>
            <w:r>
              <w:rPr>
                <w:spacing w:val="12"/>
              </w:rPr>
              <w:t>03</w:t>
            </w:r>
          </w:p>
        </w:tc>
        <w:tc>
          <w:tcPr>
            <w:tcW w:w="272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80" w:lineRule="auto"/>
              <w:ind w:left="1061"/>
            </w:pPr>
            <w:r>
              <w:rPr>
                <w:spacing w:val="12"/>
              </w:rPr>
              <w:t>D±0.</w:t>
            </w:r>
            <w:r>
              <w:rPr>
                <w:spacing w:val="-25"/>
              </w:rPr>
              <w:t xml:space="preserve"> </w:t>
            </w:r>
            <w:r>
              <w:rPr>
                <w:spacing w:val="12"/>
              </w:rPr>
              <w:t>03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3"/>
        </w:trPr>
        <w:tc>
          <w:tcPr>
            <w:tcW w:w="1809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4" w:line="163" w:lineRule="auto"/>
              <w:ind w:left="865"/>
            </w:pPr>
            <w:r>
              <w:rPr>
                <w:spacing w:val="17"/>
              </w:rPr>
              <w:t>5</w:t>
            </w:r>
          </w:p>
        </w:tc>
        <w:tc>
          <w:tcPr>
            <w:tcW w:w="198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99" w:line="177" w:lineRule="auto"/>
              <w:ind w:left="764"/>
            </w:pPr>
            <w:r>
              <w:rPr>
                <w:spacing w:val="21"/>
              </w:rPr>
              <w:t>pH值</w:t>
            </w:r>
          </w:p>
        </w:tc>
        <w:tc>
          <w:tcPr>
            <w:tcW w:w="27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0" w:line="180" w:lineRule="auto"/>
              <w:ind w:left="1088"/>
            </w:pPr>
            <w:r>
              <w:rPr>
                <w:spacing w:val="18"/>
              </w:rPr>
              <w:t>A±1.</w:t>
            </w:r>
            <w:r>
              <w:rPr>
                <w:spacing w:val="-23"/>
              </w:rPr>
              <w:t xml:space="preserve"> </w:t>
            </w:r>
            <w:r>
              <w:rPr>
                <w:spacing w:val="18"/>
              </w:rPr>
              <w:t>0</w:t>
            </w:r>
          </w:p>
        </w:tc>
        <w:tc>
          <w:tcPr>
            <w:tcW w:w="272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78" w:line="120" w:lineRule="exact"/>
              <w:ind w:left="1280"/>
            </w:pPr>
            <w:r>
              <w:rPr>
                <w:position w:val="-1"/>
              </w:rPr>
              <w:t>—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1"/>
        </w:trPr>
        <w:tc>
          <w:tcPr>
            <w:tcW w:w="9222" w:type="dxa"/>
            <w:gridSpan w:val="4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77" w:lineRule="auto"/>
              <w:ind w:left="475"/>
            </w:pPr>
            <w:r>
              <w:rPr>
                <w:rFonts w:ascii="SimHei" w:eastAsia="SimHei" w:hAnsi="SimHei" w:cs="SimHei"/>
                <w:spacing w:val="1"/>
              </w:rPr>
              <w:t>注</w:t>
            </w:r>
            <w:r>
              <w:rPr>
                <w:rFonts w:ascii="SimHei" w:eastAsia="SimHei" w:hAnsi="SimHei" w:cs="SimHei"/>
                <w:spacing w:val="-36"/>
              </w:rPr>
              <w:t xml:space="preserve"> </w:t>
            </w:r>
            <w:r>
              <w:rPr>
                <w:spacing w:val="1"/>
              </w:rPr>
              <w:t>: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1"/>
                <w:position w:val="-1"/>
              </w:rPr>
              <w:t>S</w:t>
            </w:r>
            <w:r>
              <w:rPr>
                <w:spacing w:val="1"/>
              </w:rPr>
              <w:t>、</w:t>
            </w:r>
            <w:r>
              <w:rPr>
                <w:spacing w:val="1"/>
                <w:position w:val="-1"/>
              </w:rPr>
              <w:t>W</w:t>
            </w:r>
            <w:r>
              <w:rPr>
                <w:spacing w:val="1"/>
              </w:rPr>
              <w:t>、</w:t>
            </w:r>
            <w:r>
              <w:rPr>
                <w:spacing w:val="1"/>
                <w:position w:val="-1"/>
              </w:rPr>
              <w:t>D</w:t>
            </w:r>
            <w:r>
              <w:rPr>
                <w:spacing w:val="1"/>
              </w:rPr>
              <w:t>、A分别为含固量</w:t>
            </w:r>
            <w:r>
              <w:rPr>
                <w:spacing w:val="-23"/>
              </w:rPr>
              <w:t xml:space="preserve"> </w:t>
            </w:r>
            <w:r>
              <w:rPr>
                <w:spacing w:val="1"/>
              </w:rPr>
              <w:t>、含水率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、密</w:t>
            </w:r>
            <w:r>
              <w:t>度</w:t>
            </w:r>
            <w:r>
              <w:rPr>
                <w:spacing w:val="-22"/>
              </w:rPr>
              <w:t xml:space="preserve"> </w:t>
            </w:r>
            <w:r>
              <w:t>、pH值的生产厂控制值</w:t>
            </w:r>
            <w:r>
              <w:rPr>
                <w:spacing w:val="-19"/>
              </w:rPr>
              <w:t xml:space="preserve"> </w:t>
            </w:r>
            <w:r>
              <w:t>。</w:t>
            </w:r>
          </w:p>
        </w:tc>
      </w:tr>
    </w:tbl>
    <w:p>
      <w:pPr>
        <w:pStyle w:val="BodyText"/>
        <w:spacing w:line="385" w:lineRule="auto"/>
      </w:pPr>
    </w:p>
    <w:p>
      <w:pPr>
        <w:spacing w:before="82" w:line="196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5.2   </w:t>
      </w:r>
      <w:r>
        <w:rPr>
          <w:rFonts w:ascii="SimHei" w:eastAsia="SimHei" w:hAnsi="SimHei" w:cs="SimHei"/>
          <w:spacing w:val="14"/>
          <w:sz w:val="19"/>
          <w:szCs w:val="19"/>
        </w:rPr>
        <w:t>粉体土壤固化外加剂的细度</w:t>
      </w:r>
    </w:p>
    <w:p>
      <w:pPr>
        <w:spacing w:before="201" w:line="169" w:lineRule="auto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80μm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方孔筛筛余应不大于</w:t>
      </w:r>
      <w:r>
        <w:rPr>
          <w:rFonts w:ascii="Microsoft YaHei" w:eastAsia="Microsoft YaHei" w:hAnsi="Microsoft YaHei" w:cs="Microsoft YaHei"/>
          <w:spacing w:val="3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15%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241" w:line="197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5.3   </w:t>
      </w:r>
      <w:r>
        <w:rPr>
          <w:rFonts w:ascii="SimHei" w:eastAsia="SimHei" w:hAnsi="SimHei" w:cs="SimHei"/>
          <w:spacing w:val="14"/>
          <w:sz w:val="19"/>
          <w:szCs w:val="19"/>
        </w:rPr>
        <w:t>液体土壤固化外加剂的稳定性</w:t>
      </w:r>
    </w:p>
    <w:p>
      <w:pPr>
        <w:spacing w:before="199" w:line="209" w:lineRule="auto"/>
        <w:ind w:left="23" w:right="47" w:firstLine="4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当使用环境温度较低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,或用户要求控制液体土壤固化外加剂的稳定性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土壤固化外加剂应符合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33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放置 28d后不产生析晶和分层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且上层液体含固量与 20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℃含固量差应不大于 3%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before="240" w:line="196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5.4   </w:t>
      </w:r>
      <w:r>
        <w:rPr>
          <w:rFonts w:ascii="SimHei" w:eastAsia="SimHei" w:hAnsi="SimHei" w:cs="SimHei"/>
          <w:spacing w:val="14"/>
          <w:sz w:val="19"/>
          <w:szCs w:val="19"/>
        </w:rPr>
        <w:t>可溶性重金属离子含量</w:t>
      </w:r>
    </w:p>
    <w:p>
      <w:pPr>
        <w:spacing w:before="200" w:line="209" w:lineRule="auto"/>
        <w:ind w:left="33" w:right="47" w:firstLine="4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液体土壤固化外加剂及粉体土壤固化外加剂浸出液中镉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、砷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、汞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、铅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、铬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、镍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、铜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、锌重金属含量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最大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限值应符合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/T25499的规定</w:t>
      </w:r>
      <w:r>
        <w:rPr>
          <w:rFonts w:ascii="Microsoft YaHei" w:eastAsia="Microsoft YaHei" w:hAnsi="Microsoft YaHei" w:cs="Microsoft YaHei"/>
          <w:spacing w:val="-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before="240" w:line="195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5.5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5"/>
          <w:sz w:val="19"/>
          <w:szCs w:val="19"/>
        </w:rPr>
        <w:t>检测试件性能指标</w:t>
      </w:r>
    </w:p>
    <w:p>
      <w:pPr>
        <w:spacing w:before="203" w:line="183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检测试件性能指标应符合表 2的规定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54" w:line="181" w:lineRule="auto"/>
        <w:ind w:left="34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3"/>
          <w:sz w:val="19"/>
          <w:szCs w:val="19"/>
        </w:rPr>
        <w:t>表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3"/>
          <w:sz w:val="19"/>
          <w:szCs w:val="19"/>
        </w:rPr>
        <w:t>检测试件性能指标</w:t>
      </w:r>
    </w:p>
    <w:p>
      <w:pPr>
        <w:spacing w:line="234" w:lineRule="exact"/>
      </w:pPr>
    </w:p>
    <w:tbl>
      <w:tblPr>
        <w:tblStyle w:val="TableNormal1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909"/>
        <w:gridCol w:w="4144"/>
        <w:gridCol w:w="4169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94"/>
        </w:trPr>
        <w:tc>
          <w:tcPr>
            <w:tcW w:w="909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0" w:line="184" w:lineRule="auto"/>
              <w:ind w:left="273"/>
            </w:pPr>
            <w:r>
              <w:rPr>
                <w:spacing w:val="10"/>
              </w:rPr>
              <w:t>序号</w:t>
            </w:r>
          </w:p>
        </w:tc>
        <w:tc>
          <w:tcPr>
            <w:tcW w:w="4144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4" w:line="176" w:lineRule="auto"/>
              <w:ind w:left="1896"/>
            </w:pPr>
            <w:r>
              <w:rPr>
                <w:spacing w:val="11"/>
              </w:rPr>
              <w:t>项目</w:t>
            </w:r>
          </w:p>
        </w:tc>
        <w:tc>
          <w:tcPr>
            <w:tcW w:w="4169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2" w:line="183" w:lineRule="auto"/>
              <w:ind w:left="1914"/>
            </w:pPr>
            <w:r>
              <w:rPr>
                <w:spacing w:val="10"/>
              </w:rPr>
              <w:t>指标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87"/>
        </w:trPr>
        <w:tc>
          <w:tcPr>
            <w:tcW w:w="909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29" w:line="165" w:lineRule="auto"/>
              <w:ind w:left="414"/>
            </w:pPr>
            <w:r>
              <w:rPr>
                <w:spacing w:val="15"/>
              </w:rPr>
              <w:t>1</w:t>
            </w:r>
          </w:p>
        </w:tc>
        <w:tc>
          <w:tcPr>
            <w:tcW w:w="4144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6" w:line="183" w:lineRule="auto"/>
              <w:ind w:left="1128"/>
            </w:pPr>
            <w:r>
              <w:rPr>
                <w:spacing w:val="21"/>
              </w:rPr>
              <w:t>凝结时间影响系数比/%</w:t>
            </w:r>
          </w:p>
        </w:tc>
        <w:tc>
          <w:tcPr>
            <w:tcW w:w="4169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3" w:line="190" w:lineRule="auto"/>
              <w:ind w:left="1872"/>
            </w:pPr>
            <w:r>
              <w:rPr>
                <w:spacing w:val="18"/>
              </w:rPr>
              <w:t>≥100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97"/>
        </w:trPr>
        <w:tc>
          <w:tcPr>
            <w:tcW w:w="9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3" w:line="165" w:lineRule="auto"/>
              <w:ind w:left="411"/>
            </w:pPr>
            <w:r>
              <w:rPr>
                <w:spacing w:val="19"/>
              </w:rPr>
              <w:t>2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118" w:line="185" w:lineRule="auto"/>
              <w:ind w:left="1219"/>
            </w:pPr>
            <w:r>
              <w:rPr>
                <w:spacing w:val="21"/>
              </w:rPr>
              <w:t>无侧限抗压强度比/%</w:t>
            </w:r>
          </w:p>
        </w:tc>
        <w:tc>
          <w:tcPr>
            <w:tcW w:w="4169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7" w:line="190" w:lineRule="auto"/>
              <w:ind w:left="1872"/>
            </w:pPr>
            <w:r>
              <w:rPr>
                <w:spacing w:val="18"/>
              </w:rPr>
              <w:t>≥120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6"/>
        </w:trPr>
        <w:tc>
          <w:tcPr>
            <w:tcW w:w="909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51" w:line="162" w:lineRule="auto"/>
              <w:ind w:left="412"/>
            </w:pPr>
            <w:r>
              <w:rPr>
                <w:spacing w:val="18"/>
              </w:rPr>
              <w:t>3</w:t>
            </w:r>
          </w:p>
        </w:tc>
        <w:tc>
          <w:tcPr>
            <w:tcW w:w="4144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3" w:line="183" w:lineRule="auto"/>
              <w:ind w:left="1489"/>
            </w:pPr>
            <w:r>
              <w:rPr>
                <w:spacing w:val="21"/>
              </w:rPr>
              <w:t>水稳系数比/%</w:t>
            </w:r>
          </w:p>
        </w:tc>
        <w:tc>
          <w:tcPr>
            <w:tcW w:w="4169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0" w:line="190" w:lineRule="auto"/>
              <w:ind w:left="1872"/>
            </w:pPr>
            <w:r>
              <w:rPr>
                <w:spacing w:val="18"/>
              </w:rPr>
              <w:t>≥105</w:t>
            </w:r>
          </w:p>
        </w:tc>
      </w:tr>
    </w:tbl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83" w:line="193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试验材料</w:t>
      </w:r>
      <w:r>
        <w:rPr>
          <w:rFonts w:ascii="SimHei" w:eastAsia="SimHei" w:hAnsi="SimHei" w:cs="SimHei"/>
          <w:sz w:val="19"/>
          <w:szCs w:val="19"/>
        </w:rPr>
        <w:br/>
      </w:r>
      <w:r>
        <w:rPr>
          <w:rFonts w:ascii="SimHei" w:eastAsia="SimHei" w:hAnsi="SimHei" w:cs="Sim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https://d.book118.com/298040104034006040</w:t>
        </w:r>
      </w:hyperlink>
    </w:p>
    <w:p>
      <w:pPr>
        <w:spacing w:before="83" w:line="193" w:lineRule="auto"/>
        <w:ind w:left="17"/>
        <w:rPr>
          <w:rFonts w:ascii="SimHei" w:eastAsia="SimHei" w:hAnsi="SimHei" w:cs="SimHei"/>
          <w:sz w:val="19"/>
          <w:szCs w:val="19"/>
        </w:rPr>
      </w:pPr>
    </w:p>
    <w:sectPr>
      <w:footerReference w:type="default" r:id="rId13"/>
      <w:pgSz w:w="11906" w:h="16838"/>
      <w:pgMar w:top="1255" w:right="1301" w:bottom="1444" w:left="1334" w:header="0" w:footer="1259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852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Ⅲ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76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hyperlink" Target="https://d.book118.com/298040104034006040" TargetMode="External" /><Relationship Id="rId13" Type="http://schemas.openxmlformats.org/officeDocument/2006/relationships/footer" Target="footer8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2024-02-25T14:52:55Z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2024-02-25T15:07:35Z</vt:filetime>
  </property>
  <property fmtid="{D5CDD505-2E9C-101B-9397-08002B2CF9AE}" pid="3" name="CRO">
    <vt:lpwstr>wqlLaW5nc29mdCBQREYgdG8gV1BTIDkw</vt:lpwstr>
  </property>
</Properties>
</file>