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3" w:lineRule="exact"/>
        <w:ind w:firstLine="498"/>
      </w:pPr>
      <w:r>
        <w:pict>
          <v:shape id="_x0000_s1025" style="width:595.5pt;height:0.75pt;margin-top:142.78pt;margin-left:0;mso-position-horizontal-relative:page;mso-position-vertical-relative:page;position:absolute;z-index:251658240" coordorigin="0,0" coordsize="11910,15" o:allowincell="f" path="m-13,7l11916,7e" filled="f" strokecolor="#002060" strokeweight="0.75pt">
            <v:stroke joinstyle="miter"/>
          </v:shape>
        </w:pict>
      </w:r>
      <w:r>
        <w:rPr>
          <w:position w:val="-48"/>
        </w:rPr>
        <w:drawing>
          <wp:inline distT="0" distB="0" distL="0" distR="0">
            <wp:extent cx="7245984" cy="15513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245984" cy="1551305"/>
                    </a:xfrm>
                    <a:prstGeom prst="rect">
                      <a:avLst/>
                    </a:prstGeom>
                  </pic:spPr>
                </pic:pic>
              </a:graphicData>
            </a:graphic>
          </wp:inline>
        </w:drawing>
      </w:r>
    </w:p>
    <w:p>
      <w:pPr>
        <w:spacing w:before="124"/>
      </w:pPr>
    </w:p>
    <w:p>
      <w:pPr>
        <w:sectPr>
          <w:footerReference w:type="default" r:id="rId5"/>
          <w:pgSz w:w="11910" w:h="16845"/>
          <w:pgMar w:top="271" w:right="0" w:bottom="495" w:left="0" w:header="0" w:footer="15" w:gutter="0"/>
          <w:cols w:num="1" w:space="708" w:equalWidth="0">
            <w:col w:w="11910" w:space="0"/>
          </w:cols>
        </w:sectPr>
      </w:pPr>
    </w:p>
    <w:p>
      <w:pPr>
        <w:spacing w:before="36" w:line="182" w:lineRule="exact"/>
        <w:ind w:left="640"/>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国金金融产品研究</w:t>
      </w:r>
    </w:p>
    <w:p>
      <w:pPr>
        <w:spacing w:before="132" w:line="182" w:lineRule="exact"/>
        <w:ind w:left="634"/>
        <w:rPr>
          <w:rFonts w:ascii="Arial" w:eastAsia="Arial" w:hAnsi="Arial" w:cs="Arial"/>
          <w:sz w:val="17"/>
          <w:szCs w:val="17"/>
        </w:rPr>
      </w:pPr>
      <w:r>
        <w:rPr>
          <w:rFonts w:ascii="Microsoft YaHei" w:eastAsia="Microsoft YaHei" w:hAnsi="Microsoft YaHei" w:cs="Microsoft YaHei"/>
          <w:spacing w:val="8"/>
          <w:sz w:val="17"/>
          <w:szCs w:val="17"/>
        </w:rPr>
        <w:t>分析师：于婧</w:t>
      </w:r>
      <w:r>
        <w:rPr>
          <w:rFonts w:ascii="Microsoft YaHei" w:eastAsia="Microsoft YaHei" w:hAnsi="Microsoft YaHei" w:cs="Microsoft YaHei"/>
          <w:spacing w:val="8"/>
          <w:sz w:val="17"/>
          <w:szCs w:val="17"/>
        </w:rPr>
        <w:t xml:space="preserve">  </w:t>
      </w:r>
      <w:r>
        <w:rPr>
          <w:rFonts w:ascii="Microsoft YaHei" w:eastAsia="Microsoft YaHei" w:hAnsi="Microsoft YaHei" w:cs="Microsoft YaHei"/>
          <w:spacing w:val="8"/>
          <w:sz w:val="17"/>
          <w:szCs w:val="17"/>
        </w:rPr>
        <w:t>(执业</w:t>
      </w:r>
      <w:r>
        <w:rPr>
          <w:rFonts w:ascii="Microsoft YaHei" w:eastAsia="Microsoft YaHei" w:hAnsi="Microsoft YaHei" w:cs="Microsoft YaHei"/>
          <w:spacing w:val="8"/>
          <w:sz w:val="17"/>
          <w:szCs w:val="17"/>
        </w:rPr>
        <w:t xml:space="preserve"> </w:t>
      </w:r>
      <w:r>
        <w:rPr>
          <w:rFonts w:ascii="Arial" w:eastAsia="Arial" w:hAnsi="Arial" w:cs="Arial"/>
          <w:spacing w:val="8"/>
          <w:sz w:val="17"/>
          <w:szCs w:val="17"/>
        </w:rPr>
        <w:t>S1130519020003)</w:t>
      </w:r>
    </w:p>
    <w:p>
      <w:pPr>
        <w:spacing w:before="153" w:line="215" w:lineRule="auto"/>
        <w:ind w:left="630"/>
        <w:rPr>
          <w:rFonts w:ascii="Arial" w:eastAsia="Arial" w:hAnsi="Arial" w:cs="Arial"/>
          <w:sz w:val="19"/>
          <w:szCs w:val="19"/>
        </w:rPr>
      </w:pPr>
      <w:r>
        <w:rPr>
          <w:rFonts w:ascii="Arial" w:eastAsia="Arial" w:hAnsi="Arial" w:cs="Arial"/>
          <w:sz w:val="19"/>
          <w:szCs w:val="19"/>
        </w:rPr>
        <w:t>yujing</w:t>
      </w:r>
      <w:r>
        <w:rPr>
          <w:rFonts w:ascii="Arial" w:eastAsia="Arial" w:hAnsi="Arial" w:cs="Arial"/>
          <w:spacing w:val="22"/>
          <w:sz w:val="19"/>
          <w:szCs w:val="19"/>
        </w:rPr>
        <w:t>@</w:t>
      </w:r>
      <w:r>
        <w:rPr>
          <w:rFonts w:ascii="Arial" w:eastAsia="Arial" w:hAnsi="Arial" w:cs="Arial"/>
          <w:sz w:val="19"/>
          <w:szCs w:val="19"/>
        </w:rPr>
        <w:t>gjzq</w:t>
      </w:r>
      <w:r>
        <w:rPr>
          <w:rFonts w:ascii="Arial" w:eastAsia="Arial" w:hAnsi="Arial" w:cs="Arial"/>
          <w:spacing w:val="22"/>
          <w:sz w:val="19"/>
          <w:szCs w:val="19"/>
        </w:rPr>
        <w:t>.</w:t>
      </w:r>
      <w:r>
        <w:rPr>
          <w:rFonts w:ascii="Arial" w:eastAsia="Arial" w:hAnsi="Arial" w:cs="Arial"/>
          <w:sz w:val="19"/>
          <w:szCs w:val="19"/>
        </w:rPr>
        <w:t>com</w:t>
      </w:r>
      <w:r>
        <w:rPr>
          <w:rFonts w:ascii="Arial" w:eastAsia="Arial" w:hAnsi="Arial" w:cs="Arial"/>
          <w:spacing w:val="22"/>
          <w:sz w:val="19"/>
          <w:szCs w:val="19"/>
        </w:rPr>
        <w:t>.</w:t>
      </w:r>
      <w:r>
        <w:rPr>
          <w:rFonts w:ascii="Arial" w:eastAsia="Arial" w:hAnsi="Arial" w:cs="Arial"/>
          <w:sz w:val="19"/>
          <w:szCs w:val="19"/>
        </w:rPr>
        <w:t>cn</w:t>
      </w:r>
    </w:p>
    <w:p>
      <w:pPr>
        <w:spacing w:line="14" w:lineRule="auto"/>
        <w:rPr>
          <w:rFonts w:ascii="Arial"/>
          <w:sz w:val="2"/>
        </w:rPr>
      </w:pPr>
      <w:r>
        <w:rPr>
          <w:rFonts w:ascii="Arial" w:eastAsia="Arial" w:hAnsi="Arial" w:cs="Arial"/>
          <w:sz w:val="2"/>
          <w:szCs w:val="2"/>
        </w:rPr>
        <w:br w:type="column"/>
      </w:r>
    </w:p>
    <w:p>
      <w:pPr>
        <w:spacing w:line="275" w:lineRule="auto"/>
        <w:rPr>
          <w:rFonts w:ascii="Arial"/>
          <w:sz w:val="21"/>
        </w:rPr>
      </w:pPr>
    </w:p>
    <w:p>
      <w:pPr>
        <w:spacing w:before="73" w:line="182" w:lineRule="exact"/>
        <w:ind w:left="1"/>
        <w:rPr>
          <w:rFonts w:ascii="Arial" w:eastAsia="Arial" w:hAnsi="Arial" w:cs="Arial"/>
          <w:sz w:val="17"/>
          <w:szCs w:val="17"/>
        </w:rPr>
      </w:pPr>
      <w:r>
        <w:rPr>
          <w:rFonts w:ascii="Microsoft YaHei" w:eastAsia="Microsoft YaHei" w:hAnsi="Microsoft YaHei" w:cs="Microsoft YaHei"/>
          <w:spacing w:val="8"/>
          <w:sz w:val="17"/>
          <w:szCs w:val="17"/>
        </w:rPr>
        <w:t>分析师：张剑辉</w:t>
      </w:r>
      <w:r>
        <w:rPr>
          <w:rFonts w:ascii="Microsoft YaHei" w:eastAsia="Microsoft YaHei" w:hAnsi="Microsoft YaHei" w:cs="Microsoft YaHei"/>
          <w:spacing w:val="8"/>
          <w:sz w:val="17"/>
          <w:szCs w:val="17"/>
        </w:rPr>
        <w:t xml:space="preserve">  </w:t>
      </w:r>
      <w:r>
        <w:rPr>
          <w:rFonts w:ascii="Microsoft YaHei" w:eastAsia="Microsoft YaHei" w:hAnsi="Microsoft YaHei" w:cs="Microsoft YaHei"/>
          <w:spacing w:val="8"/>
          <w:sz w:val="17"/>
          <w:szCs w:val="17"/>
        </w:rPr>
        <w:t>(执业</w:t>
      </w:r>
      <w:r>
        <w:rPr>
          <w:rFonts w:ascii="Microsoft YaHei" w:eastAsia="Microsoft YaHei" w:hAnsi="Microsoft YaHei" w:cs="Microsoft YaHei"/>
          <w:spacing w:val="8"/>
          <w:sz w:val="17"/>
          <w:szCs w:val="17"/>
        </w:rPr>
        <w:t xml:space="preserve"> </w:t>
      </w:r>
      <w:r>
        <w:rPr>
          <w:rFonts w:ascii="Arial" w:eastAsia="Arial" w:hAnsi="Arial" w:cs="Arial"/>
          <w:spacing w:val="8"/>
          <w:sz w:val="17"/>
          <w:szCs w:val="17"/>
        </w:rPr>
        <w:t>S1130519100003)</w:t>
      </w:r>
    </w:p>
    <w:p>
      <w:pPr>
        <w:spacing w:before="152" w:line="215" w:lineRule="auto"/>
        <w:rPr>
          <w:rFonts w:ascii="Arial" w:eastAsia="Arial" w:hAnsi="Arial" w:cs="Arial"/>
          <w:sz w:val="19"/>
          <w:szCs w:val="19"/>
        </w:rPr>
      </w:pPr>
      <w:r>
        <w:rPr>
          <w:rFonts w:ascii="Arial" w:eastAsia="Arial" w:hAnsi="Arial" w:cs="Arial"/>
          <w:spacing w:val="4"/>
          <w:sz w:val="19"/>
          <w:szCs w:val="19"/>
        </w:rPr>
        <w:t>zhangjh@gjzqcom.cn</w:t>
      </w:r>
    </w:p>
    <w:p>
      <w:pPr>
        <w:spacing w:line="215" w:lineRule="auto"/>
        <w:rPr>
          <w:rFonts w:ascii="Arial" w:eastAsia="Arial" w:hAnsi="Arial" w:cs="Arial"/>
          <w:sz w:val="19"/>
          <w:szCs w:val="19"/>
        </w:rPr>
        <w:sectPr>
          <w:footerReference w:type="default" r:id="rId6"/>
          <w:type w:val="continuous"/>
          <w:pgSz w:w="11910" w:h="16845"/>
          <w:pgMar w:top="271" w:right="0" w:bottom="495" w:left="0" w:header="0" w:footer="15" w:gutter="0"/>
          <w:pgNumType w:start="2"/>
          <w:cols w:num="2" w:space="708" w:equalWidth="0">
            <w:col w:w="4077" w:space="100"/>
            <w:col w:w="7734" w:space="0"/>
          </w:cols>
        </w:sectPr>
      </w:pPr>
    </w:p>
    <w:p>
      <w:pPr>
        <w:spacing w:before="352" w:line="389" w:lineRule="exact"/>
        <w:ind w:left="2540"/>
        <w:outlineLvl w:val="0"/>
        <w:rPr>
          <w:rFonts w:ascii="Microsoft YaHei" w:eastAsia="Microsoft YaHei" w:hAnsi="Microsoft YaHei" w:cs="Microsoft YaHei"/>
          <w:sz w:val="38"/>
          <w:szCs w:val="38"/>
        </w:rPr>
      </w:pPr>
      <w:r>
        <w:rPr>
          <w:rFonts w:ascii="Microsoft YaHei" w:eastAsia="Microsoft YaHei" w:hAnsi="Microsoft YaHei" w:cs="Microsoft YaHei"/>
          <w:color w:val="004A70"/>
          <w:spacing w:val="-8"/>
          <w:w w:val="97"/>
          <w:sz w:val="38"/>
          <w:szCs w:val="38"/>
        </w:rPr>
        <w:t>大强小弱分化极致</w:t>
      </w:r>
      <w:r>
        <w:rPr>
          <w:rFonts w:ascii="Microsoft YaHei" w:eastAsia="Microsoft YaHei" w:hAnsi="Microsoft YaHei" w:cs="Microsoft YaHei"/>
          <w:color w:val="004A70"/>
          <w:spacing w:val="-55"/>
          <w:sz w:val="38"/>
          <w:szCs w:val="38"/>
        </w:rPr>
        <w:t xml:space="preserve"> </w:t>
      </w:r>
      <w:r>
        <w:rPr>
          <w:position w:val="-9"/>
          <w:sz w:val="38"/>
          <w:szCs w:val="38"/>
        </w:rPr>
        <w:drawing>
          <wp:inline distT="0" distB="0" distL="0" distR="0">
            <wp:extent cx="61869" cy="9887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61869" cy="98872"/>
                    </a:xfrm>
                    <a:prstGeom prst="rect">
                      <a:avLst/>
                    </a:prstGeom>
                  </pic:spPr>
                </pic:pic>
              </a:graphicData>
            </a:graphic>
          </wp:inline>
        </w:drawing>
      </w:r>
      <w:r>
        <w:rPr>
          <w:rFonts w:ascii="Microsoft YaHei" w:eastAsia="Microsoft YaHei" w:hAnsi="Microsoft YaHei" w:cs="Microsoft YaHei"/>
          <w:color w:val="004A70"/>
          <w:spacing w:val="92"/>
          <w:sz w:val="38"/>
          <w:szCs w:val="38"/>
        </w:rPr>
        <w:t xml:space="preserve"> </w:t>
      </w:r>
      <w:r>
        <w:rPr>
          <w:rFonts w:ascii="Microsoft YaHei" w:eastAsia="Microsoft YaHei" w:hAnsi="Microsoft YaHei" w:cs="Microsoft YaHei"/>
          <w:color w:val="004A70"/>
          <w:spacing w:val="-8"/>
          <w:w w:val="97"/>
          <w:sz w:val="38"/>
          <w:szCs w:val="38"/>
        </w:rPr>
        <w:t>量化环境迎来至暗时刻</w:t>
      </w:r>
    </w:p>
    <w:p>
      <w:pPr>
        <w:spacing w:before="295" w:line="193" w:lineRule="auto"/>
        <w:ind w:left="631"/>
        <w:rPr>
          <w:rFonts w:ascii="Microsoft YaHei" w:eastAsia="Microsoft YaHei" w:hAnsi="Microsoft YaHei" w:cs="Microsoft YaHei"/>
          <w:sz w:val="24"/>
          <w:szCs w:val="24"/>
        </w:rPr>
      </w:pPr>
      <w:r>
        <w:rPr>
          <w:rFonts w:ascii="Microsoft YaHei" w:eastAsia="Microsoft YaHei" w:hAnsi="Microsoft YaHei" w:cs="Microsoft YaHei"/>
          <w:b/>
          <w:bCs/>
          <w:color w:val="004A70"/>
          <w:sz w:val="24"/>
          <w:szCs w:val="24"/>
        </w:rPr>
        <w:t>第一部分：股票量化策略投资前瞻</w:t>
      </w:r>
    </w:p>
    <w:p>
      <w:pPr>
        <w:pStyle w:val="BodyText"/>
        <w:spacing w:before="12" w:line="277" w:lineRule="auto"/>
        <w:ind w:left="631" w:right="589" w:firstLine="6"/>
        <w:jc w:val="both"/>
      </w:pPr>
      <w:r>
        <w:rPr>
          <w:spacing w:val="-10"/>
        </w:rPr>
        <w:t>量化策略运作方面，</w:t>
      </w:r>
      <w:r>
        <w:rPr>
          <w:spacing w:val="65"/>
        </w:rPr>
        <w:t xml:space="preserve"> </w:t>
      </w:r>
      <w:r>
        <w:rPr>
          <w:spacing w:val="-10"/>
        </w:rPr>
        <w:t>虽然近期机构资金通过买入大盘权重的方式托底市场，</w:t>
      </w:r>
      <w:r>
        <w:rPr>
          <w:spacing w:val="56"/>
        </w:rPr>
        <w:t xml:space="preserve"> </w:t>
      </w:r>
      <w:r>
        <w:rPr>
          <w:spacing w:val="-10"/>
        </w:rPr>
        <w:t>大盘股的优势显著，</w:t>
      </w:r>
      <w:r>
        <w:rPr>
          <w:spacing w:val="41"/>
        </w:rPr>
        <w:t xml:space="preserve"> </w:t>
      </w:r>
      <w:r>
        <w:rPr>
          <w:spacing w:val="-10"/>
        </w:rPr>
        <w:t>不过在反弹修复的区</w:t>
      </w:r>
      <w:r>
        <w:t xml:space="preserve"> </w:t>
      </w:r>
      <w:r>
        <w:rPr>
          <w:spacing w:val="-4"/>
        </w:rPr>
        <w:t>间，</w:t>
      </w:r>
      <w:r>
        <w:rPr>
          <w:spacing w:val="-4"/>
        </w:rPr>
        <w:t xml:space="preserve"> </w:t>
      </w:r>
      <w:r>
        <w:rPr>
          <w:spacing w:val="-4"/>
        </w:rPr>
        <w:t>中小盘股的弹性则会明显放大，</w:t>
      </w:r>
      <w:r>
        <w:rPr>
          <w:spacing w:val="-28"/>
        </w:rPr>
        <w:t xml:space="preserve"> </w:t>
      </w:r>
      <w:r>
        <w:rPr>
          <w:spacing w:val="-4"/>
        </w:rPr>
        <w:t>另外，股灾之后的反弹，风格主要集中在消费、成长和超跌方向，其中交集最为</w:t>
      </w:r>
      <w:r>
        <w:t xml:space="preserve"> </w:t>
      </w:r>
      <w:r>
        <w:rPr>
          <w:spacing w:val="-7"/>
        </w:rPr>
        <w:t>凸显的风格便是成长，</w:t>
      </w:r>
      <w:r>
        <w:rPr>
          <w:spacing w:val="72"/>
        </w:rPr>
        <w:t xml:space="preserve"> </w:t>
      </w:r>
      <w:r>
        <w:rPr>
          <w:spacing w:val="-7"/>
        </w:rPr>
        <w:t>中期视角层面，</w:t>
      </w:r>
      <w:r>
        <w:rPr>
          <w:spacing w:val="43"/>
        </w:rPr>
        <w:t xml:space="preserve"> </w:t>
      </w:r>
      <w:r>
        <w:rPr>
          <w:spacing w:val="-7"/>
        </w:rPr>
        <w:t>预计全年中小盘、成长主题仍将阶段占优，或对超额端表现有一定利好。从小</w:t>
      </w:r>
      <w:r>
        <w:t xml:space="preserve"> </w:t>
      </w:r>
      <w:r>
        <w:rPr>
          <w:spacing w:val="-2"/>
        </w:rPr>
        <w:t>微盘表现来看，今年以来由于多种因素集中在一起带来的剧烈流动性践踏，</w:t>
      </w:r>
      <w:r>
        <w:rPr>
          <w:spacing w:val="-31"/>
        </w:rPr>
        <w:t xml:space="preserve"> </w:t>
      </w:r>
      <w:r>
        <w:rPr>
          <w:spacing w:val="-2"/>
        </w:rPr>
        <w:t>导致以万得微盘指数为代表的小微盘股瓦</w:t>
      </w:r>
      <w:r>
        <w:t xml:space="preserve"> </w:t>
      </w:r>
      <w:r>
        <w:rPr>
          <w:spacing w:val="1"/>
        </w:rPr>
        <w:t>解，而我们在</w:t>
      </w:r>
      <w:r>
        <w:rPr>
          <w:spacing w:val="-25"/>
        </w:rPr>
        <w:t xml:space="preserve"> </w:t>
      </w:r>
      <w:r>
        <w:rPr>
          <w:spacing w:val="1"/>
        </w:rPr>
        <w:t>2023</w:t>
      </w:r>
      <w:r>
        <w:rPr>
          <w:spacing w:val="-20"/>
        </w:rPr>
        <w:t xml:space="preserve"> </w:t>
      </w:r>
      <w:r>
        <w:rPr>
          <w:spacing w:val="1"/>
        </w:rPr>
        <w:t>年末的相关专题中已经</w:t>
      </w:r>
      <w:r>
        <w:t>提到，小微盘股强势的行情可能难以长期持续，相关风险仍需关注。根据</w:t>
      </w:r>
      <w:r>
        <w:t xml:space="preserve"> </w:t>
      </w:r>
      <w:r>
        <w:rPr>
          <w:spacing w:val="-3"/>
        </w:rPr>
        <w:t>传统的框架分析，</w:t>
      </w:r>
      <w:r>
        <w:rPr>
          <w:spacing w:val="43"/>
        </w:rPr>
        <w:t xml:space="preserve"> </w:t>
      </w:r>
      <w:r>
        <w:rPr>
          <w:spacing w:val="-3"/>
        </w:rPr>
        <w:t>结合交投活跃度、波动水平、行业轮动速度、股指期货基</w:t>
      </w:r>
      <w:r>
        <w:rPr>
          <w:spacing w:val="-4"/>
        </w:rPr>
        <w:t>差贴水情况、因子稳定性、行业政策等方</w:t>
      </w:r>
      <w:r>
        <w:t xml:space="preserve"> </w:t>
      </w:r>
      <w:r>
        <w:rPr>
          <w:spacing w:val="1"/>
        </w:rPr>
        <w:t>面来看，未来股票量化策略影响因素一致性趋</w:t>
      </w:r>
      <w:r>
        <w:t>势较弱，长期运行环境渐趋中性。然而</w:t>
      </w:r>
      <w:r>
        <w:rPr>
          <w:spacing w:val="-32"/>
        </w:rPr>
        <w:t xml:space="preserve"> </w:t>
      </w:r>
      <w:r>
        <w:t>2024</w:t>
      </w:r>
      <w:r>
        <w:rPr>
          <w:spacing w:val="-20"/>
        </w:rPr>
        <w:t xml:space="preserve"> </w:t>
      </w:r>
      <w:r>
        <w:t>年开年以来，恐慌情绪蔓</w:t>
      </w:r>
      <w:r>
        <w:t xml:space="preserve"> </w:t>
      </w:r>
      <w:r>
        <w:rPr>
          <w:spacing w:val="-5"/>
        </w:rPr>
        <w:t>延导致的暴跌使得雪球进入密集敲入区间，</w:t>
      </w:r>
      <w:r>
        <w:rPr>
          <w:spacing w:val="40"/>
        </w:rPr>
        <w:t xml:space="preserve"> </w:t>
      </w:r>
      <w:r>
        <w:rPr>
          <w:spacing w:val="-5"/>
        </w:rPr>
        <w:t>雪球卖方不得不平掉用</w:t>
      </w:r>
      <w:r>
        <w:rPr>
          <w:spacing w:val="-6"/>
        </w:rPr>
        <w:t>于对冲的股指期货多头，</w:t>
      </w:r>
      <w:r>
        <w:rPr>
          <w:spacing w:val="-6"/>
        </w:rPr>
        <w:t xml:space="preserve"> </w:t>
      </w:r>
      <w:r>
        <w:rPr>
          <w:spacing w:val="-6"/>
        </w:rPr>
        <w:t>加剧了股指期货贴水的快</w:t>
      </w:r>
      <w:r>
        <w:t xml:space="preserve"> </w:t>
      </w:r>
      <w:r>
        <w:rPr>
          <w:spacing w:val="-2"/>
        </w:rPr>
        <w:t>速加深，</w:t>
      </w:r>
      <w:r>
        <w:rPr>
          <w:spacing w:val="-29"/>
        </w:rPr>
        <w:t xml:space="preserve"> </w:t>
      </w:r>
      <w:r>
        <w:rPr>
          <w:spacing w:val="-2"/>
        </w:rPr>
        <w:t>由此所带来的中性策略降低多头端仓位则进一步给中小市值股票带来抛压。多头端风格切换导致的超额</w:t>
      </w:r>
      <w:r>
        <w:rPr>
          <w:spacing w:val="-3"/>
        </w:rPr>
        <w:t>回撤</w:t>
      </w:r>
      <w:r>
        <w:t xml:space="preserve"> </w:t>
      </w:r>
      <w:r>
        <w:rPr>
          <w:spacing w:val="-6"/>
        </w:rPr>
        <w:t>与空头端的对冲成本大幅加深使得股票市场中性策略面临挑战，</w:t>
      </w:r>
      <w:r>
        <w:rPr>
          <w:spacing w:val="49"/>
        </w:rPr>
        <w:t xml:space="preserve"> </w:t>
      </w:r>
      <w:r>
        <w:rPr>
          <w:spacing w:val="-6"/>
        </w:rPr>
        <w:t>当前并不是最佳的配置时点，</w:t>
      </w:r>
      <w:r>
        <w:rPr>
          <w:spacing w:val="31"/>
        </w:rPr>
        <w:t xml:space="preserve"> </w:t>
      </w:r>
      <w:r>
        <w:rPr>
          <w:spacing w:val="-6"/>
        </w:rPr>
        <w:t>可待</w:t>
      </w:r>
      <w:r>
        <w:rPr>
          <w:spacing w:val="-7"/>
        </w:rPr>
        <w:t>市场风格与基差波</w:t>
      </w:r>
      <w:r>
        <w:t xml:space="preserve"> </w:t>
      </w:r>
      <w:r>
        <w:t>动企稳后再进行配置。对于指数增强及量化选股等策略而言，目前</w:t>
      </w:r>
      <w:r>
        <w:rPr>
          <w:spacing w:val="-26"/>
        </w:rPr>
        <w:t xml:space="preserve"> </w:t>
      </w:r>
      <w:r>
        <w:t>beta</w:t>
      </w:r>
      <w:r>
        <w:t xml:space="preserve"> </w:t>
      </w:r>
      <w:r>
        <w:t>已经处在历史底部，量化多头类策</w:t>
      </w:r>
      <w:r>
        <w:rPr>
          <w:spacing w:val="-1"/>
        </w:rPr>
        <w:t>略配置价</w:t>
      </w:r>
      <w:r>
        <w:t xml:space="preserve"> </w:t>
      </w:r>
      <w:r>
        <w:rPr>
          <w:spacing w:val="-5"/>
        </w:rPr>
        <w:t>值凸显，</w:t>
      </w:r>
      <w:r>
        <w:rPr>
          <w:spacing w:val="-20"/>
        </w:rPr>
        <w:t xml:space="preserve"> </w:t>
      </w:r>
      <w:r>
        <w:rPr>
          <w:spacing w:val="-5"/>
        </w:rPr>
        <w:t>不过在市场走势尚未明朗，</w:t>
      </w:r>
      <w:r>
        <w:rPr>
          <w:spacing w:val="-32"/>
        </w:rPr>
        <w:t xml:space="preserve"> </w:t>
      </w:r>
      <w:r>
        <w:rPr>
          <w:spacing w:val="-5"/>
        </w:rPr>
        <w:t>救市资金对市场短期风格扰动的影响下，</w:t>
      </w:r>
      <w:r>
        <w:rPr>
          <w:spacing w:val="-34"/>
        </w:rPr>
        <w:t xml:space="preserve"> </w:t>
      </w:r>
      <w:r>
        <w:rPr>
          <w:spacing w:val="-5"/>
        </w:rPr>
        <w:t>建议提升风格因子敞口控制严格，长期</w:t>
      </w:r>
      <w:r>
        <w:t xml:space="preserve"> </w:t>
      </w:r>
      <w:r>
        <w:rPr>
          <w:spacing w:val="-2"/>
        </w:rPr>
        <w:t>超额稳定性高的“稳健超额”管理人配置比例，</w:t>
      </w:r>
      <w:r>
        <w:rPr>
          <w:spacing w:val="-36"/>
        </w:rPr>
        <w:t xml:space="preserve"> </w:t>
      </w:r>
      <w:r>
        <w:rPr>
          <w:spacing w:val="-2"/>
        </w:rPr>
        <w:t>对于可以增加组合进攻性的“高弹性超额”管理人，则应适度降低配</w:t>
      </w:r>
      <w:r>
        <w:t xml:space="preserve"> </w:t>
      </w:r>
      <w:r>
        <w:t>置比例。</w:t>
      </w:r>
    </w:p>
    <w:p>
      <w:pPr>
        <w:spacing w:before="51" w:line="193" w:lineRule="auto"/>
        <w:ind w:left="631"/>
        <w:rPr>
          <w:rFonts w:ascii="Microsoft YaHei" w:eastAsia="Microsoft YaHei" w:hAnsi="Microsoft YaHei" w:cs="Microsoft YaHei"/>
          <w:sz w:val="24"/>
          <w:szCs w:val="24"/>
        </w:rPr>
      </w:pPr>
      <w:r>
        <w:rPr>
          <w:rFonts w:ascii="Microsoft YaHei" w:eastAsia="Microsoft YaHei" w:hAnsi="Microsoft YaHei" w:cs="Microsoft YaHei"/>
          <w:b/>
          <w:bCs/>
          <w:color w:val="004A70"/>
          <w:spacing w:val="-1"/>
          <w:sz w:val="24"/>
          <w:szCs w:val="24"/>
        </w:rPr>
        <w:t>第二部分：股票量化策略 1 月业绩回顾</w:t>
      </w:r>
    </w:p>
    <w:p>
      <w:pPr>
        <w:pStyle w:val="BodyText"/>
        <w:spacing w:before="13" w:line="275" w:lineRule="auto"/>
        <w:ind w:left="631" w:right="592" w:firstLine="5"/>
      </w:pPr>
      <w:r>
        <w:rPr>
          <w:spacing w:val="-5"/>
        </w:rPr>
        <w:t>2024</w:t>
      </w:r>
      <w:r>
        <w:rPr>
          <w:spacing w:val="-35"/>
        </w:rPr>
        <w:t xml:space="preserve"> </w:t>
      </w:r>
      <w:r>
        <w:rPr>
          <w:spacing w:val="-5"/>
        </w:rPr>
        <w:t>年</w:t>
      </w:r>
      <w:r>
        <w:rPr>
          <w:spacing w:val="-26"/>
        </w:rPr>
        <w:t xml:space="preserve"> </w:t>
      </w:r>
      <w:r>
        <w:rPr>
          <w:spacing w:val="-5"/>
        </w:rPr>
        <w:t>1</w:t>
      </w:r>
      <w:r>
        <w:rPr>
          <w:spacing w:val="-42"/>
        </w:rPr>
        <w:t xml:space="preserve"> </w:t>
      </w:r>
      <w:r>
        <w:rPr>
          <w:spacing w:val="-5"/>
        </w:rPr>
        <w:t>月</w:t>
      </w:r>
      <w:r>
        <w:rPr>
          <w:spacing w:val="-42"/>
        </w:rPr>
        <w:t xml:space="preserve"> </w:t>
      </w:r>
      <w:r>
        <w:rPr>
          <w:spacing w:val="-5"/>
        </w:rPr>
        <w:t>A</w:t>
      </w:r>
      <w:r>
        <w:rPr>
          <w:spacing w:val="-40"/>
        </w:rPr>
        <w:t xml:space="preserve"> </w:t>
      </w:r>
      <w:r>
        <w:rPr>
          <w:spacing w:val="-5"/>
        </w:rPr>
        <w:t>股市场开启恐慌式下跌，风格</w:t>
      </w:r>
      <w:r>
        <w:rPr>
          <w:spacing w:val="-6"/>
        </w:rPr>
        <w:t>上从</w:t>
      </w:r>
      <w:r>
        <w:rPr>
          <w:spacing w:val="-44"/>
        </w:rPr>
        <w:t xml:space="preserve"> </w:t>
      </w:r>
      <w:r>
        <w:rPr>
          <w:spacing w:val="-6"/>
        </w:rPr>
        <w:t>1</w:t>
      </w:r>
      <w:r>
        <w:rPr>
          <w:spacing w:val="-26"/>
        </w:rPr>
        <w:t xml:space="preserve"> </w:t>
      </w:r>
      <w:r>
        <w:rPr>
          <w:spacing w:val="-6"/>
        </w:rPr>
        <w:t>月下旬开始步入极致的大强小弱分化格局，</w:t>
      </w:r>
      <w:r>
        <w:rPr>
          <w:spacing w:val="-6"/>
        </w:rPr>
        <w:t xml:space="preserve"> </w:t>
      </w:r>
      <w:r>
        <w:rPr>
          <w:spacing w:val="-6"/>
        </w:rPr>
        <w:t>交投活跃度对比进一步</w:t>
      </w:r>
      <w:r>
        <w:t xml:space="preserve"> </w:t>
      </w:r>
      <w:r>
        <w:rPr>
          <w:spacing w:val="-2"/>
        </w:rPr>
        <w:t>下降，不过截面和时序波动水平则均有明显回升，量化策略运作环境弊大于利。据我们本次重点统计的</w:t>
      </w:r>
      <w:r>
        <w:rPr>
          <w:spacing w:val="-32"/>
        </w:rPr>
        <w:t xml:space="preserve"> </w:t>
      </w:r>
      <w:r>
        <w:rPr>
          <w:spacing w:val="-2"/>
        </w:rPr>
        <w:t>638</w:t>
      </w:r>
      <w:r>
        <w:rPr>
          <w:spacing w:val="-36"/>
        </w:rPr>
        <w:t xml:space="preserve"> </w:t>
      </w:r>
      <w:r>
        <w:rPr>
          <w:spacing w:val="-2"/>
        </w:rPr>
        <w:t>只（相同</w:t>
      </w:r>
      <w:r>
        <w:t xml:space="preserve"> </w:t>
      </w:r>
      <w:r>
        <w:rPr>
          <w:spacing w:val="-6"/>
        </w:rPr>
        <w:t>公司同一策略选取一只产品）股票量化策略产品显示，</w:t>
      </w:r>
      <w:r>
        <w:rPr>
          <w:spacing w:val="61"/>
        </w:rPr>
        <w:t xml:space="preserve"> </w:t>
      </w:r>
      <w:r>
        <w:rPr>
          <w:spacing w:val="-6"/>
        </w:rPr>
        <w:t>1</w:t>
      </w:r>
      <w:r>
        <w:rPr>
          <w:spacing w:val="-26"/>
        </w:rPr>
        <w:t xml:space="preserve"> </w:t>
      </w:r>
      <w:r>
        <w:rPr>
          <w:spacing w:val="-6"/>
        </w:rPr>
        <w:t>月仅市场中性（中高频）</w:t>
      </w:r>
      <w:r>
        <w:rPr>
          <w:spacing w:val="30"/>
        </w:rPr>
        <w:t xml:space="preserve"> </w:t>
      </w:r>
      <w:r>
        <w:rPr>
          <w:spacing w:val="-6"/>
        </w:rPr>
        <w:t>策略获得正收益，其余子策略集体</w:t>
      </w:r>
      <w:r>
        <w:t xml:space="preserve"> </w:t>
      </w:r>
      <w:r>
        <w:rPr>
          <w:spacing w:val="-8"/>
        </w:rPr>
        <w:t>回撤。具体来看，</w:t>
      </w:r>
      <w:r>
        <w:rPr>
          <w:spacing w:val="-33"/>
        </w:rPr>
        <w:t xml:space="preserve"> </w:t>
      </w:r>
      <w:r>
        <w:rPr>
          <w:spacing w:val="-8"/>
        </w:rPr>
        <w:t>沪深</w:t>
      </w:r>
      <w:r>
        <w:rPr>
          <w:spacing w:val="-36"/>
        </w:rPr>
        <w:t xml:space="preserve"> </w:t>
      </w:r>
      <w:r>
        <w:rPr>
          <w:spacing w:val="-8"/>
        </w:rPr>
        <w:t>300</w:t>
      </w:r>
      <w:r>
        <w:rPr>
          <w:spacing w:val="-33"/>
        </w:rPr>
        <w:t xml:space="preserve"> </w:t>
      </w:r>
      <w:r>
        <w:rPr>
          <w:spacing w:val="-8"/>
        </w:rPr>
        <w:t>指数增强策略</w:t>
      </w:r>
      <w:r>
        <w:rPr>
          <w:spacing w:val="-27"/>
        </w:rPr>
        <w:t xml:space="preserve"> </w:t>
      </w:r>
      <w:r>
        <w:rPr>
          <w:spacing w:val="-8"/>
        </w:rPr>
        <w:t>1</w:t>
      </w:r>
      <w:r>
        <w:rPr>
          <w:spacing w:val="-26"/>
        </w:rPr>
        <w:t xml:space="preserve"> </w:t>
      </w:r>
      <w:r>
        <w:rPr>
          <w:spacing w:val="-8"/>
        </w:rPr>
        <w:t>月平均来看在指增策略中绝对收益回撤幅度最小，</w:t>
      </w:r>
      <w:r>
        <w:rPr>
          <w:spacing w:val="-29"/>
        </w:rPr>
        <w:t xml:space="preserve"> </w:t>
      </w:r>
      <w:r>
        <w:rPr>
          <w:spacing w:val="-8"/>
        </w:rPr>
        <w:t>但超额表现不及中证</w:t>
      </w:r>
      <w:r>
        <w:rPr>
          <w:spacing w:val="-48"/>
        </w:rPr>
        <w:t xml:space="preserve"> </w:t>
      </w:r>
      <w:r>
        <w:rPr>
          <w:spacing w:val="-8"/>
        </w:rPr>
        <w:t>500</w:t>
      </w:r>
      <w:r>
        <w:t xml:space="preserve"> </w:t>
      </w:r>
      <w:r>
        <w:rPr>
          <w:spacing w:val="-5"/>
        </w:rPr>
        <w:t>和中证</w:t>
      </w:r>
      <w:r>
        <w:rPr>
          <w:spacing w:val="-26"/>
        </w:rPr>
        <w:t xml:space="preserve"> </w:t>
      </w:r>
      <w:r>
        <w:rPr>
          <w:spacing w:val="-5"/>
        </w:rPr>
        <w:t>1000</w:t>
      </w:r>
      <w:r>
        <w:rPr>
          <w:spacing w:val="-32"/>
        </w:rPr>
        <w:t xml:space="preserve"> </w:t>
      </w:r>
      <w:r>
        <w:rPr>
          <w:spacing w:val="-5"/>
        </w:rPr>
        <w:t>指增，</w:t>
      </w:r>
      <w:r>
        <w:rPr>
          <w:spacing w:val="-51"/>
        </w:rPr>
        <w:t xml:space="preserve"> </w:t>
      </w:r>
      <w:r>
        <w:rPr>
          <w:spacing w:val="-5"/>
        </w:rPr>
        <w:t>1</w:t>
      </w:r>
      <w:r>
        <w:rPr>
          <w:spacing w:val="-26"/>
        </w:rPr>
        <w:t xml:space="preserve"> </w:t>
      </w:r>
      <w:r>
        <w:rPr>
          <w:spacing w:val="-5"/>
        </w:rPr>
        <w:t>月超额收益中位数为-0.53%。中证</w:t>
      </w:r>
      <w:r>
        <w:rPr>
          <w:spacing w:val="-41"/>
        </w:rPr>
        <w:t xml:space="preserve"> </w:t>
      </w:r>
      <w:r>
        <w:rPr>
          <w:spacing w:val="-5"/>
        </w:rPr>
        <w:t>500</w:t>
      </w:r>
      <w:r>
        <w:rPr>
          <w:spacing w:val="-33"/>
        </w:rPr>
        <w:t xml:space="preserve"> </w:t>
      </w:r>
      <w:r>
        <w:rPr>
          <w:spacing w:val="-5"/>
        </w:rPr>
        <w:t>指数增强策略</w:t>
      </w:r>
      <w:r>
        <w:rPr>
          <w:spacing w:val="-26"/>
        </w:rPr>
        <w:t xml:space="preserve"> </w:t>
      </w:r>
      <w:r>
        <w:rPr>
          <w:spacing w:val="-5"/>
        </w:rPr>
        <w:t>1</w:t>
      </w:r>
      <w:r>
        <w:rPr>
          <w:spacing w:val="-27"/>
        </w:rPr>
        <w:t xml:space="preserve"> </w:t>
      </w:r>
      <w:r>
        <w:rPr>
          <w:spacing w:val="-5"/>
        </w:rPr>
        <w:t>月绝对收益回撤幅度及</w:t>
      </w:r>
      <w:r>
        <w:rPr>
          <w:spacing w:val="-6"/>
        </w:rPr>
        <w:t>超额表现在三类指</w:t>
      </w:r>
      <w:r>
        <w:t xml:space="preserve"> </w:t>
      </w:r>
      <w:r>
        <w:rPr>
          <w:spacing w:val="-5"/>
        </w:rPr>
        <w:t>增策略中居中，超额收益中位数为0.54%。中证</w:t>
      </w:r>
      <w:r>
        <w:rPr>
          <w:spacing w:val="-39"/>
        </w:rPr>
        <w:t xml:space="preserve"> </w:t>
      </w:r>
      <w:r>
        <w:rPr>
          <w:spacing w:val="-5"/>
        </w:rPr>
        <w:t>1000</w:t>
      </w:r>
      <w:r>
        <w:rPr>
          <w:spacing w:val="-62"/>
        </w:rPr>
        <w:t xml:space="preserve"> </w:t>
      </w:r>
      <w:r>
        <w:rPr>
          <w:spacing w:val="-5"/>
        </w:rPr>
        <w:t>指数增强策略</w:t>
      </w:r>
      <w:r>
        <w:rPr>
          <w:spacing w:val="-57"/>
        </w:rPr>
        <w:t xml:space="preserve"> </w:t>
      </w:r>
      <w:r>
        <w:rPr>
          <w:spacing w:val="-5"/>
        </w:rPr>
        <w:t>1</w:t>
      </w:r>
      <w:r>
        <w:rPr>
          <w:spacing w:val="-57"/>
        </w:rPr>
        <w:t xml:space="preserve"> </w:t>
      </w:r>
      <w:r>
        <w:rPr>
          <w:spacing w:val="-5"/>
        </w:rPr>
        <w:t>月平均来看在三类指增策略中绝对收益回撤最大，</w:t>
      </w:r>
      <w:r>
        <w:t xml:space="preserve"> </w:t>
      </w:r>
      <w:r>
        <w:rPr>
          <w:spacing w:val="-7"/>
        </w:rPr>
        <w:t>超额表现最佳，</w:t>
      </w:r>
      <w:r>
        <w:rPr>
          <w:spacing w:val="63"/>
        </w:rPr>
        <w:t xml:space="preserve"> </w:t>
      </w:r>
      <w:r>
        <w:rPr>
          <w:spacing w:val="-7"/>
        </w:rPr>
        <w:t>1</w:t>
      </w:r>
      <w:r>
        <w:rPr>
          <w:spacing w:val="-26"/>
        </w:rPr>
        <w:t xml:space="preserve"> </w:t>
      </w:r>
      <w:r>
        <w:rPr>
          <w:spacing w:val="-7"/>
        </w:rPr>
        <w:t>月超额中位数为</w:t>
      </w:r>
      <w:r>
        <w:rPr>
          <w:spacing w:val="-28"/>
        </w:rPr>
        <w:t xml:space="preserve"> </w:t>
      </w:r>
      <w:r>
        <w:rPr>
          <w:spacing w:val="-7"/>
        </w:rPr>
        <w:t>1.76%。市场中性策略方面，</w:t>
      </w:r>
      <w:r>
        <w:rPr>
          <w:spacing w:val="63"/>
        </w:rPr>
        <w:t xml:space="preserve"> </w:t>
      </w:r>
      <w:r>
        <w:rPr>
          <w:spacing w:val="-7"/>
        </w:rPr>
        <w:t>1</w:t>
      </w:r>
      <w:r>
        <w:rPr>
          <w:spacing w:val="-27"/>
        </w:rPr>
        <w:t xml:space="preserve"> </w:t>
      </w:r>
      <w:r>
        <w:rPr>
          <w:spacing w:val="-7"/>
        </w:rPr>
        <w:t>月中旬开始，雪球产品大量的集中敲入导致</w:t>
      </w:r>
      <w:r>
        <w:rPr>
          <w:spacing w:val="-7"/>
        </w:rPr>
        <w:t xml:space="preserve"> </w:t>
      </w:r>
      <w:r>
        <w:rPr>
          <w:spacing w:val="-7"/>
        </w:rPr>
        <w:t>IC、</w:t>
      </w:r>
      <w:r>
        <w:rPr>
          <w:spacing w:val="-8"/>
        </w:rPr>
        <w:t>IM</w:t>
      </w:r>
      <w:r>
        <w:t xml:space="preserve"> </w:t>
      </w:r>
      <w:r>
        <w:rPr>
          <w:spacing w:val="-7"/>
        </w:rPr>
        <w:t>基差贴水快速持续扩大，IF</w:t>
      </w:r>
      <w:r>
        <w:rPr>
          <w:spacing w:val="-43"/>
        </w:rPr>
        <w:t xml:space="preserve"> </w:t>
      </w:r>
      <w:r>
        <w:rPr>
          <w:spacing w:val="-7"/>
        </w:rPr>
        <w:t>各期限合约也均回到贴水状态，</w:t>
      </w:r>
      <w:r>
        <w:rPr>
          <w:spacing w:val="42"/>
        </w:rPr>
        <w:t xml:space="preserve"> </w:t>
      </w:r>
      <w:r>
        <w:rPr>
          <w:spacing w:val="-7"/>
        </w:rPr>
        <w:t>虽然对新开仓头寸不利，</w:t>
      </w:r>
      <w:r>
        <w:rPr>
          <w:spacing w:val="26"/>
        </w:rPr>
        <w:t xml:space="preserve"> </w:t>
      </w:r>
      <w:r>
        <w:rPr>
          <w:spacing w:val="-7"/>
        </w:rPr>
        <w:t>不过对运作中的产品则有显</w:t>
      </w:r>
      <w:r>
        <w:rPr>
          <w:spacing w:val="-8"/>
        </w:rPr>
        <w:t>著的</w:t>
      </w:r>
      <w:r>
        <w:t xml:space="preserve"> </w:t>
      </w:r>
      <w:r>
        <w:rPr>
          <w:spacing w:val="-3"/>
        </w:rPr>
        <w:t>收益贡献，叠加现货端尚可的超额收益，中性策略全月收益表现不错。量化复合策略方面，</w:t>
      </w:r>
      <w:r>
        <w:rPr>
          <w:spacing w:val="56"/>
        </w:rPr>
        <w:t xml:space="preserve"> </w:t>
      </w:r>
      <w:r>
        <w:rPr>
          <w:spacing w:val="-3"/>
        </w:rPr>
        <w:t>1</w:t>
      </w:r>
      <w:r>
        <w:rPr>
          <w:spacing w:val="-26"/>
        </w:rPr>
        <w:t xml:space="preserve"> </w:t>
      </w:r>
      <w:r>
        <w:rPr>
          <w:spacing w:val="-3"/>
        </w:rPr>
        <w:t>月商</w:t>
      </w:r>
      <w:r>
        <w:rPr>
          <w:spacing w:val="-4"/>
        </w:rPr>
        <w:t>品市场横盘震荡，</w:t>
      </w:r>
      <w:r>
        <w:t xml:space="preserve"> </w:t>
      </w:r>
      <w:r>
        <w:rPr>
          <w:spacing w:val="-6"/>
        </w:rPr>
        <w:t>波动率重回低点，</w:t>
      </w:r>
      <w:r>
        <w:rPr>
          <w:spacing w:val="38"/>
        </w:rPr>
        <w:t xml:space="preserve"> </w:t>
      </w:r>
      <w:r>
        <w:rPr>
          <w:spacing w:val="-6"/>
        </w:rPr>
        <w:t>对大多数</w:t>
      </w:r>
      <w:r>
        <w:rPr>
          <w:spacing w:val="-41"/>
        </w:rPr>
        <w:t xml:space="preserve"> </w:t>
      </w:r>
      <w:r>
        <w:rPr>
          <w:spacing w:val="-6"/>
        </w:rPr>
        <w:t>CTA</w:t>
      </w:r>
      <w:r>
        <w:rPr>
          <w:spacing w:val="-33"/>
        </w:rPr>
        <w:t xml:space="preserve"> </w:t>
      </w:r>
      <w:r>
        <w:rPr>
          <w:spacing w:val="-6"/>
        </w:rPr>
        <w:t>策略来说是一个缺乏机会的市场环</w:t>
      </w:r>
      <w:r>
        <w:rPr>
          <w:spacing w:val="-7"/>
        </w:rPr>
        <w:t>境，股指期货则跟随权益市场发生极大波动，</w:t>
      </w:r>
      <w:r>
        <w:rPr>
          <w:spacing w:val="25"/>
        </w:rPr>
        <w:t xml:space="preserve"> </w:t>
      </w:r>
      <w:r>
        <w:rPr>
          <w:spacing w:val="-7"/>
        </w:rPr>
        <w:t>无论</w:t>
      </w:r>
      <w:r>
        <w:t xml:space="preserve"> </w:t>
      </w:r>
      <w:r>
        <w:rPr>
          <w:spacing w:val="-7"/>
        </w:rPr>
        <w:t>是趋势性还是波动率，</w:t>
      </w:r>
      <w:r>
        <w:rPr>
          <w:spacing w:val="44"/>
        </w:rPr>
        <w:t xml:space="preserve"> </w:t>
      </w:r>
      <w:r>
        <w:rPr>
          <w:spacing w:val="-7"/>
        </w:rPr>
        <w:t>均存在较大投资机会。分子策略来看，</w:t>
      </w:r>
      <w:r>
        <w:rPr>
          <w:spacing w:val="-8"/>
        </w:rPr>
        <w:t>全部期货宏观在</w:t>
      </w:r>
      <w:r>
        <w:rPr>
          <w:spacing w:val="-28"/>
        </w:rPr>
        <w:t xml:space="preserve"> </w:t>
      </w:r>
      <w:r>
        <w:rPr>
          <w:spacing w:val="-8"/>
        </w:rPr>
        <w:t>1</w:t>
      </w:r>
      <w:r>
        <w:rPr>
          <w:spacing w:val="-27"/>
        </w:rPr>
        <w:t xml:space="preserve"> </w:t>
      </w:r>
      <w:r>
        <w:rPr>
          <w:spacing w:val="-8"/>
        </w:rPr>
        <w:t>月均表现为负收益，</w:t>
      </w:r>
      <w:r>
        <w:rPr>
          <w:spacing w:val="46"/>
        </w:rPr>
        <w:t xml:space="preserve"> </w:t>
      </w:r>
      <w:r>
        <w:rPr>
          <w:spacing w:val="-8"/>
        </w:rPr>
        <w:t>叠加股票量化子</w:t>
      </w:r>
      <w:r>
        <w:t xml:space="preserve"> </w:t>
      </w:r>
      <w:r>
        <w:rPr>
          <w:spacing w:val="-1"/>
        </w:rPr>
        <w:t>策略全面回撤的收益表现，复合配置</w:t>
      </w:r>
      <w:r>
        <w:rPr>
          <w:spacing w:val="-26"/>
        </w:rPr>
        <w:t xml:space="preserve"> </w:t>
      </w:r>
      <w:r>
        <w:rPr>
          <w:spacing w:val="-1"/>
        </w:rPr>
        <w:t>CTA</w:t>
      </w:r>
      <w:r>
        <w:rPr>
          <w:spacing w:val="-38"/>
        </w:rPr>
        <w:t xml:space="preserve"> </w:t>
      </w:r>
      <w:r>
        <w:rPr>
          <w:spacing w:val="-1"/>
        </w:rPr>
        <w:t>和股票量化策略的量化复合策略产品</w:t>
      </w:r>
      <w:r>
        <w:rPr>
          <w:spacing w:val="-29"/>
        </w:rPr>
        <w:t xml:space="preserve"> </w:t>
      </w:r>
      <w:r>
        <w:rPr>
          <w:spacing w:val="-1"/>
        </w:rPr>
        <w:t>1</w:t>
      </w:r>
      <w:r>
        <w:rPr>
          <w:spacing w:val="-27"/>
        </w:rPr>
        <w:t xml:space="preserve"> </w:t>
      </w:r>
      <w:r>
        <w:rPr>
          <w:spacing w:val="-1"/>
        </w:rPr>
        <w:t>月同样产生了不小的回撤。</w:t>
      </w:r>
    </w:p>
    <w:p>
      <w:pPr>
        <w:spacing w:line="285" w:lineRule="auto"/>
        <w:rPr>
          <w:rFonts w:ascii="Arial"/>
          <w:sz w:val="21"/>
        </w:rPr>
      </w:pPr>
    </w:p>
    <w:p>
      <w:pPr>
        <w:spacing w:before="104" w:line="192" w:lineRule="auto"/>
        <w:ind w:left="631"/>
        <w:rPr>
          <w:rFonts w:ascii="Microsoft YaHei" w:eastAsia="Microsoft YaHei" w:hAnsi="Microsoft YaHei" w:cs="Microsoft YaHei"/>
          <w:sz w:val="24"/>
          <w:szCs w:val="24"/>
        </w:rPr>
      </w:pPr>
      <w:r>
        <w:rPr>
          <w:rFonts w:ascii="Microsoft YaHei" w:eastAsia="Microsoft YaHei" w:hAnsi="Microsoft YaHei" w:cs="Microsoft YaHei"/>
          <w:b/>
          <w:bCs/>
          <w:color w:val="004A70"/>
          <w:sz w:val="24"/>
          <w:szCs w:val="24"/>
        </w:rPr>
        <w:t>风险提示</w:t>
      </w:r>
    </w:p>
    <w:p>
      <w:pPr>
        <w:pStyle w:val="BodyText"/>
        <w:spacing w:before="1" w:line="184" w:lineRule="auto"/>
        <w:ind w:left="641"/>
      </w:pPr>
      <w:r>
        <w:t>策略拥挤度上升、对冲成本增加带来的策略收益不及预期、波动加大的风险。</w:t>
      </w:r>
    </w:p>
    <w:p>
      <w:pPr>
        <w:spacing w:line="184" w:lineRule="auto"/>
        <w:sectPr>
          <w:footerReference w:type="default" r:id="rId8"/>
          <w:type w:val="continuous"/>
          <w:pgSz w:w="11910" w:h="16845"/>
          <w:pgMar w:top="271" w:right="0" w:bottom="495" w:left="0" w:header="0" w:footer="15" w:gutter="0"/>
          <w:pgNumType w:start="3"/>
          <w:cols w:num="1" w:space="708" w:equalWidth="0">
            <w:col w:w="11910" w:space="0"/>
          </w:cols>
        </w:sectPr>
      </w:pPr>
    </w:p>
    <w:p>
      <w:pPr>
        <w:spacing w:line="402" w:lineRule="auto"/>
        <w:rPr>
          <w:rFonts w:ascii="Arial"/>
          <w:sz w:val="21"/>
        </w:rPr>
      </w:pPr>
    </w:p>
    <w:p>
      <w:pPr>
        <w:pStyle w:val="BodyText"/>
        <w:spacing w:before="117" w:line="218" w:lineRule="auto"/>
        <w:ind w:left="5273"/>
        <w:rPr>
          <w:sz w:val="36"/>
          <w:szCs w:val="36"/>
        </w:rPr>
      </w:pPr>
      <w:r>
        <w:rPr>
          <w:color w:val="004A70"/>
          <w:spacing w:val="-3"/>
          <w:sz w:val="36"/>
          <w:szCs w:val="36"/>
          <w14:textOutline w14:w="6540">
            <w14:solidFill>
              <w14:srgbClr w14:val="004A70"/>
            </w14:solidFill>
            <w14:prstDash w14:val="solid"/>
            <w14:miter w14:lim="10"/>
          </w14:textOutline>
        </w:rPr>
        <w:t>内容目录</w:t>
      </w:r>
    </w:p>
    <w:p>
      <w:pPr>
        <w:spacing w:line="251" w:lineRule="auto"/>
        <w:rPr>
          <w:rFonts w:ascii="Arial"/>
          <w:sz w:val="21"/>
        </w:rPr>
      </w:pPr>
    </w:p>
    <w:sdt>
      <w:sdtPr>
        <w:rPr>
          <w:rFonts w:ascii="KaiTi" w:eastAsia="KaiTi" w:hAnsi="KaiTi" w:cs="KaiTi"/>
          <w:sz w:val="21"/>
          <w:szCs w:val="21"/>
        </w:rPr>
        <w:id w:val="164520570"/>
        <w:docPartObj>
          <w:docPartGallery w:val="Table of Contents"/>
          <w:docPartUnique/>
        </w:docPartObj>
      </w:sdtPr>
      <w:sdtEndPr>
        <w:rPr>
          <w:rFonts w:ascii="KaiTi" w:eastAsia="KaiTi" w:hAnsi="KaiTi" w:cs="KaiTi"/>
          <w:sz w:val="21"/>
          <w:szCs w:val="21"/>
        </w:rPr>
      </w:sdtEndPr>
      <w:sdtContent>
        <w:p>
          <w:pPr>
            <w:pStyle w:val="BodyText"/>
            <w:tabs>
              <w:tab w:val="right" w:leader="dot" w:pos="11294"/>
            </w:tabs>
            <w:spacing w:before="68" w:line="215" w:lineRule="auto"/>
            <w:ind w:left="1071"/>
          </w:pPr>
          <w:r>
            <w:rPr>
              <w:spacing w:val="-1"/>
            </w:rPr>
            <w:t>第一部分：股票量化策略投资前瞻</w:t>
          </w:r>
          <w:r>
            <w:rPr>
              <w:spacing w:val="-92"/>
            </w:rPr>
            <w:t xml:space="preserve"> </w:t>
          </w:r>
          <w:r>
            <w:tab/>
          </w:r>
          <w:r>
            <w:rPr>
              <w:spacing w:val="-58"/>
            </w:rPr>
            <w:t xml:space="preserve"> </w:t>
          </w:r>
          <w:hyperlink w:anchor="bookmark1" w:history="1">
            <w:r>
              <w:t>4</w:t>
            </w:r>
          </w:hyperlink>
        </w:p>
        <w:p>
          <w:pPr>
            <w:pStyle w:val="BodyText"/>
            <w:tabs>
              <w:tab w:val="right" w:leader="dot" w:pos="11294"/>
            </w:tabs>
            <w:spacing w:before="159" w:line="219" w:lineRule="auto"/>
            <w:ind w:left="1477"/>
          </w:pPr>
          <w:r>
            <w:rPr>
              <w:spacing w:val="-21"/>
            </w:rPr>
            <w:t>基础市场回顾：</w:t>
          </w:r>
          <w:r>
            <w:rPr>
              <w:spacing w:val="52"/>
            </w:rPr>
            <w:t xml:space="preserve"> </w:t>
          </w:r>
          <w:r>
            <w:tab/>
          </w:r>
          <w:r>
            <w:rPr>
              <w:spacing w:val="-56"/>
            </w:rPr>
            <w:t xml:space="preserve"> </w:t>
          </w:r>
          <w:hyperlink w:anchor="bookmark2" w:history="1">
            <w:r>
              <w:t>4</w:t>
            </w:r>
          </w:hyperlink>
        </w:p>
        <w:p>
          <w:pPr>
            <w:pStyle w:val="BodyText"/>
            <w:tabs>
              <w:tab w:val="right" w:leader="dot" w:pos="11294"/>
            </w:tabs>
            <w:spacing w:before="156" w:line="216" w:lineRule="auto"/>
            <w:ind w:left="1479"/>
          </w:pPr>
          <w:r>
            <w:rPr>
              <w:spacing w:val="-17"/>
            </w:rPr>
            <w:t>量化策略投资环境：</w:t>
          </w:r>
          <w:r>
            <w:rPr>
              <w:spacing w:val="56"/>
            </w:rPr>
            <w:t xml:space="preserve"> </w:t>
          </w:r>
          <w:r>
            <w:tab/>
          </w:r>
          <w:r>
            <w:rPr>
              <w:spacing w:val="-57"/>
            </w:rPr>
            <w:t xml:space="preserve"> </w:t>
          </w:r>
          <w:hyperlink w:anchor="bookmark3" w:history="1">
            <w:r>
              <w:t>4</w:t>
            </w:r>
          </w:hyperlink>
        </w:p>
        <w:p>
          <w:pPr>
            <w:pStyle w:val="BodyText"/>
            <w:tabs>
              <w:tab w:val="right" w:leader="dot" w:pos="11294"/>
            </w:tabs>
            <w:spacing w:before="160" w:line="215" w:lineRule="auto"/>
            <w:ind w:left="1071"/>
          </w:pPr>
          <w:r>
            <w:rPr>
              <w:spacing w:val="-3"/>
            </w:rPr>
            <w:t>第二部分：股票量化策略</w:t>
          </w:r>
          <w:r>
            <w:rPr>
              <w:spacing w:val="-28"/>
            </w:rPr>
            <w:t xml:space="preserve"> </w:t>
          </w:r>
          <w:r>
            <w:rPr>
              <w:spacing w:val="-3"/>
            </w:rPr>
            <w:t>1</w:t>
          </w:r>
          <w:r>
            <w:rPr>
              <w:spacing w:val="-27"/>
            </w:rPr>
            <w:t xml:space="preserve"> </w:t>
          </w:r>
          <w:r>
            <w:rPr>
              <w:spacing w:val="-3"/>
            </w:rPr>
            <w:t>月业绩回顾</w:t>
          </w:r>
          <w:r>
            <w:tab/>
          </w:r>
          <w:r>
            <w:rPr>
              <w:spacing w:val="-38"/>
            </w:rPr>
            <w:t xml:space="preserve"> </w:t>
          </w:r>
          <w:hyperlink w:anchor="bookmark4" w:history="1">
            <w:r>
              <w:rPr>
                <w:spacing w:val="-5"/>
              </w:rPr>
              <w:t>10</w:t>
            </w:r>
          </w:hyperlink>
        </w:p>
        <w:p>
          <w:pPr>
            <w:pStyle w:val="BodyText"/>
            <w:tabs>
              <w:tab w:val="right" w:leader="dot" w:pos="11294"/>
            </w:tabs>
            <w:spacing w:before="161" w:line="222" w:lineRule="auto"/>
            <w:ind w:left="1056"/>
          </w:pPr>
          <w:r>
            <w:rPr>
              <w:spacing w:val="-1"/>
            </w:rPr>
            <w:t>风险提示</w:t>
          </w:r>
          <w:r>
            <w:rPr>
              <w:spacing w:val="-91"/>
            </w:rPr>
            <w:t xml:space="preserve"> </w:t>
          </w:r>
          <w:r>
            <w:tab/>
          </w:r>
          <w:r>
            <w:rPr>
              <w:spacing w:val="-38"/>
            </w:rPr>
            <w:t xml:space="preserve"> </w:t>
          </w:r>
          <w:hyperlink w:anchor="bookmark5" w:history="1">
            <w:r>
              <w:rPr>
                <w:spacing w:val="-5"/>
              </w:rPr>
              <w:t>17</w:t>
            </w:r>
          </w:hyperlink>
        </w:p>
      </w:sdtContent>
    </w:sdt>
    <w:p>
      <w:pPr>
        <w:spacing w:line="399" w:lineRule="auto"/>
        <w:rPr>
          <w:rFonts w:ascii="Arial"/>
          <w:sz w:val="21"/>
        </w:rPr>
      </w:pPr>
    </w:p>
    <w:sdt>
      <w:sdtPr>
        <w:rPr>
          <w:rFonts w:ascii="KaiTi" w:eastAsia="KaiTi" w:hAnsi="KaiTi" w:cs="KaiTi"/>
          <w:sz w:val="36"/>
          <w:szCs w:val="36"/>
        </w:rPr>
        <w:id w:val="1256196296"/>
        <w:docPartObj>
          <w:docPartGallery w:val="Table of Contents"/>
          <w:docPartUnique/>
        </w:docPartObj>
      </w:sdtPr>
      <w:sdtEndPr>
        <w:rPr>
          <w:rFonts w:ascii="KaiTi" w:eastAsia="KaiTi" w:hAnsi="KaiTi" w:cs="KaiTi"/>
          <w:sz w:val="21"/>
          <w:szCs w:val="21"/>
        </w:rPr>
      </w:sdtEndPr>
      <w:sdtContent>
        <w:p>
          <w:pPr>
            <w:pStyle w:val="BodyText"/>
            <w:spacing w:before="117" w:line="219" w:lineRule="auto"/>
            <w:ind w:left="5269"/>
            <w:rPr>
              <w:sz w:val="36"/>
              <w:szCs w:val="36"/>
            </w:rPr>
          </w:pPr>
          <w:r>
            <w:rPr>
              <w:color w:val="004A70"/>
              <w:spacing w:val="-3"/>
              <w:sz w:val="36"/>
              <w:szCs w:val="36"/>
              <w14:textOutline w14:w="6540">
                <w14:solidFill>
                  <w14:srgbClr w14:val="004A70"/>
                </w14:solidFill>
                <w14:prstDash w14:val="solid"/>
                <w14:miter w14:lim="10"/>
              </w14:textOutline>
            </w:rPr>
            <w:t>图表目录</w:t>
          </w:r>
        </w:p>
        <w:p>
          <w:pPr>
            <w:spacing w:line="248" w:lineRule="auto"/>
            <w:rPr>
              <w:rFonts w:ascii="Arial"/>
              <w:sz w:val="21"/>
            </w:rPr>
          </w:pPr>
        </w:p>
        <w:p>
          <w:pPr>
            <w:pStyle w:val="BodyText"/>
            <w:tabs>
              <w:tab w:val="right" w:leader="dot" w:pos="11294"/>
            </w:tabs>
            <w:spacing w:before="69" w:line="217" w:lineRule="auto"/>
            <w:ind w:left="1085"/>
          </w:pPr>
          <w:r>
            <w:rPr>
              <w:spacing w:val="-3"/>
            </w:rPr>
            <w:t>图表</w:t>
          </w:r>
          <w:r>
            <w:rPr>
              <w:spacing w:val="-16"/>
            </w:rPr>
            <w:t xml:space="preserve"> </w:t>
          </w:r>
          <w:r>
            <w:rPr>
              <w:spacing w:val="-3"/>
            </w:rPr>
            <w:t>1：</w:t>
          </w:r>
          <w:r>
            <w:rPr>
              <w:spacing w:val="-3"/>
            </w:rPr>
            <w:t xml:space="preserve"> </w:t>
          </w:r>
          <w:r>
            <w:rPr>
              <w:spacing w:val="-3"/>
            </w:rPr>
            <w:t>近一年股市重要指数月度涨跌幅</w:t>
          </w:r>
          <w:r>
            <w:rPr>
              <w:spacing w:val="-47"/>
            </w:rPr>
            <w:t xml:space="preserve"> </w:t>
          </w:r>
          <w:r>
            <w:tab/>
          </w:r>
          <w:r>
            <w:rPr>
              <w:spacing w:val="-54"/>
            </w:rPr>
            <w:t xml:space="preserve"> </w:t>
          </w:r>
          <w:hyperlink w:anchor="bookmark1" w:history="1">
            <w:r>
              <w:t>4</w:t>
            </w:r>
          </w:hyperlink>
        </w:p>
        <w:p>
          <w:pPr>
            <w:pStyle w:val="BodyText"/>
            <w:tabs>
              <w:tab w:val="right" w:leader="dot" w:pos="11294"/>
            </w:tabs>
            <w:spacing w:before="159" w:line="218" w:lineRule="auto"/>
            <w:ind w:left="1085"/>
          </w:pPr>
          <w:r>
            <w:rPr>
              <w:spacing w:val="-2"/>
            </w:rPr>
            <w:t>图表</w:t>
          </w:r>
          <w:r>
            <w:rPr>
              <w:spacing w:val="-39"/>
            </w:rPr>
            <w:t xml:space="preserve"> </w:t>
          </w:r>
          <w:r>
            <w:rPr>
              <w:spacing w:val="-2"/>
            </w:rPr>
            <w:t>2：</w:t>
          </w:r>
          <w:r>
            <w:rPr>
              <w:spacing w:val="-2"/>
            </w:rPr>
            <w:t xml:space="preserve"> </w:t>
          </w:r>
          <w:r>
            <w:rPr>
              <w:spacing w:val="-2"/>
            </w:rPr>
            <w:t>近一月各行业板块涨跌情况</w:t>
          </w:r>
          <w:r>
            <w:rPr>
              <w:spacing w:val="-48"/>
            </w:rPr>
            <w:t xml:space="preserve"> </w:t>
          </w:r>
          <w:r>
            <w:tab/>
          </w:r>
          <w:r>
            <w:rPr>
              <w:spacing w:val="-54"/>
            </w:rPr>
            <w:t xml:space="preserve"> </w:t>
          </w:r>
          <w:hyperlink w:anchor="bookmark2" w:history="1">
            <w:r>
              <w:t>4</w:t>
            </w:r>
          </w:hyperlink>
        </w:p>
        <w:p>
          <w:pPr>
            <w:pStyle w:val="BodyText"/>
            <w:tabs>
              <w:tab w:val="right" w:leader="dot" w:pos="11294"/>
            </w:tabs>
            <w:spacing w:before="157" w:line="219" w:lineRule="auto"/>
            <w:ind w:left="1085"/>
          </w:pPr>
          <w:r>
            <w:rPr>
              <w:spacing w:val="-7"/>
            </w:rPr>
            <w:t>图表</w:t>
          </w:r>
          <w:r>
            <w:rPr>
              <w:spacing w:val="-35"/>
            </w:rPr>
            <w:t xml:space="preserve"> </w:t>
          </w:r>
          <w:r>
            <w:rPr>
              <w:spacing w:val="-7"/>
            </w:rPr>
            <w:t>3：</w:t>
          </w:r>
          <w:r>
            <w:rPr>
              <w:spacing w:val="36"/>
            </w:rPr>
            <w:t xml:space="preserve"> </w:t>
          </w:r>
          <w:r>
            <w:rPr>
              <w:spacing w:val="-7"/>
            </w:rPr>
            <w:t>因子不稳定程度</w:t>
          </w:r>
          <w:r>
            <w:rPr>
              <w:spacing w:val="-46"/>
            </w:rPr>
            <w:t xml:space="preserve"> </w:t>
          </w:r>
          <w:r>
            <w:tab/>
          </w:r>
          <w:r>
            <w:rPr>
              <w:spacing w:val="-56"/>
            </w:rPr>
            <w:t xml:space="preserve"> </w:t>
          </w:r>
          <w:hyperlink w:anchor="bookmark6" w:history="1">
            <w:r>
              <w:t>5</w:t>
            </w:r>
          </w:hyperlink>
        </w:p>
        <w:p>
          <w:pPr>
            <w:pStyle w:val="BodyText"/>
            <w:tabs>
              <w:tab w:val="right" w:leader="dot" w:pos="11294"/>
            </w:tabs>
            <w:spacing w:before="156" w:line="217" w:lineRule="auto"/>
            <w:ind w:left="1085"/>
          </w:pPr>
          <w:r>
            <w:rPr>
              <w:spacing w:val="-3"/>
            </w:rPr>
            <w:t>图表</w:t>
          </w:r>
          <w:r>
            <w:rPr>
              <w:spacing w:val="-30"/>
            </w:rPr>
            <w:t xml:space="preserve"> </w:t>
          </w:r>
          <w:r>
            <w:rPr>
              <w:spacing w:val="-3"/>
            </w:rPr>
            <w:t>4：</w:t>
          </w:r>
          <w:r>
            <w:rPr>
              <w:spacing w:val="-3"/>
            </w:rPr>
            <w:t xml:space="preserve"> </w:t>
          </w:r>
          <w:r>
            <w:rPr>
              <w:spacing w:val="-3"/>
            </w:rPr>
            <w:t>近一年沪深两市成交额</w:t>
          </w:r>
          <w:r>
            <w:rPr>
              <w:spacing w:val="-46"/>
            </w:rPr>
            <w:t xml:space="preserve"> </w:t>
          </w:r>
          <w:r>
            <w:tab/>
          </w:r>
          <w:r>
            <w:rPr>
              <w:spacing w:val="-57"/>
            </w:rPr>
            <w:t xml:space="preserve"> </w:t>
          </w:r>
          <w:hyperlink w:anchor="bookmark7" w:history="1">
            <w:r>
              <w:t>5</w:t>
            </w:r>
          </w:hyperlink>
        </w:p>
        <w:p>
          <w:pPr>
            <w:pStyle w:val="BodyText"/>
            <w:tabs>
              <w:tab w:val="right" w:leader="dot" w:pos="11294"/>
            </w:tabs>
            <w:spacing w:before="159" w:line="217" w:lineRule="auto"/>
            <w:ind w:left="1085"/>
          </w:pPr>
          <w:r>
            <w:rPr>
              <w:spacing w:val="-3"/>
            </w:rPr>
            <w:t>图表</w:t>
          </w:r>
          <w:r>
            <w:rPr>
              <w:spacing w:val="-30"/>
            </w:rPr>
            <w:t xml:space="preserve"> </w:t>
          </w:r>
          <w:r>
            <w:rPr>
              <w:spacing w:val="-3"/>
            </w:rPr>
            <w:t>5：</w:t>
          </w:r>
          <w:r>
            <w:rPr>
              <w:spacing w:val="-3"/>
            </w:rPr>
            <w:t xml:space="preserve"> </w:t>
          </w:r>
          <w:r>
            <w:rPr>
              <w:spacing w:val="-3"/>
            </w:rPr>
            <w:t>近一年主要指数换手率</w:t>
          </w:r>
          <w:r>
            <w:rPr>
              <w:spacing w:val="-46"/>
            </w:rPr>
            <w:t xml:space="preserve"> </w:t>
          </w:r>
          <w:r>
            <w:tab/>
          </w:r>
          <w:r>
            <w:rPr>
              <w:spacing w:val="-57"/>
            </w:rPr>
            <w:t xml:space="preserve"> </w:t>
          </w:r>
          <w:hyperlink w:anchor="bookmark8" w:history="1">
            <w:r>
              <w:t>5</w:t>
            </w:r>
          </w:hyperlink>
        </w:p>
        <w:p>
          <w:pPr>
            <w:pStyle w:val="BodyText"/>
            <w:tabs>
              <w:tab w:val="right" w:leader="dot" w:pos="11294"/>
            </w:tabs>
            <w:spacing w:before="158" w:line="217" w:lineRule="auto"/>
            <w:ind w:left="1085"/>
          </w:pPr>
          <w:r>
            <w:rPr>
              <w:spacing w:val="-3"/>
            </w:rPr>
            <w:t>图表</w:t>
          </w:r>
          <w:r>
            <w:rPr>
              <w:spacing w:val="-30"/>
            </w:rPr>
            <w:t xml:space="preserve"> </w:t>
          </w:r>
          <w:r>
            <w:rPr>
              <w:spacing w:val="-3"/>
            </w:rPr>
            <w:t>6：</w:t>
          </w:r>
          <w:r>
            <w:rPr>
              <w:spacing w:val="-3"/>
            </w:rPr>
            <w:t xml:space="preserve"> </w:t>
          </w:r>
          <w:r>
            <w:rPr>
              <w:spacing w:val="-3"/>
            </w:rPr>
            <w:t>近一年大小盘风格特征</w:t>
          </w:r>
          <w:r>
            <w:rPr>
              <w:spacing w:val="-46"/>
            </w:rPr>
            <w:t xml:space="preserve"> </w:t>
          </w:r>
          <w:r>
            <w:tab/>
          </w:r>
          <w:r>
            <w:rPr>
              <w:spacing w:val="-53"/>
            </w:rPr>
            <w:t xml:space="preserve"> </w:t>
          </w:r>
          <w:hyperlink w:anchor="bookmark9" w:history="1">
            <w:r>
              <w:t>6</w:t>
            </w:r>
          </w:hyperlink>
        </w:p>
        <w:p>
          <w:pPr>
            <w:pStyle w:val="BodyText"/>
            <w:tabs>
              <w:tab w:val="right" w:leader="dot" w:pos="11294"/>
            </w:tabs>
            <w:spacing w:before="159" w:line="217" w:lineRule="auto"/>
            <w:ind w:left="1085"/>
          </w:pPr>
          <w:r>
            <w:rPr>
              <w:spacing w:val="-2"/>
            </w:rPr>
            <w:t>图表</w:t>
          </w:r>
          <w:r>
            <w:rPr>
              <w:spacing w:val="-22"/>
            </w:rPr>
            <w:t xml:space="preserve"> </w:t>
          </w:r>
          <w:r>
            <w:rPr>
              <w:spacing w:val="-2"/>
            </w:rPr>
            <w:t>7：</w:t>
          </w:r>
          <w:r>
            <w:rPr>
              <w:spacing w:val="-2"/>
            </w:rPr>
            <w:t xml:space="preserve"> </w:t>
          </w:r>
          <w:r>
            <w:rPr>
              <w:spacing w:val="-2"/>
            </w:rPr>
            <w:t>近一年主要指数成分股成交额占全市场比例</w:t>
          </w:r>
          <w:r>
            <w:rPr>
              <w:spacing w:val="-49"/>
            </w:rPr>
            <w:t xml:space="preserve"> </w:t>
          </w:r>
          <w:r>
            <w:tab/>
          </w:r>
          <w:r>
            <w:rPr>
              <w:spacing w:val="-50"/>
            </w:rPr>
            <w:t xml:space="preserve"> </w:t>
          </w:r>
          <w:hyperlink w:anchor="bookmark10" w:history="1">
            <w:r>
              <w:t>6</w:t>
            </w:r>
          </w:hyperlink>
        </w:p>
        <w:p>
          <w:pPr>
            <w:pStyle w:val="BodyText"/>
            <w:tabs>
              <w:tab w:val="right" w:leader="dot" w:pos="11294"/>
            </w:tabs>
            <w:spacing w:before="158" w:line="217" w:lineRule="auto"/>
            <w:ind w:left="1085"/>
          </w:pPr>
          <w:r>
            <w:rPr>
              <w:spacing w:val="-8"/>
            </w:rPr>
            <w:t>图表</w:t>
          </w:r>
          <w:r>
            <w:rPr>
              <w:spacing w:val="-23"/>
            </w:rPr>
            <w:t xml:space="preserve"> </w:t>
          </w:r>
          <w:r>
            <w:rPr>
              <w:spacing w:val="-8"/>
            </w:rPr>
            <w:t>8：</w:t>
          </w:r>
          <w:r>
            <w:rPr>
              <w:spacing w:val="-8"/>
            </w:rPr>
            <w:t xml:space="preserve"> </w:t>
          </w:r>
          <w:r>
            <w:rPr>
              <w:spacing w:val="-8"/>
            </w:rPr>
            <w:t>近一年主要指数波动率（过去</w:t>
          </w:r>
          <w:r>
            <w:rPr>
              <w:spacing w:val="-41"/>
            </w:rPr>
            <w:t xml:space="preserve"> </w:t>
          </w:r>
          <w:r>
            <w:rPr>
              <w:spacing w:val="-8"/>
            </w:rPr>
            <w:t>20</w:t>
          </w:r>
          <w:r>
            <w:rPr>
              <w:spacing w:val="-8"/>
            </w:rPr>
            <w:t xml:space="preserve"> </w:t>
          </w:r>
          <w:r>
            <w:rPr>
              <w:spacing w:val="-8"/>
            </w:rPr>
            <w:t>日波动率年化）</w:t>
          </w:r>
          <w:r>
            <w:rPr>
              <w:spacing w:val="65"/>
            </w:rPr>
            <w:t xml:space="preserve"> </w:t>
          </w:r>
          <w:r>
            <w:tab/>
          </w:r>
          <w:r>
            <w:rPr>
              <w:spacing w:val="-51"/>
            </w:rPr>
            <w:t xml:space="preserve"> </w:t>
          </w:r>
          <w:hyperlink w:anchor="bookmark11" w:history="1">
            <w:r>
              <w:t>6</w:t>
            </w:r>
          </w:hyperlink>
        </w:p>
        <w:p>
          <w:pPr>
            <w:pStyle w:val="BodyText"/>
            <w:tabs>
              <w:tab w:val="right" w:leader="dot" w:pos="11294"/>
            </w:tabs>
            <w:spacing w:before="158" w:line="217" w:lineRule="auto"/>
            <w:ind w:left="1085"/>
          </w:pPr>
          <w:r>
            <w:rPr>
              <w:spacing w:val="-2"/>
            </w:rPr>
            <w:t>图表</w:t>
          </w:r>
          <w:r>
            <w:rPr>
              <w:spacing w:val="-42"/>
            </w:rPr>
            <w:t xml:space="preserve"> </w:t>
          </w:r>
          <w:r>
            <w:rPr>
              <w:spacing w:val="-2"/>
            </w:rPr>
            <w:t>9：</w:t>
          </w:r>
          <w:r>
            <w:rPr>
              <w:spacing w:val="-2"/>
            </w:rPr>
            <w:t xml:space="preserve"> </w:t>
          </w:r>
          <w:r>
            <w:rPr>
              <w:spacing w:val="-2"/>
            </w:rPr>
            <w:t>近一年个股收益率离散度</w:t>
          </w:r>
          <w:r>
            <w:rPr>
              <w:spacing w:val="-47"/>
            </w:rPr>
            <w:t xml:space="preserve"> </w:t>
          </w:r>
          <w:r>
            <w:tab/>
          </w:r>
          <w:r>
            <w:rPr>
              <w:spacing w:val="-53"/>
            </w:rPr>
            <w:t xml:space="preserve"> </w:t>
          </w:r>
          <w:hyperlink w:anchor="bookmark12" w:history="1">
            <w:r>
              <w:t>6</w:t>
            </w:r>
          </w:hyperlink>
        </w:p>
        <w:p>
          <w:pPr>
            <w:pStyle w:val="BodyText"/>
            <w:tabs>
              <w:tab w:val="right" w:leader="dot" w:pos="11294"/>
            </w:tabs>
            <w:spacing w:before="160" w:line="217" w:lineRule="auto"/>
            <w:ind w:left="1085"/>
          </w:pPr>
          <w:r>
            <w:rPr>
              <w:spacing w:val="-4"/>
            </w:rPr>
            <w:t>图表</w:t>
          </w:r>
          <w:r>
            <w:rPr>
              <w:spacing w:val="-15"/>
            </w:rPr>
            <w:t xml:space="preserve"> </w:t>
          </w:r>
          <w:r>
            <w:rPr>
              <w:spacing w:val="-4"/>
            </w:rPr>
            <w:t>10：</w:t>
          </w:r>
          <w:r>
            <w:rPr>
              <w:spacing w:val="-4"/>
            </w:rPr>
            <w:t xml:space="preserve"> </w:t>
          </w:r>
          <w:r>
            <w:rPr>
              <w:spacing w:val="-4"/>
            </w:rPr>
            <w:t>近一年行业轮动速度</w:t>
          </w:r>
          <w:r>
            <w:rPr>
              <w:spacing w:val="-47"/>
            </w:rPr>
            <w:t xml:space="preserve"> </w:t>
          </w:r>
          <w:r>
            <w:tab/>
          </w:r>
          <w:r>
            <w:rPr>
              <w:spacing w:val="-51"/>
            </w:rPr>
            <w:t xml:space="preserve"> </w:t>
          </w:r>
          <w:hyperlink w:anchor="bookmark13" w:history="1">
            <w:r>
              <w:t>7</w:t>
            </w:r>
          </w:hyperlink>
        </w:p>
        <w:p>
          <w:pPr>
            <w:pStyle w:val="BodyText"/>
            <w:tabs>
              <w:tab w:val="right" w:leader="dot" w:pos="11294"/>
            </w:tabs>
            <w:spacing w:before="157" w:line="216" w:lineRule="auto"/>
            <w:ind w:left="1085"/>
          </w:pPr>
          <w:r>
            <w:rPr>
              <w:spacing w:val="-2"/>
            </w:rPr>
            <w:t>图表</w:t>
          </w:r>
          <w:r>
            <w:rPr>
              <w:spacing w:val="-18"/>
            </w:rPr>
            <w:t xml:space="preserve"> </w:t>
          </w:r>
          <w:r>
            <w:rPr>
              <w:spacing w:val="-2"/>
            </w:rPr>
            <w:t>11：</w:t>
          </w:r>
          <w:r>
            <w:rPr>
              <w:spacing w:val="-2"/>
            </w:rPr>
            <w:t xml:space="preserve"> </w:t>
          </w:r>
          <w:r>
            <w:rPr>
              <w:spacing w:val="-2"/>
            </w:rPr>
            <w:t>近一月指数成分股与成分股外个股平均涨跌幅</w:t>
          </w:r>
          <w:r>
            <w:rPr>
              <w:spacing w:val="-49"/>
            </w:rPr>
            <w:t xml:space="preserve"> </w:t>
          </w:r>
          <w:r>
            <w:tab/>
          </w:r>
          <w:r>
            <w:rPr>
              <w:spacing w:val="-49"/>
            </w:rPr>
            <w:t xml:space="preserve"> </w:t>
          </w:r>
          <w:hyperlink w:anchor="bookmark14" w:history="1">
            <w:r>
              <w:t>7</w:t>
            </w:r>
          </w:hyperlink>
        </w:p>
        <w:p>
          <w:pPr>
            <w:pStyle w:val="BodyText"/>
            <w:tabs>
              <w:tab w:val="right" w:leader="dot" w:pos="11294"/>
            </w:tabs>
            <w:spacing w:before="160" w:line="218" w:lineRule="auto"/>
            <w:ind w:left="1085"/>
          </w:pPr>
          <w:r>
            <w:rPr>
              <w:spacing w:val="-6"/>
            </w:rPr>
            <w:t>图表</w:t>
          </w:r>
          <w:r>
            <w:rPr>
              <w:spacing w:val="-16"/>
            </w:rPr>
            <w:t xml:space="preserve"> </w:t>
          </w:r>
          <w:r>
            <w:rPr>
              <w:spacing w:val="-6"/>
            </w:rPr>
            <w:t>12：</w:t>
          </w:r>
          <w:r>
            <w:rPr>
              <w:spacing w:val="42"/>
            </w:rPr>
            <w:t xml:space="preserve"> </w:t>
          </w:r>
          <w:r>
            <w:rPr>
              <w:spacing w:val="-6"/>
            </w:rPr>
            <w:t>IF</w:t>
          </w:r>
          <w:r>
            <w:rPr>
              <w:spacing w:val="-37"/>
            </w:rPr>
            <w:t xml:space="preserve"> </w:t>
          </w:r>
          <w:r>
            <w:rPr>
              <w:spacing w:val="-6"/>
            </w:rPr>
            <w:t>远月、近月实时基差走势</w:t>
          </w:r>
          <w:r>
            <w:tab/>
          </w:r>
          <w:r>
            <w:rPr>
              <w:spacing w:val="-47"/>
            </w:rPr>
            <w:t xml:space="preserve"> </w:t>
          </w:r>
          <w:hyperlink w:anchor="bookmark15" w:history="1">
            <w:r>
              <w:t>7</w:t>
            </w:r>
          </w:hyperlink>
        </w:p>
        <w:p>
          <w:pPr>
            <w:pStyle w:val="BodyText"/>
            <w:tabs>
              <w:tab w:val="right" w:leader="dot" w:pos="11294"/>
            </w:tabs>
            <w:spacing w:before="157" w:line="217" w:lineRule="auto"/>
            <w:ind w:left="1085"/>
          </w:pPr>
          <w:r>
            <w:rPr>
              <w:spacing w:val="-5"/>
            </w:rPr>
            <w:t>图表</w:t>
          </w:r>
          <w:r>
            <w:rPr>
              <w:spacing w:val="-27"/>
            </w:rPr>
            <w:t xml:space="preserve"> </w:t>
          </w:r>
          <w:r>
            <w:rPr>
              <w:spacing w:val="-5"/>
            </w:rPr>
            <w:t>13：</w:t>
          </w:r>
          <w:r>
            <w:rPr>
              <w:spacing w:val="43"/>
            </w:rPr>
            <w:t xml:space="preserve"> </w:t>
          </w:r>
          <w:r>
            <w:rPr>
              <w:spacing w:val="-5"/>
            </w:rPr>
            <w:t>IF</w:t>
          </w:r>
          <w:r>
            <w:rPr>
              <w:spacing w:val="-39"/>
            </w:rPr>
            <w:t xml:space="preserve"> </w:t>
          </w:r>
          <w:r>
            <w:rPr>
              <w:spacing w:val="-5"/>
            </w:rPr>
            <w:t>跨期年化基差（加权）走势</w:t>
          </w:r>
          <w:r>
            <w:tab/>
          </w:r>
          <w:r>
            <w:rPr>
              <w:spacing w:val="-47"/>
            </w:rPr>
            <w:t xml:space="preserve"> </w:t>
          </w:r>
          <w:hyperlink w:anchor="bookmark16" w:history="1">
            <w:r>
              <w:t>7</w:t>
            </w:r>
          </w:hyperlink>
        </w:p>
        <w:p>
          <w:pPr>
            <w:pStyle w:val="BodyText"/>
            <w:tabs>
              <w:tab w:val="right" w:leader="dot" w:pos="11294"/>
            </w:tabs>
            <w:spacing w:before="159" w:line="218" w:lineRule="auto"/>
            <w:ind w:left="1085"/>
          </w:pPr>
          <w:r>
            <w:rPr>
              <w:spacing w:val="-6"/>
            </w:rPr>
            <w:t>图表</w:t>
          </w:r>
          <w:r>
            <w:rPr>
              <w:spacing w:val="-16"/>
            </w:rPr>
            <w:t xml:space="preserve"> </w:t>
          </w:r>
          <w:r>
            <w:rPr>
              <w:spacing w:val="-6"/>
            </w:rPr>
            <w:t>14：</w:t>
          </w:r>
          <w:r>
            <w:rPr>
              <w:spacing w:val="42"/>
            </w:rPr>
            <w:t xml:space="preserve"> </w:t>
          </w:r>
          <w:r>
            <w:rPr>
              <w:spacing w:val="-6"/>
            </w:rPr>
            <w:t>IC</w:t>
          </w:r>
          <w:r>
            <w:rPr>
              <w:spacing w:val="-37"/>
            </w:rPr>
            <w:t xml:space="preserve"> </w:t>
          </w:r>
          <w:r>
            <w:rPr>
              <w:spacing w:val="-6"/>
            </w:rPr>
            <w:t>远月、近月实时基差走势</w:t>
          </w:r>
          <w:r>
            <w:tab/>
          </w:r>
          <w:r>
            <w:rPr>
              <w:spacing w:val="-50"/>
            </w:rPr>
            <w:t xml:space="preserve"> </w:t>
          </w:r>
          <w:hyperlink w:anchor="bookmark17" w:history="1">
            <w:r>
              <w:t>8</w:t>
            </w:r>
          </w:hyperlink>
        </w:p>
        <w:p>
          <w:pPr>
            <w:pStyle w:val="BodyText"/>
            <w:tabs>
              <w:tab w:val="right" w:leader="dot" w:pos="11294"/>
            </w:tabs>
            <w:spacing w:before="157" w:line="217" w:lineRule="auto"/>
            <w:ind w:left="1085"/>
          </w:pPr>
          <w:r>
            <w:rPr>
              <w:spacing w:val="-5"/>
            </w:rPr>
            <w:t>图表</w:t>
          </w:r>
          <w:r>
            <w:rPr>
              <w:spacing w:val="-27"/>
            </w:rPr>
            <w:t xml:space="preserve"> </w:t>
          </w:r>
          <w:r>
            <w:rPr>
              <w:spacing w:val="-5"/>
            </w:rPr>
            <w:t>15：</w:t>
          </w:r>
          <w:r>
            <w:rPr>
              <w:spacing w:val="43"/>
            </w:rPr>
            <w:t xml:space="preserve"> </w:t>
          </w:r>
          <w:r>
            <w:rPr>
              <w:spacing w:val="-5"/>
            </w:rPr>
            <w:t>IC</w:t>
          </w:r>
          <w:r>
            <w:rPr>
              <w:spacing w:val="-39"/>
            </w:rPr>
            <w:t xml:space="preserve"> </w:t>
          </w:r>
          <w:r>
            <w:rPr>
              <w:spacing w:val="-5"/>
            </w:rPr>
            <w:t>跨期年化基差（加权）走势</w:t>
          </w:r>
          <w:r>
            <w:tab/>
          </w:r>
          <w:r>
            <w:rPr>
              <w:spacing w:val="-50"/>
            </w:rPr>
            <w:t xml:space="preserve"> </w:t>
          </w:r>
          <w:hyperlink w:anchor="bookmark18" w:history="1">
            <w:r>
              <w:t>8</w:t>
            </w:r>
          </w:hyperlink>
        </w:p>
        <w:p>
          <w:pPr>
            <w:pStyle w:val="BodyText"/>
            <w:tabs>
              <w:tab w:val="right" w:leader="dot" w:pos="11294"/>
            </w:tabs>
            <w:spacing w:before="159" w:line="218" w:lineRule="auto"/>
            <w:ind w:left="1085"/>
          </w:pPr>
          <w:r>
            <w:rPr>
              <w:spacing w:val="-6"/>
            </w:rPr>
            <w:t>图表</w:t>
          </w:r>
          <w:r>
            <w:rPr>
              <w:spacing w:val="-16"/>
            </w:rPr>
            <w:t xml:space="preserve"> </w:t>
          </w:r>
          <w:r>
            <w:rPr>
              <w:spacing w:val="-6"/>
            </w:rPr>
            <w:t>16：</w:t>
          </w:r>
          <w:r>
            <w:rPr>
              <w:spacing w:val="42"/>
            </w:rPr>
            <w:t xml:space="preserve"> </w:t>
          </w:r>
          <w:r>
            <w:rPr>
              <w:spacing w:val="-6"/>
            </w:rPr>
            <w:t>IM</w:t>
          </w:r>
          <w:r>
            <w:rPr>
              <w:spacing w:val="-37"/>
            </w:rPr>
            <w:t xml:space="preserve"> </w:t>
          </w:r>
          <w:r>
            <w:rPr>
              <w:spacing w:val="-6"/>
            </w:rPr>
            <w:t>远月、近月实时基差走势</w:t>
          </w:r>
          <w:r>
            <w:tab/>
          </w:r>
          <w:r>
            <w:rPr>
              <w:spacing w:val="-50"/>
            </w:rPr>
            <w:t xml:space="preserve"> </w:t>
          </w:r>
          <w:hyperlink w:anchor="bookmark19" w:history="1">
            <w:r>
              <w:t>8</w:t>
            </w:r>
          </w:hyperlink>
        </w:p>
        <w:p>
          <w:pPr>
            <w:pStyle w:val="BodyText"/>
            <w:tabs>
              <w:tab w:val="right" w:leader="dot" w:pos="11294"/>
            </w:tabs>
            <w:spacing w:before="157" w:line="217" w:lineRule="auto"/>
            <w:ind w:left="1085"/>
          </w:pPr>
          <w:r>
            <w:rPr>
              <w:spacing w:val="-5"/>
            </w:rPr>
            <w:t>图表</w:t>
          </w:r>
          <w:r>
            <w:rPr>
              <w:spacing w:val="-27"/>
            </w:rPr>
            <w:t xml:space="preserve"> </w:t>
          </w:r>
          <w:r>
            <w:rPr>
              <w:spacing w:val="-5"/>
            </w:rPr>
            <w:t>17：</w:t>
          </w:r>
          <w:r>
            <w:rPr>
              <w:spacing w:val="43"/>
            </w:rPr>
            <w:t xml:space="preserve"> </w:t>
          </w:r>
          <w:r>
            <w:rPr>
              <w:spacing w:val="-5"/>
            </w:rPr>
            <w:t>IM</w:t>
          </w:r>
          <w:r>
            <w:rPr>
              <w:spacing w:val="-39"/>
            </w:rPr>
            <w:t xml:space="preserve"> </w:t>
          </w:r>
          <w:r>
            <w:rPr>
              <w:spacing w:val="-5"/>
            </w:rPr>
            <w:t>跨期年化基差（加权）走势</w:t>
          </w:r>
          <w:r>
            <w:tab/>
          </w:r>
          <w:r>
            <w:rPr>
              <w:spacing w:val="-50"/>
            </w:rPr>
            <w:t xml:space="preserve"> </w:t>
          </w:r>
          <w:hyperlink w:anchor="bookmark20" w:history="1">
            <w:r>
              <w:t>8</w:t>
            </w:r>
          </w:hyperlink>
        </w:p>
        <w:p>
          <w:pPr>
            <w:pStyle w:val="BodyText"/>
            <w:tabs>
              <w:tab w:val="right" w:leader="dot" w:pos="11294"/>
            </w:tabs>
            <w:spacing w:before="160" w:line="217" w:lineRule="auto"/>
            <w:ind w:left="1085"/>
          </w:pPr>
          <w:r>
            <w:rPr>
              <w:spacing w:val="-6"/>
            </w:rPr>
            <w:t>图表</w:t>
          </w:r>
          <w:r>
            <w:rPr>
              <w:spacing w:val="-25"/>
            </w:rPr>
            <w:t xml:space="preserve"> </w:t>
          </w:r>
          <w:r>
            <w:rPr>
              <w:spacing w:val="-6"/>
            </w:rPr>
            <w:t>18：</w:t>
          </w:r>
          <w:r>
            <w:rPr>
              <w:spacing w:val="25"/>
            </w:rPr>
            <w:t xml:space="preserve"> </w:t>
          </w:r>
          <w:r>
            <w:rPr>
              <w:spacing w:val="-6"/>
            </w:rPr>
            <w:t>沪深</w:t>
          </w:r>
          <w:r>
            <w:rPr>
              <w:spacing w:val="-36"/>
            </w:rPr>
            <w:t xml:space="preserve"> </w:t>
          </w:r>
          <w:r>
            <w:rPr>
              <w:spacing w:val="-6"/>
            </w:rPr>
            <w:t>300</w:t>
          </w:r>
          <w:r>
            <w:rPr>
              <w:spacing w:val="-40"/>
            </w:rPr>
            <w:t xml:space="preserve"> </w:t>
          </w:r>
          <w:r>
            <w:rPr>
              <w:spacing w:val="-6"/>
            </w:rPr>
            <w:t>风险溢价率</w:t>
          </w:r>
          <w:r>
            <w:rPr>
              <w:spacing w:val="-61"/>
            </w:rPr>
            <w:t xml:space="preserve"> </w:t>
          </w:r>
          <w:r>
            <w:tab/>
          </w:r>
          <w:r>
            <w:rPr>
              <w:spacing w:val="-58"/>
            </w:rPr>
            <w:t xml:space="preserve"> </w:t>
          </w:r>
          <w:hyperlink w:anchor="bookmark21" w:history="1">
            <w:r>
              <w:t>9</w:t>
            </w:r>
          </w:hyperlink>
        </w:p>
        <w:p>
          <w:pPr>
            <w:pStyle w:val="BodyText"/>
            <w:tabs>
              <w:tab w:val="right" w:leader="dot" w:pos="11294"/>
            </w:tabs>
            <w:spacing w:before="158" w:line="217" w:lineRule="auto"/>
            <w:ind w:left="1085"/>
          </w:pPr>
          <w:r>
            <w:rPr>
              <w:spacing w:val="-7"/>
            </w:rPr>
            <w:t>图表</w:t>
          </w:r>
          <w:r>
            <w:rPr>
              <w:spacing w:val="-13"/>
            </w:rPr>
            <w:t xml:space="preserve"> </w:t>
          </w:r>
          <w:r>
            <w:rPr>
              <w:spacing w:val="-7"/>
            </w:rPr>
            <w:t>19：</w:t>
          </w:r>
          <w:r>
            <w:rPr>
              <w:spacing w:val="33"/>
            </w:rPr>
            <w:t xml:space="preserve"> </w:t>
          </w:r>
          <w:r>
            <w:rPr>
              <w:spacing w:val="-7"/>
            </w:rPr>
            <w:t>中证</w:t>
          </w:r>
          <w:r>
            <w:rPr>
              <w:spacing w:val="-41"/>
            </w:rPr>
            <w:t xml:space="preserve"> </w:t>
          </w:r>
          <w:r>
            <w:rPr>
              <w:spacing w:val="-7"/>
            </w:rPr>
            <w:t>500</w:t>
          </w:r>
          <w:r>
            <w:rPr>
              <w:spacing w:val="-40"/>
            </w:rPr>
            <w:t xml:space="preserve"> </w:t>
          </w:r>
          <w:r>
            <w:rPr>
              <w:spacing w:val="-7"/>
            </w:rPr>
            <w:t>风险溢价率</w:t>
          </w:r>
          <w:r>
            <w:rPr>
              <w:spacing w:val="-61"/>
            </w:rPr>
            <w:t xml:space="preserve"> </w:t>
          </w:r>
          <w:r>
            <w:tab/>
          </w:r>
          <w:r>
            <w:rPr>
              <w:spacing w:val="-58"/>
            </w:rPr>
            <w:t xml:space="preserve"> </w:t>
          </w:r>
          <w:hyperlink w:anchor="bookmark22" w:history="1">
            <w:r>
              <w:t>9</w:t>
            </w:r>
          </w:hyperlink>
        </w:p>
        <w:p>
          <w:pPr>
            <w:pStyle w:val="BodyText"/>
            <w:tabs>
              <w:tab w:val="right" w:leader="dot" w:pos="11294"/>
            </w:tabs>
            <w:spacing w:before="158" w:line="217" w:lineRule="auto"/>
            <w:ind w:left="1085"/>
          </w:pPr>
          <w:r>
            <w:rPr>
              <w:spacing w:val="-6"/>
            </w:rPr>
            <w:t>图表</w:t>
          </w:r>
          <w:r>
            <w:rPr>
              <w:spacing w:val="-38"/>
            </w:rPr>
            <w:t xml:space="preserve"> </w:t>
          </w:r>
          <w:r>
            <w:rPr>
              <w:spacing w:val="-6"/>
            </w:rPr>
            <w:t>20：</w:t>
          </w:r>
          <w:r>
            <w:rPr>
              <w:spacing w:val="34"/>
            </w:rPr>
            <w:t xml:space="preserve"> </w:t>
          </w:r>
          <w:r>
            <w:rPr>
              <w:spacing w:val="-6"/>
            </w:rPr>
            <w:t>中证</w:t>
          </w:r>
          <w:r>
            <w:rPr>
              <w:spacing w:val="-26"/>
            </w:rPr>
            <w:t xml:space="preserve"> </w:t>
          </w:r>
          <w:r>
            <w:rPr>
              <w:spacing w:val="-6"/>
            </w:rPr>
            <w:t>1000</w:t>
          </w:r>
          <w:r>
            <w:rPr>
              <w:spacing w:val="-40"/>
            </w:rPr>
            <w:t xml:space="preserve"> </w:t>
          </w:r>
          <w:r>
            <w:rPr>
              <w:spacing w:val="-6"/>
            </w:rPr>
            <w:t>风险溢价率</w:t>
          </w:r>
          <w:r>
            <w:rPr>
              <w:spacing w:val="-60"/>
            </w:rPr>
            <w:t xml:space="preserve"> </w:t>
          </w:r>
          <w:r>
            <w:tab/>
          </w:r>
          <w:r>
            <w:rPr>
              <w:spacing w:val="-58"/>
            </w:rPr>
            <w:t xml:space="preserve"> </w:t>
          </w:r>
          <w:hyperlink w:anchor="bookmark23" w:history="1">
            <w:r>
              <w:t>9</w:t>
            </w:r>
          </w:hyperlink>
        </w:p>
        <w:p>
          <w:pPr>
            <w:pStyle w:val="BodyText"/>
            <w:tabs>
              <w:tab w:val="right" w:leader="dot" w:pos="11294"/>
            </w:tabs>
            <w:spacing w:before="159" w:line="215" w:lineRule="auto"/>
            <w:ind w:left="1085"/>
          </w:pPr>
          <w:r>
            <w:rPr>
              <w:spacing w:val="-2"/>
            </w:rPr>
            <w:t>图表</w:t>
          </w:r>
          <w:r>
            <w:rPr>
              <w:spacing w:val="-38"/>
            </w:rPr>
            <w:t xml:space="preserve"> </w:t>
          </w:r>
          <w:r>
            <w:rPr>
              <w:spacing w:val="-2"/>
            </w:rPr>
            <w:t>21：</w:t>
          </w:r>
          <w:r>
            <w:rPr>
              <w:spacing w:val="-2"/>
            </w:rPr>
            <w:t xml:space="preserve"> </w:t>
          </w:r>
          <w:r>
            <w:rPr>
              <w:spacing w:val="-2"/>
            </w:rPr>
            <w:t>股票量化策略运行环境分析</w:t>
          </w:r>
          <w:r>
            <w:rPr>
              <w:spacing w:val="-47"/>
            </w:rPr>
            <w:t xml:space="preserve"> </w:t>
          </w:r>
          <w:r>
            <w:tab/>
          </w:r>
          <w:r>
            <w:rPr>
              <w:spacing w:val="-38"/>
            </w:rPr>
            <w:t xml:space="preserve"> </w:t>
          </w:r>
          <w:hyperlink w:anchor="bookmark24" w:history="1">
            <w:r>
              <w:rPr>
                <w:spacing w:val="-5"/>
              </w:rPr>
              <w:t>10</w:t>
            </w:r>
          </w:hyperlink>
        </w:p>
        <w:p>
          <w:pPr>
            <w:pStyle w:val="BodyText"/>
            <w:tabs>
              <w:tab w:val="right" w:leader="dot" w:pos="11294"/>
            </w:tabs>
            <w:spacing w:before="160" w:line="215" w:lineRule="auto"/>
            <w:ind w:left="1085"/>
          </w:pPr>
          <w:r>
            <w:rPr>
              <w:spacing w:val="-3"/>
            </w:rPr>
            <w:t>图表</w:t>
          </w:r>
          <w:r>
            <w:rPr>
              <w:spacing w:val="-27"/>
            </w:rPr>
            <w:t xml:space="preserve"> </w:t>
          </w:r>
          <w:r>
            <w:rPr>
              <w:spacing w:val="-3"/>
            </w:rPr>
            <w:t>22：</w:t>
          </w:r>
          <w:r>
            <w:rPr>
              <w:spacing w:val="-3"/>
            </w:rPr>
            <w:t xml:space="preserve"> </w:t>
          </w:r>
          <w:r>
            <w:rPr>
              <w:spacing w:val="-3"/>
            </w:rPr>
            <w:t>股票量化策略业绩走势</w:t>
          </w:r>
          <w:r>
            <w:rPr>
              <w:spacing w:val="-46"/>
            </w:rPr>
            <w:t xml:space="preserve"> </w:t>
          </w:r>
          <w:r>
            <w:tab/>
          </w:r>
          <w:r>
            <w:rPr>
              <w:spacing w:val="-42"/>
            </w:rPr>
            <w:t xml:space="preserve"> </w:t>
          </w:r>
          <w:hyperlink w:anchor="bookmark25" w:history="1">
            <w:r>
              <w:rPr>
                <w:spacing w:val="-5"/>
              </w:rPr>
              <w:t>11</w:t>
            </w:r>
          </w:hyperlink>
        </w:p>
        <w:p>
          <w:pPr>
            <w:pStyle w:val="BodyText"/>
            <w:tabs>
              <w:tab w:val="right" w:leader="dot" w:pos="11294"/>
            </w:tabs>
            <w:spacing w:before="161" w:line="216" w:lineRule="auto"/>
            <w:ind w:left="1085"/>
          </w:pPr>
          <w:r>
            <w:rPr>
              <w:spacing w:val="-2"/>
            </w:rPr>
            <w:t>图表</w:t>
          </w:r>
          <w:r>
            <w:rPr>
              <w:spacing w:val="-30"/>
            </w:rPr>
            <w:t xml:space="preserve"> </w:t>
          </w:r>
          <w:r>
            <w:rPr>
              <w:spacing w:val="-2"/>
            </w:rPr>
            <w:t>23：</w:t>
          </w:r>
          <w:r>
            <w:rPr>
              <w:spacing w:val="-2"/>
            </w:rPr>
            <w:t xml:space="preserve"> </w:t>
          </w:r>
          <w:r>
            <w:rPr>
              <w:spacing w:val="-2"/>
            </w:rPr>
            <w:t>各子策略近半年各月平均收益表现</w:t>
          </w:r>
          <w:r>
            <w:rPr>
              <w:spacing w:val="-48"/>
            </w:rPr>
            <w:t xml:space="preserve"> </w:t>
          </w:r>
          <w:r>
            <w:tab/>
          </w:r>
          <w:r>
            <w:rPr>
              <w:spacing w:val="-38"/>
            </w:rPr>
            <w:t xml:space="preserve"> </w:t>
          </w:r>
          <w:hyperlink w:anchor="bookmark26" w:history="1">
            <w:r>
              <w:rPr>
                <w:spacing w:val="-5"/>
              </w:rPr>
              <w:t>11</w:t>
            </w:r>
          </w:hyperlink>
        </w:p>
        <w:p>
          <w:pPr>
            <w:pStyle w:val="BodyText"/>
            <w:tabs>
              <w:tab w:val="right" w:leader="dot" w:pos="11294"/>
            </w:tabs>
            <w:spacing w:before="160" w:line="216" w:lineRule="auto"/>
            <w:ind w:left="1085"/>
            <w:sectPr>
              <w:headerReference w:type="default" r:id="rId9"/>
              <w:footerReference w:type="default" r:id="rId10"/>
              <w:pgSz w:w="11910" w:h="16845"/>
              <w:pgMar w:top="1058" w:right="0" w:bottom="495" w:left="0" w:header="487" w:footer="15" w:gutter="0"/>
              <w:pgNumType w:start="4"/>
              <w:cols w:space="708"/>
            </w:sectPr>
          </w:pPr>
          <w:r>
            <w:rPr>
              <w:spacing w:val="-4"/>
            </w:rPr>
            <w:t>图表</w:t>
          </w:r>
          <w:r>
            <w:rPr>
              <w:spacing w:val="-25"/>
            </w:rPr>
            <w:t xml:space="preserve"> </w:t>
          </w:r>
          <w:r>
            <w:rPr>
              <w:spacing w:val="-4"/>
            </w:rPr>
            <w:t>24：</w:t>
          </w:r>
          <w:r>
            <w:rPr>
              <w:spacing w:val="33"/>
            </w:rPr>
            <w:t xml:space="preserve"> </w:t>
          </w:r>
          <w:r>
            <w:rPr>
              <w:spacing w:val="-4"/>
            </w:rPr>
            <w:t>中证</w:t>
          </w:r>
          <w:r>
            <w:rPr>
              <w:spacing w:val="-41"/>
            </w:rPr>
            <w:t xml:space="preserve"> </w:t>
          </w:r>
          <w:r>
            <w:rPr>
              <w:spacing w:val="-4"/>
            </w:rPr>
            <w:t>500</w:t>
          </w:r>
          <w:r>
            <w:rPr>
              <w:spacing w:val="-32"/>
            </w:rPr>
            <w:t xml:space="preserve"> </w:t>
          </w:r>
          <w:r>
            <w:rPr>
              <w:spacing w:val="-4"/>
            </w:rPr>
            <w:t>指数增强策略月度超额收益表现</w:t>
          </w:r>
          <w:r>
            <w:rPr>
              <w:spacing w:val="-63"/>
            </w:rPr>
            <w:t xml:space="preserve"> </w:t>
          </w:r>
          <w:r>
            <w:tab/>
          </w:r>
          <w:r>
            <w:rPr>
              <w:spacing w:val="-39"/>
            </w:rPr>
            <w:t xml:space="preserve"> </w:t>
          </w:r>
          <w:hyperlink w:anchor="bookmark27" w:history="1">
            <w:r>
              <w:rPr>
                <w:spacing w:val="-5"/>
              </w:rPr>
              <w:t>12</w:t>
            </w:r>
          </w:hyperlink>
        </w:p>
      </w:sdtContent>
    </w:sdt>
    <w:sdt>
      <w:sdtPr>
        <w:rPr>
          <w:rFonts w:ascii="KaiTi" w:eastAsia="KaiTi" w:hAnsi="KaiTi" w:cs="KaiTi"/>
          <w:sz w:val="36"/>
          <w:szCs w:val="36"/>
        </w:rPr>
        <w:id w:val="2106011043"/>
        <w:docPartObj>
          <w:docPartGallery w:val="Table of Contents"/>
          <w:docPartUnique/>
        </w:docPartObj>
      </w:sdtPr>
      <w:sdtEndPr>
        <w:rPr>
          <w:rFonts w:ascii="KaiTi" w:eastAsia="KaiTi" w:hAnsi="KaiTi" w:cs="KaiTi"/>
          <w:sz w:val="21"/>
          <w:szCs w:val="21"/>
        </w:rPr>
      </w:sdtEndPr>
      <w:sdtContent>
        <w:p>
          <w:pPr>
            <w:pStyle w:val="BodyText"/>
            <w:tabs>
              <w:tab w:val="right" w:leader="dot" w:pos="11294"/>
            </w:tabs>
            <w:spacing w:before="160" w:line="216" w:lineRule="auto"/>
            <w:ind w:left="1085"/>
          </w:pPr>
          <w:r>
            <w:rPr>
              <w:spacing w:val="-4"/>
            </w:rPr>
            <w:t>图表</w:t>
          </w:r>
          <w:r>
            <w:rPr>
              <w:spacing w:val="-22"/>
            </w:rPr>
            <w:t xml:space="preserve"> </w:t>
          </w:r>
          <w:r>
            <w:rPr>
              <w:spacing w:val="-4"/>
            </w:rPr>
            <w:t>25：</w:t>
          </w:r>
          <w:r>
            <w:rPr>
              <w:spacing w:val="25"/>
            </w:rPr>
            <w:t xml:space="preserve"> </w:t>
          </w:r>
          <w:r>
            <w:rPr>
              <w:spacing w:val="-4"/>
            </w:rPr>
            <w:t>沪深</w:t>
          </w:r>
          <w:r>
            <w:rPr>
              <w:spacing w:val="-36"/>
            </w:rPr>
            <w:t xml:space="preserve"> </w:t>
          </w:r>
          <w:r>
            <w:rPr>
              <w:spacing w:val="-4"/>
            </w:rPr>
            <w:t>300</w:t>
          </w:r>
          <w:r>
            <w:rPr>
              <w:spacing w:val="-32"/>
            </w:rPr>
            <w:t xml:space="preserve"> </w:t>
          </w:r>
          <w:r>
            <w:rPr>
              <w:spacing w:val="-4"/>
            </w:rPr>
            <w:t>指数增强策略月度超额收益表现</w:t>
          </w:r>
          <w:r>
            <w:rPr>
              <w:spacing w:val="-63"/>
            </w:rPr>
            <w:t xml:space="preserve"> </w:t>
          </w:r>
          <w:r>
            <w:tab/>
          </w:r>
          <w:r>
            <w:rPr>
              <w:spacing w:val="-39"/>
            </w:rPr>
            <w:t xml:space="preserve"> </w:t>
          </w:r>
          <w:hyperlink w:anchor="bookmark28" w:history="1">
            <w:r>
              <w:rPr>
                <w:spacing w:val="-5"/>
              </w:rPr>
              <w:t>13</w:t>
            </w:r>
          </w:hyperlink>
        </w:p>
        <w:p>
          <w:pPr>
            <w:pStyle w:val="BodyText"/>
            <w:tabs>
              <w:tab w:val="right" w:leader="dot" w:pos="11294"/>
            </w:tabs>
            <w:spacing w:before="174" w:line="216" w:lineRule="auto"/>
            <w:ind w:left="1085"/>
          </w:pPr>
          <w:r>
            <w:rPr>
              <w:spacing w:val="-4"/>
            </w:rPr>
            <w:t>图表</w:t>
          </w:r>
          <w:r>
            <w:rPr>
              <w:spacing w:val="-37"/>
            </w:rPr>
            <w:t xml:space="preserve"> </w:t>
          </w:r>
          <w:r>
            <w:rPr>
              <w:spacing w:val="-4"/>
            </w:rPr>
            <w:t>26：</w:t>
          </w:r>
          <w:r>
            <w:rPr>
              <w:spacing w:val="34"/>
            </w:rPr>
            <w:t xml:space="preserve"> </w:t>
          </w:r>
          <w:r>
            <w:rPr>
              <w:spacing w:val="-4"/>
            </w:rPr>
            <w:t>中证</w:t>
          </w:r>
          <w:r>
            <w:rPr>
              <w:spacing w:val="-26"/>
            </w:rPr>
            <w:t xml:space="preserve"> </w:t>
          </w:r>
          <w:r>
            <w:rPr>
              <w:spacing w:val="-4"/>
            </w:rPr>
            <w:t>1000</w:t>
          </w:r>
          <w:r>
            <w:rPr>
              <w:spacing w:val="-32"/>
            </w:rPr>
            <w:t xml:space="preserve"> </w:t>
          </w:r>
          <w:r>
            <w:rPr>
              <w:spacing w:val="-4"/>
            </w:rPr>
            <w:t>指数增强策略月度超额收益表现</w:t>
          </w:r>
          <w:r>
            <w:rPr>
              <w:spacing w:val="-63"/>
            </w:rPr>
            <w:t xml:space="preserve"> </w:t>
          </w:r>
          <w:r>
            <w:tab/>
          </w:r>
          <w:r>
            <w:rPr>
              <w:spacing w:val="-39"/>
            </w:rPr>
            <w:t xml:space="preserve"> </w:t>
          </w:r>
          <w:hyperlink w:anchor="bookmark29" w:history="1">
            <w:r>
              <w:rPr>
                <w:spacing w:val="-5"/>
              </w:rPr>
              <w:t>13</w:t>
            </w:r>
          </w:hyperlink>
        </w:p>
      </w:sdtContent>
    </w:sdt>
    <w:p>
      <w:pPr>
        <w:spacing w:line="216" w:lineRule="auto"/>
        <w:sectPr>
          <w:headerReference w:type="default" r:id="rId11"/>
          <w:footerReference w:type="default" r:id="rId12"/>
          <w:type w:val="nextPage"/>
          <w:pgSz w:w="11910" w:h="16845"/>
          <w:pgMar w:top="1058" w:right="0" w:bottom="495" w:left="0" w:header="487" w:footer="15" w:gutter="0"/>
          <w:pgNumType w:start="5"/>
          <w:cols w:space="708"/>
          <w:titlePg w:val="0"/>
        </w:sectPr>
      </w:pPr>
    </w:p>
    <w:p>
      <w:pPr>
        <w:spacing w:line="416" w:lineRule="auto"/>
        <w:rPr>
          <w:rFonts w:ascii="Arial"/>
          <w:sz w:val="21"/>
        </w:rPr>
      </w:pPr>
    </w:p>
    <w:sdt>
      <w:sdtPr>
        <w:rPr>
          <w:rFonts w:ascii="KaiTi" w:eastAsia="KaiTi" w:hAnsi="KaiTi" w:cs="KaiTi"/>
          <w:sz w:val="21"/>
          <w:szCs w:val="21"/>
        </w:rPr>
        <w:id w:val="1171167906"/>
        <w:docPartObj>
          <w:docPartGallery w:val="Table of Contents"/>
          <w:docPartUnique/>
        </w:docPartObj>
      </w:sdtPr>
      <w:sdtEndPr>
        <w:rPr>
          <w:rFonts w:ascii="KaiTi" w:eastAsia="KaiTi" w:hAnsi="KaiTi" w:cs="KaiTi"/>
          <w:sz w:val="21"/>
          <w:szCs w:val="21"/>
        </w:rPr>
      </w:sdtEndPr>
      <w:sdtContent>
        <w:p>
          <w:pPr>
            <w:pStyle w:val="BodyText"/>
            <w:tabs>
              <w:tab w:val="right" w:leader="dot" w:pos="11294"/>
            </w:tabs>
            <w:spacing w:before="69" w:line="215" w:lineRule="auto"/>
            <w:ind w:left="1085"/>
          </w:pPr>
          <w:r>
            <w:rPr>
              <w:spacing w:val="-2"/>
            </w:rPr>
            <w:t>图表</w:t>
          </w:r>
          <w:r>
            <w:rPr>
              <w:spacing w:val="-28"/>
            </w:rPr>
            <w:t xml:space="preserve"> </w:t>
          </w:r>
          <w:r>
            <w:rPr>
              <w:spacing w:val="-2"/>
            </w:rPr>
            <w:t>27：</w:t>
          </w:r>
          <w:r>
            <w:rPr>
              <w:spacing w:val="-2"/>
            </w:rPr>
            <w:t xml:space="preserve"> </w:t>
          </w:r>
          <w:r>
            <w:rPr>
              <w:spacing w:val="-2"/>
            </w:rPr>
            <w:t>近一年沪深</w:t>
          </w:r>
          <w:r>
            <w:rPr>
              <w:spacing w:val="-37"/>
            </w:rPr>
            <w:t xml:space="preserve"> </w:t>
          </w:r>
          <w:r>
            <w:rPr>
              <w:spacing w:val="-2"/>
            </w:rPr>
            <w:t>300</w:t>
          </w:r>
          <w:r>
            <w:rPr>
              <w:spacing w:val="-32"/>
            </w:rPr>
            <w:t xml:space="preserve"> </w:t>
          </w:r>
          <w:r>
            <w:rPr>
              <w:spacing w:val="-2"/>
            </w:rPr>
            <w:t>指数增强策略产品周度超额收益相关性</w:t>
          </w:r>
          <w:r>
            <w:rPr>
              <w:spacing w:val="-64"/>
            </w:rPr>
            <w:t xml:space="preserve"> </w:t>
          </w:r>
          <w:r>
            <w:tab/>
          </w:r>
          <w:r>
            <w:rPr>
              <w:spacing w:val="-41"/>
            </w:rPr>
            <w:t xml:space="preserve"> </w:t>
          </w:r>
          <w:hyperlink w:anchor="bookmark30" w:history="1">
            <w:r>
              <w:rPr>
                <w:spacing w:val="-5"/>
              </w:rPr>
              <w:t>13</w:t>
            </w:r>
          </w:hyperlink>
        </w:p>
        <w:p>
          <w:pPr>
            <w:pStyle w:val="BodyText"/>
            <w:tabs>
              <w:tab w:val="right" w:leader="dot" w:pos="11294"/>
            </w:tabs>
            <w:spacing w:before="160" w:line="215" w:lineRule="auto"/>
            <w:ind w:left="1085"/>
          </w:pPr>
          <w:r>
            <w:rPr>
              <w:spacing w:val="-2"/>
            </w:rPr>
            <w:t>图表</w:t>
          </w:r>
          <w:r>
            <w:rPr>
              <w:spacing w:val="-23"/>
            </w:rPr>
            <w:t xml:space="preserve"> </w:t>
          </w:r>
          <w:r>
            <w:rPr>
              <w:spacing w:val="-2"/>
            </w:rPr>
            <w:t>28：</w:t>
          </w:r>
          <w:r>
            <w:rPr>
              <w:spacing w:val="-2"/>
            </w:rPr>
            <w:t xml:space="preserve"> </w:t>
          </w:r>
          <w:r>
            <w:rPr>
              <w:spacing w:val="-2"/>
            </w:rPr>
            <w:t>近一年中证</w:t>
          </w:r>
          <w:r>
            <w:rPr>
              <w:spacing w:val="-42"/>
            </w:rPr>
            <w:t xml:space="preserve"> </w:t>
          </w:r>
          <w:r>
            <w:rPr>
              <w:spacing w:val="-2"/>
            </w:rPr>
            <w:t>500</w:t>
          </w:r>
          <w:r>
            <w:rPr>
              <w:spacing w:val="-32"/>
            </w:rPr>
            <w:t xml:space="preserve"> </w:t>
          </w:r>
          <w:r>
            <w:rPr>
              <w:spacing w:val="-2"/>
            </w:rPr>
            <w:t>指数增强策略产品周度超额收益相关性</w:t>
          </w:r>
          <w:r>
            <w:rPr>
              <w:spacing w:val="-64"/>
            </w:rPr>
            <w:t xml:space="preserve"> </w:t>
          </w:r>
          <w:r>
            <w:tab/>
          </w:r>
          <w:r>
            <w:rPr>
              <w:spacing w:val="-41"/>
            </w:rPr>
            <w:t xml:space="preserve"> </w:t>
          </w:r>
          <w:hyperlink w:anchor="bookmark31" w:history="1">
            <w:r>
              <w:rPr>
                <w:spacing w:val="-5"/>
              </w:rPr>
              <w:t>14</w:t>
            </w:r>
          </w:hyperlink>
        </w:p>
        <w:p>
          <w:pPr>
            <w:pStyle w:val="BodyText"/>
            <w:tabs>
              <w:tab w:val="right" w:leader="dot" w:pos="11294"/>
            </w:tabs>
            <w:spacing w:before="160" w:line="215" w:lineRule="auto"/>
            <w:ind w:left="1085"/>
          </w:pPr>
          <w:r>
            <w:rPr>
              <w:spacing w:val="-2"/>
            </w:rPr>
            <w:t>图表</w:t>
          </w:r>
          <w:r>
            <w:rPr>
              <w:spacing w:val="-36"/>
            </w:rPr>
            <w:t xml:space="preserve"> </w:t>
          </w:r>
          <w:r>
            <w:rPr>
              <w:spacing w:val="-2"/>
            </w:rPr>
            <w:t>29：</w:t>
          </w:r>
          <w:r>
            <w:rPr>
              <w:spacing w:val="-2"/>
            </w:rPr>
            <w:t xml:space="preserve"> </w:t>
          </w:r>
          <w:r>
            <w:rPr>
              <w:spacing w:val="-2"/>
            </w:rPr>
            <w:t>近一年中证</w:t>
          </w:r>
          <w:r>
            <w:rPr>
              <w:spacing w:val="-27"/>
            </w:rPr>
            <w:t xml:space="preserve"> </w:t>
          </w:r>
          <w:r>
            <w:rPr>
              <w:spacing w:val="-2"/>
            </w:rPr>
            <w:t>1000</w:t>
          </w:r>
          <w:r>
            <w:rPr>
              <w:spacing w:val="-32"/>
            </w:rPr>
            <w:t xml:space="preserve"> </w:t>
          </w:r>
          <w:r>
            <w:rPr>
              <w:spacing w:val="-2"/>
            </w:rPr>
            <w:t>指数增强策略产品周度超额收益相关性</w:t>
          </w:r>
          <w:r>
            <w:rPr>
              <w:spacing w:val="-63"/>
            </w:rPr>
            <w:t xml:space="preserve"> </w:t>
          </w:r>
          <w:r>
            <w:tab/>
          </w:r>
          <w:r>
            <w:rPr>
              <w:spacing w:val="-41"/>
            </w:rPr>
            <w:t xml:space="preserve"> </w:t>
          </w:r>
          <w:hyperlink w:anchor="bookmark32" w:history="1">
            <w:r>
              <w:rPr>
                <w:spacing w:val="-5"/>
              </w:rPr>
              <w:t>14</w:t>
            </w:r>
          </w:hyperlink>
        </w:p>
        <w:p>
          <w:pPr>
            <w:pStyle w:val="BodyText"/>
            <w:tabs>
              <w:tab w:val="right" w:leader="dot" w:pos="11294"/>
            </w:tabs>
            <w:spacing w:before="159" w:line="214" w:lineRule="auto"/>
            <w:ind w:left="1085"/>
          </w:pPr>
          <w:r>
            <w:rPr>
              <w:spacing w:val="-6"/>
            </w:rPr>
            <w:t>图表</w:t>
          </w:r>
          <w:r>
            <w:rPr>
              <w:spacing w:val="-30"/>
            </w:rPr>
            <w:t xml:space="preserve"> </w:t>
          </w:r>
          <w:r>
            <w:rPr>
              <w:spacing w:val="-6"/>
            </w:rPr>
            <w:t>30：</w:t>
          </w:r>
          <w:r>
            <w:rPr>
              <w:spacing w:val="-6"/>
            </w:rPr>
            <w:t xml:space="preserve"> </w:t>
          </w:r>
          <w:r>
            <w:rPr>
              <w:spacing w:val="-6"/>
            </w:rPr>
            <w:t>近一年沪深</w:t>
          </w:r>
          <w:r>
            <w:rPr>
              <w:spacing w:val="-37"/>
            </w:rPr>
            <w:t xml:space="preserve"> </w:t>
          </w:r>
          <w:r>
            <w:rPr>
              <w:spacing w:val="-6"/>
            </w:rPr>
            <w:t>300</w:t>
          </w:r>
          <w:r>
            <w:rPr>
              <w:spacing w:val="-32"/>
            </w:rPr>
            <w:t xml:space="preserve"> </w:t>
          </w:r>
          <w:r>
            <w:rPr>
              <w:spacing w:val="-6"/>
            </w:rPr>
            <w:t>指数增强策略产品最大负超额（周度）</w:t>
          </w:r>
          <w:r>
            <w:rPr>
              <w:spacing w:val="62"/>
            </w:rPr>
            <w:t xml:space="preserve"> </w:t>
          </w:r>
          <w:r>
            <w:tab/>
          </w:r>
          <w:r>
            <w:rPr>
              <w:spacing w:val="-41"/>
            </w:rPr>
            <w:t xml:space="preserve"> </w:t>
          </w:r>
          <w:hyperlink w:anchor="bookmark33" w:history="1">
            <w:r>
              <w:rPr>
                <w:spacing w:val="-5"/>
              </w:rPr>
              <w:t>15</w:t>
            </w:r>
          </w:hyperlink>
        </w:p>
        <w:p>
          <w:pPr>
            <w:pStyle w:val="BodyText"/>
            <w:tabs>
              <w:tab w:val="right" w:leader="dot" w:pos="11294"/>
            </w:tabs>
            <w:spacing w:before="162" w:line="214" w:lineRule="auto"/>
            <w:ind w:left="1085"/>
          </w:pPr>
          <w:r>
            <w:rPr>
              <w:spacing w:val="-6"/>
            </w:rPr>
            <w:t>图表</w:t>
          </w:r>
          <w:r>
            <w:rPr>
              <w:spacing w:val="-25"/>
            </w:rPr>
            <w:t xml:space="preserve"> </w:t>
          </w:r>
          <w:r>
            <w:rPr>
              <w:spacing w:val="-6"/>
            </w:rPr>
            <w:t>31：</w:t>
          </w:r>
          <w:r>
            <w:rPr>
              <w:spacing w:val="-6"/>
            </w:rPr>
            <w:t xml:space="preserve"> </w:t>
          </w:r>
          <w:r>
            <w:rPr>
              <w:spacing w:val="-6"/>
            </w:rPr>
            <w:t>近一年中证</w:t>
          </w:r>
          <w:r>
            <w:rPr>
              <w:spacing w:val="-42"/>
            </w:rPr>
            <w:t xml:space="preserve"> </w:t>
          </w:r>
          <w:r>
            <w:rPr>
              <w:spacing w:val="-6"/>
            </w:rPr>
            <w:t>500</w:t>
          </w:r>
          <w:r>
            <w:rPr>
              <w:spacing w:val="-32"/>
            </w:rPr>
            <w:t xml:space="preserve"> </w:t>
          </w:r>
          <w:r>
            <w:rPr>
              <w:spacing w:val="-6"/>
            </w:rPr>
            <w:t>指数增强策略产品最大负超额（周度）</w:t>
          </w:r>
          <w:r>
            <w:rPr>
              <w:spacing w:val="62"/>
            </w:rPr>
            <w:t xml:space="preserve"> </w:t>
          </w:r>
          <w:r>
            <w:tab/>
          </w:r>
          <w:r>
            <w:rPr>
              <w:spacing w:val="-41"/>
            </w:rPr>
            <w:t xml:space="preserve"> </w:t>
          </w:r>
          <w:hyperlink w:anchor="bookmark34" w:history="1">
            <w:r>
              <w:rPr>
                <w:spacing w:val="-5"/>
              </w:rPr>
              <w:t>15</w:t>
            </w:r>
          </w:hyperlink>
        </w:p>
        <w:p>
          <w:pPr>
            <w:pStyle w:val="BodyText"/>
            <w:tabs>
              <w:tab w:val="right" w:leader="dot" w:pos="11294"/>
            </w:tabs>
            <w:spacing w:before="162" w:line="214" w:lineRule="auto"/>
            <w:ind w:left="1085"/>
          </w:pPr>
          <w:r>
            <w:rPr>
              <w:spacing w:val="-6"/>
            </w:rPr>
            <w:t>图表</w:t>
          </w:r>
          <w:r>
            <w:rPr>
              <w:spacing w:val="-35"/>
            </w:rPr>
            <w:t xml:space="preserve"> </w:t>
          </w:r>
          <w:r>
            <w:rPr>
              <w:spacing w:val="-6"/>
            </w:rPr>
            <w:t>32：</w:t>
          </w:r>
          <w:r>
            <w:rPr>
              <w:spacing w:val="-6"/>
            </w:rPr>
            <w:t xml:space="preserve"> </w:t>
          </w:r>
          <w:r>
            <w:rPr>
              <w:spacing w:val="-6"/>
            </w:rPr>
            <w:t>近一年中证</w:t>
          </w:r>
          <w:r>
            <w:rPr>
              <w:spacing w:val="-26"/>
            </w:rPr>
            <w:t xml:space="preserve"> </w:t>
          </w:r>
          <w:r>
            <w:rPr>
              <w:spacing w:val="-6"/>
            </w:rPr>
            <w:t>1000</w:t>
          </w:r>
          <w:r>
            <w:rPr>
              <w:spacing w:val="-33"/>
            </w:rPr>
            <w:t xml:space="preserve"> </w:t>
          </w:r>
          <w:r>
            <w:rPr>
              <w:spacing w:val="-6"/>
            </w:rPr>
            <w:t>指数增强策略产品最大负超额（周度）</w:t>
          </w:r>
          <w:r>
            <w:rPr>
              <w:spacing w:val="64"/>
            </w:rPr>
            <w:t xml:space="preserve"> </w:t>
          </w:r>
          <w:r>
            <w:tab/>
          </w:r>
          <w:r>
            <w:rPr>
              <w:spacing w:val="-41"/>
            </w:rPr>
            <w:t xml:space="preserve"> </w:t>
          </w:r>
          <w:hyperlink w:anchor="bookmark35" w:history="1">
            <w:r>
              <w:rPr>
                <w:spacing w:val="-5"/>
              </w:rPr>
              <w:t>16</w:t>
            </w:r>
          </w:hyperlink>
        </w:p>
        <w:p>
          <w:pPr>
            <w:pStyle w:val="BodyText"/>
            <w:tabs>
              <w:tab w:val="right" w:leader="dot" w:pos="11294"/>
            </w:tabs>
            <w:spacing w:before="162" w:line="217" w:lineRule="auto"/>
            <w:ind w:left="1085"/>
          </w:pPr>
          <w:r>
            <w:rPr>
              <w:spacing w:val="-2"/>
            </w:rPr>
            <w:t>图表</w:t>
          </w:r>
          <w:r>
            <w:rPr>
              <w:spacing w:val="-37"/>
            </w:rPr>
            <w:t xml:space="preserve"> </w:t>
          </w:r>
          <w:r>
            <w:rPr>
              <w:spacing w:val="-2"/>
            </w:rPr>
            <w:t>33：</w:t>
          </w:r>
          <w:r>
            <w:rPr>
              <w:spacing w:val="-2"/>
            </w:rPr>
            <w:t xml:space="preserve"> </w:t>
          </w:r>
          <w:r>
            <w:rPr>
              <w:spacing w:val="-2"/>
            </w:rPr>
            <w:t>部分优秀私募近期业绩表现</w:t>
          </w:r>
          <w:r>
            <w:rPr>
              <w:spacing w:val="-48"/>
            </w:rPr>
            <w:t xml:space="preserve"> </w:t>
          </w:r>
          <w:r>
            <w:tab/>
          </w:r>
          <w:r>
            <w:rPr>
              <w:spacing w:val="-38"/>
            </w:rPr>
            <w:t xml:space="preserve"> </w:t>
          </w:r>
          <w:hyperlink w:anchor="bookmark36" w:history="1">
            <w:r>
              <w:rPr>
                <w:spacing w:val="-5"/>
              </w:rPr>
              <w:t>16</w:t>
            </w:r>
          </w:hyperlink>
        </w:p>
      </w:sdtContent>
    </w:sdt>
    <w:p>
      <w:pPr>
        <w:spacing w:line="217" w:lineRule="auto"/>
        <w:sectPr>
          <w:headerReference w:type="default" r:id="rId13"/>
          <w:footerReference w:type="default" r:id="rId14"/>
          <w:pgSz w:w="11910" w:h="16845"/>
          <w:pgMar w:top="1058" w:right="0" w:bottom="495" w:left="0" w:header="487" w:footer="15" w:gutter="0"/>
          <w:pgNumType w:start="6"/>
          <w:cols w:space="708"/>
        </w:sectPr>
      </w:pPr>
    </w:p>
    <w:p>
      <w:pPr>
        <w:spacing w:line="323" w:lineRule="auto"/>
        <w:rPr>
          <w:rFonts w:ascii="Arial"/>
          <w:sz w:val="21"/>
        </w:rPr>
      </w:pPr>
    </w:p>
    <w:p>
      <w:pPr>
        <w:spacing w:before="103" w:line="193" w:lineRule="auto"/>
        <w:ind w:left="3184"/>
        <w:rPr>
          <w:rFonts w:ascii="Microsoft YaHei" w:eastAsia="Microsoft YaHei" w:hAnsi="Microsoft YaHei" w:cs="Microsoft YaHei"/>
          <w:sz w:val="24"/>
          <w:szCs w:val="24"/>
        </w:rPr>
      </w:pPr>
      <w:bookmarkStart w:id="0" w:name="bookmark1"/>
      <w:bookmarkEnd w:id="0"/>
      <w:bookmarkStart w:id="1" w:name="bookmark2"/>
      <w:bookmarkEnd w:id="1"/>
      <w:bookmarkStart w:id="2" w:name="bookmark3"/>
      <w:bookmarkEnd w:id="2"/>
      <w:r>
        <w:rPr>
          <w:rFonts w:ascii="Microsoft YaHei" w:eastAsia="Microsoft YaHei" w:hAnsi="Microsoft YaHei" w:cs="Microsoft YaHei"/>
          <w:b/>
          <w:bCs/>
          <w:color w:val="004A70"/>
          <w:sz w:val="24"/>
          <w:szCs w:val="24"/>
        </w:rPr>
        <w:t>第一部分：股票量化策略投资前瞻</w:t>
      </w:r>
    </w:p>
    <w:p>
      <w:pPr>
        <w:pStyle w:val="BodyText"/>
        <w:spacing w:before="223" w:line="219" w:lineRule="auto"/>
        <w:ind w:left="3189"/>
      </w:pPr>
      <w:r>
        <w:rPr>
          <w:spacing w:val="3"/>
          <w14:textOutline w14:w="3810">
            <w14:solidFill>
              <w14:srgbClr w14:val="000000"/>
            </w14:solidFill>
            <w14:prstDash w14:val="solid"/>
            <w14:miter w14:lim="10"/>
          </w14:textOutline>
        </w:rPr>
        <w:t>基础市场回顾：</w:t>
      </w:r>
    </w:p>
    <w:p>
      <w:pPr>
        <w:pStyle w:val="BodyText"/>
        <w:spacing w:before="128" w:line="211" w:lineRule="auto"/>
        <w:ind w:left="3188" w:right="585" w:firstLine="1"/>
        <w:jc w:val="both"/>
      </w:pPr>
      <w:r>
        <w:rPr>
          <w:spacing w:val="-11"/>
        </w:rPr>
        <w:t>2024</w:t>
      </w:r>
      <w:r>
        <w:rPr>
          <w:spacing w:val="-35"/>
        </w:rPr>
        <w:t xml:space="preserve"> </w:t>
      </w:r>
      <w:r>
        <w:rPr>
          <w:spacing w:val="-11"/>
        </w:rPr>
        <w:t>年</w:t>
      </w:r>
      <w:r>
        <w:rPr>
          <w:spacing w:val="-26"/>
        </w:rPr>
        <w:t xml:space="preserve"> </w:t>
      </w:r>
      <w:r>
        <w:rPr>
          <w:spacing w:val="-11"/>
        </w:rPr>
        <w:t>1</w:t>
      </w:r>
      <w:r>
        <w:rPr>
          <w:spacing w:val="-27"/>
        </w:rPr>
        <w:t xml:space="preserve"> </w:t>
      </w:r>
      <w:r>
        <w:rPr>
          <w:spacing w:val="-11"/>
        </w:rPr>
        <w:t>月以来，</w:t>
      </w:r>
      <w:r>
        <w:rPr>
          <w:spacing w:val="-39"/>
        </w:rPr>
        <w:t xml:space="preserve"> </w:t>
      </w:r>
      <w:r>
        <w:rPr>
          <w:spacing w:val="-11"/>
        </w:rPr>
        <w:t>A</w:t>
      </w:r>
      <w:r>
        <w:rPr>
          <w:spacing w:val="-41"/>
        </w:rPr>
        <w:t xml:space="preserve"> </w:t>
      </w:r>
      <w:r>
        <w:rPr>
          <w:spacing w:val="-11"/>
        </w:rPr>
        <w:t>股出现了明显破位，</w:t>
      </w:r>
      <w:r>
        <w:rPr>
          <w:spacing w:val="20"/>
        </w:rPr>
        <w:t xml:space="preserve"> </w:t>
      </w:r>
      <w:r>
        <w:rPr>
          <w:spacing w:val="-11"/>
        </w:rPr>
        <w:t>在</w:t>
      </w:r>
      <w:r>
        <w:rPr>
          <w:spacing w:val="-12"/>
        </w:rPr>
        <w:t>市场悲观情绪释放和爆发的影响下，</w:t>
      </w:r>
      <w:r>
        <w:rPr>
          <w:spacing w:val="27"/>
        </w:rPr>
        <w:t xml:space="preserve"> </w:t>
      </w:r>
      <w:r>
        <w:rPr>
          <w:spacing w:val="-12"/>
        </w:rPr>
        <w:t>指数进入</w:t>
      </w:r>
      <w:r>
        <w:t xml:space="preserve"> </w:t>
      </w:r>
      <w:r>
        <w:rPr>
          <w:spacing w:val="-2"/>
        </w:rPr>
        <w:t>恐慌式下跌区间，尽管上证指数和沪深</w:t>
      </w:r>
      <w:r>
        <w:rPr>
          <w:spacing w:val="-28"/>
        </w:rPr>
        <w:t xml:space="preserve"> </w:t>
      </w:r>
      <w:r>
        <w:rPr>
          <w:spacing w:val="-2"/>
        </w:rPr>
        <w:t>300</w:t>
      </w:r>
      <w:r>
        <w:rPr>
          <w:spacing w:val="-41"/>
        </w:rPr>
        <w:t xml:space="preserve"> </w:t>
      </w:r>
      <w:r>
        <w:rPr>
          <w:spacing w:val="-2"/>
        </w:rPr>
        <w:t>跌幅仅逾</w:t>
      </w:r>
      <w:r>
        <w:rPr>
          <w:spacing w:val="-39"/>
        </w:rPr>
        <w:t xml:space="preserve"> </w:t>
      </w:r>
      <w:r>
        <w:rPr>
          <w:spacing w:val="-2"/>
        </w:rPr>
        <w:t>6%，但中证</w:t>
      </w:r>
      <w:r>
        <w:rPr>
          <w:spacing w:val="-33"/>
        </w:rPr>
        <w:t xml:space="preserve"> </w:t>
      </w:r>
      <w:r>
        <w:rPr>
          <w:spacing w:val="-2"/>
        </w:rPr>
        <w:t>500、中证</w:t>
      </w:r>
      <w:r>
        <w:rPr>
          <w:spacing w:val="-2"/>
        </w:rPr>
        <w:t xml:space="preserve"> </w:t>
      </w:r>
      <w:r>
        <w:rPr>
          <w:spacing w:val="-2"/>
        </w:rPr>
        <w:t>1000</w:t>
      </w:r>
      <w:r>
        <w:rPr>
          <w:spacing w:val="-37"/>
        </w:rPr>
        <w:t xml:space="preserve"> </w:t>
      </w:r>
      <w:r>
        <w:rPr>
          <w:spacing w:val="-2"/>
        </w:rPr>
        <w:t>及创业</w:t>
      </w:r>
      <w:r>
        <w:t xml:space="preserve"> </w:t>
      </w:r>
      <w:r>
        <w:rPr>
          <w:spacing w:val="-7"/>
        </w:rPr>
        <w:t>板指数均创下</w:t>
      </w:r>
      <w:r>
        <w:rPr>
          <w:spacing w:val="-30"/>
        </w:rPr>
        <w:t xml:space="preserve"> </w:t>
      </w:r>
      <w:r>
        <w:rPr>
          <w:spacing w:val="-7"/>
        </w:rPr>
        <w:t>2016</w:t>
      </w:r>
      <w:r>
        <w:rPr>
          <w:spacing w:val="-35"/>
        </w:rPr>
        <w:t xml:space="preserve"> </w:t>
      </w:r>
      <w:r>
        <w:rPr>
          <w:spacing w:val="-7"/>
        </w:rPr>
        <w:t>年</w:t>
      </w:r>
      <w:r>
        <w:rPr>
          <w:spacing w:val="-41"/>
        </w:rPr>
        <w:t xml:space="preserve"> </w:t>
      </w:r>
      <w:r>
        <w:rPr>
          <w:spacing w:val="-7"/>
        </w:rPr>
        <w:t>1</w:t>
      </w:r>
      <w:r>
        <w:rPr>
          <w:spacing w:val="-27"/>
        </w:rPr>
        <w:t xml:space="preserve"> </w:t>
      </w:r>
      <w:r>
        <w:rPr>
          <w:spacing w:val="-7"/>
        </w:rPr>
        <w:t>月熔断以来最大单月跌幅，</w:t>
      </w:r>
      <w:r>
        <w:rPr>
          <w:spacing w:val="-34"/>
        </w:rPr>
        <w:t xml:space="preserve"> </w:t>
      </w:r>
      <w:r>
        <w:rPr>
          <w:spacing w:val="-7"/>
        </w:rPr>
        <w:t>其中中证</w:t>
      </w:r>
      <w:r>
        <w:rPr>
          <w:spacing w:val="-29"/>
        </w:rPr>
        <w:t xml:space="preserve"> </w:t>
      </w:r>
      <w:r>
        <w:rPr>
          <w:spacing w:val="-7"/>
        </w:rPr>
        <w:t>1000</w:t>
      </w:r>
      <w:r>
        <w:rPr>
          <w:spacing w:val="-37"/>
        </w:rPr>
        <w:t xml:space="preserve"> </w:t>
      </w:r>
      <w:r>
        <w:rPr>
          <w:spacing w:val="-7"/>
        </w:rPr>
        <w:t>及创业板指</w:t>
      </w:r>
      <w:r>
        <w:rPr>
          <w:spacing w:val="-27"/>
        </w:rPr>
        <w:t xml:space="preserve"> </w:t>
      </w:r>
      <w:r>
        <w:rPr>
          <w:spacing w:val="-7"/>
        </w:rPr>
        <w:t>1</w:t>
      </w:r>
      <w:r>
        <w:rPr>
          <w:spacing w:val="-26"/>
        </w:rPr>
        <w:t xml:space="preserve"> </w:t>
      </w:r>
      <w:r>
        <w:rPr>
          <w:spacing w:val="-7"/>
        </w:rPr>
        <w:t>月跌幅超</w:t>
      </w:r>
      <w:r>
        <w:t xml:space="preserve"> </w:t>
      </w:r>
      <w:r>
        <w:rPr>
          <w:spacing w:val="-5"/>
        </w:rPr>
        <w:t>过</w:t>
      </w:r>
      <w:r>
        <w:rPr>
          <w:spacing w:val="-19"/>
        </w:rPr>
        <w:t xml:space="preserve"> </w:t>
      </w:r>
      <w:r>
        <w:rPr>
          <w:spacing w:val="-5"/>
        </w:rPr>
        <w:t>15%。行业方面，根据申万一级行业分类，</w:t>
      </w:r>
      <w:r>
        <w:rPr>
          <w:spacing w:val="60"/>
        </w:rPr>
        <w:t xml:space="preserve"> </w:t>
      </w:r>
      <w:r>
        <w:rPr>
          <w:spacing w:val="-5"/>
        </w:rPr>
        <w:t>1</w:t>
      </w:r>
      <w:r>
        <w:rPr>
          <w:spacing w:val="-26"/>
        </w:rPr>
        <w:t xml:space="preserve"> </w:t>
      </w:r>
      <w:r>
        <w:rPr>
          <w:spacing w:val="-5"/>
        </w:rPr>
        <w:t>月仅煤炭、银行两个板块上涨，跌幅超过</w:t>
      </w:r>
      <w:r>
        <w:t xml:space="preserve"> </w:t>
      </w:r>
      <w:r>
        <w:t>10%的行业占比超</w:t>
      </w:r>
      <w:r>
        <w:rPr>
          <w:spacing w:val="-39"/>
        </w:rPr>
        <w:t xml:space="preserve"> </w:t>
      </w:r>
      <w:r>
        <w:t>6</w:t>
      </w:r>
      <w:r>
        <w:rPr>
          <w:spacing w:val="-35"/>
        </w:rPr>
        <w:t xml:space="preserve"> </w:t>
      </w:r>
      <w:r>
        <w:t>成，其中电子、计算机、国防军工等板块</w:t>
      </w:r>
      <w:r>
        <w:rPr>
          <w:spacing w:val="-1"/>
        </w:rPr>
        <w:t>跌幅居前，跌幅均超</w:t>
      </w:r>
      <w:r>
        <w:rPr>
          <w:spacing w:val="-44"/>
        </w:rPr>
        <w:t xml:space="preserve"> </w:t>
      </w:r>
      <w:r>
        <w:rPr>
          <w:spacing w:val="-1"/>
        </w:rPr>
        <w:t>20%。</w:t>
      </w:r>
    </w:p>
    <w:p>
      <w:pPr>
        <w:pStyle w:val="BodyText"/>
        <w:spacing w:before="161" w:line="213" w:lineRule="auto"/>
        <w:ind w:left="653"/>
        <w:rPr>
          <w:sz w:val="20"/>
          <w:szCs w:val="20"/>
        </w:rPr>
      </w:pPr>
      <w:r>
        <w:rPr>
          <w:i/>
          <w:iCs/>
          <w:spacing w:val="6"/>
          <w:sz w:val="20"/>
          <w:szCs w:val="20"/>
          <w14:textOutline w14:w="3537">
            <w14:solidFill>
              <w14:srgbClr w14:val="000000"/>
            </w14:solidFill>
            <w14:prstDash w14:val="solid"/>
            <w14:miter w14:lim="10"/>
          </w14:textOutline>
        </w:rPr>
        <w:t>图表1：近一年股市重要指数月度涨跌幅</w:t>
      </w:r>
      <w:r>
        <w:rPr>
          <w:spacing w:val="6"/>
          <w:sz w:val="20"/>
          <w:szCs w:val="20"/>
        </w:rPr>
        <w:t xml:space="preserve">          </w:t>
      </w:r>
      <w:r>
        <w:rPr>
          <w:spacing w:val="5"/>
          <w:sz w:val="20"/>
          <w:szCs w:val="20"/>
        </w:rPr>
        <w:t xml:space="preserve">        </w:t>
      </w:r>
      <w:r>
        <w:rPr>
          <w:i/>
          <w:iCs/>
          <w:spacing w:val="5"/>
          <w:sz w:val="20"/>
          <w:szCs w:val="20"/>
          <w14:textOutline w14:w="3537">
            <w14:solidFill>
              <w14:srgbClr w14:val="000000"/>
            </w14:solidFill>
            <w14:prstDash w14:val="solid"/>
            <w14:miter w14:lim="10"/>
          </w14:textOutline>
        </w:rPr>
        <w:t>图表2：近一月各行业板块涨跌情况</w:t>
      </w:r>
    </w:p>
    <w:p>
      <w:pPr>
        <w:spacing w:before="27" w:line="3453" w:lineRule="exact"/>
        <w:ind w:firstLine="630"/>
      </w:pPr>
      <w:r>
        <w:rPr>
          <w:position w:val="-69"/>
        </w:rPr>
        <w:drawing>
          <wp:inline distT="0" distB="0" distL="0" distR="0">
            <wp:extent cx="6828535" cy="219278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6828535" cy="2192782"/>
                    </a:xfrm>
                    <a:prstGeom prst="rect">
                      <a:avLst/>
                    </a:prstGeom>
                  </pic:spPr>
                </pic:pic>
              </a:graphicData>
            </a:graphic>
          </wp:inline>
        </w:drawing>
      </w:r>
    </w:p>
    <w:p>
      <w:pPr>
        <w:pStyle w:val="BodyText"/>
        <w:spacing w:before="81" w:line="212" w:lineRule="auto"/>
        <w:ind w:left="6135"/>
        <w:rPr>
          <w:sz w:val="15"/>
          <w:szCs w:val="15"/>
        </w:rPr>
      </w:pPr>
      <w:r>
        <w:pict>
          <v:shapetype id="_x0000_t202" coordsize="21600,21600" o:spt="202" path="m,l,21600r21600,l21600,xe">
            <v:stroke joinstyle="miter"/>
            <v:path gradientshapeok="t" o:connecttype="rect"/>
          </v:shapetype>
          <v:shape id="_x0000_s1026" type="#_x0000_t202" style="width:99.25pt;height:10.65pt;margin-top:3.09pt;margin-left:30.9pt;position:absolute;z-index:251659264"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211" w:line="216" w:lineRule="auto"/>
        <w:ind w:left="3191"/>
      </w:pPr>
      <w:r>
        <w:rPr>
          <w:spacing w:val="2"/>
          <w14:textOutline w14:w="3810">
            <w14:solidFill>
              <w14:srgbClr w14:val="000000"/>
            </w14:solidFill>
            <w14:prstDash w14:val="solid"/>
            <w14:miter w14:lim="10"/>
          </w14:textOutline>
        </w:rPr>
        <w:t>量化策略投资环境：</w:t>
      </w:r>
    </w:p>
    <w:p>
      <w:pPr>
        <w:pStyle w:val="BodyText"/>
        <w:spacing w:before="134" w:line="211" w:lineRule="auto"/>
        <w:ind w:left="3188" w:right="583" w:firstLine="6"/>
      </w:pPr>
      <w:r>
        <w:rPr>
          <w:spacing w:val="-4"/>
        </w:rPr>
        <w:t>通过对因子收益不稳定程度的追踪指标，</w:t>
      </w:r>
      <w:r>
        <w:rPr>
          <w:spacing w:val="-33"/>
        </w:rPr>
        <w:t xml:space="preserve"> </w:t>
      </w:r>
      <w:r>
        <w:rPr>
          <w:spacing w:val="-4"/>
        </w:rPr>
        <w:t>衡量因子的稳定程度或对刻化量化策略运作的市</w:t>
      </w:r>
      <w:r>
        <w:t xml:space="preserve"> </w:t>
      </w:r>
      <w:r>
        <w:rPr>
          <w:spacing w:val="-2"/>
        </w:rPr>
        <w:t>场环境具有一定的意义。追踪范围选取成长、动量、价值、情绪、质量、收益及风险等类</w:t>
      </w:r>
      <w:r>
        <w:rPr>
          <w:spacing w:val="2"/>
        </w:rPr>
        <w:t xml:space="preserve"> </w:t>
      </w:r>
      <w:r>
        <w:rPr>
          <w:spacing w:val="-5"/>
        </w:rPr>
        <w:t>别下的</w:t>
      </w:r>
      <w:r>
        <w:rPr>
          <w:spacing w:val="-32"/>
        </w:rPr>
        <w:t xml:space="preserve"> </w:t>
      </w:r>
      <w:r>
        <w:rPr>
          <w:spacing w:val="-5"/>
        </w:rPr>
        <w:t>37</w:t>
      </w:r>
      <w:r>
        <w:rPr>
          <w:spacing w:val="-40"/>
        </w:rPr>
        <w:t xml:space="preserve"> </w:t>
      </w:r>
      <w:r>
        <w:rPr>
          <w:spacing w:val="-5"/>
        </w:rPr>
        <w:t>个三级因子：</w:t>
      </w:r>
      <w:r>
        <w:rPr>
          <w:spacing w:val="57"/>
        </w:rPr>
        <w:t xml:space="preserve"> </w:t>
      </w:r>
      <w:r>
        <w:rPr>
          <w:spacing w:val="-5"/>
        </w:rPr>
        <w:t>1）评估单个因子收益序列时序稳定程度（滚动</w:t>
      </w:r>
      <w:r>
        <w:rPr>
          <w:spacing w:val="-24"/>
        </w:rPr>
        <w:t xml:space="preserve"> </w:t>
      </w:r>
      <w:r>
        <w:rPr>
          <w:spacing w:val="-5"/>
        </w:rPr>
        <w:t>60</w:t>
      </w:r>
      <w:r>
        <w:rPr>
          <w:spacing w:val="-40"/>
        </w:rPr>
        <w:t xml:space="preserve"> </w:t>
      </w:r>
      <w:r>
        <w:rPr>
          <w:spacing w:val="-5"/>
        </w:rPr>
        <w:t>个交易日的标</w:t>
      </w:r>
      <w:r>
        <w:t xml:space="preserve"> </w:t>
      </w:r>
      <w:r>
        <w:rPr>
          <w:spacing w:val="-3"/>
        </w:rPr>
        <w:t>准差</w:t>
      </w:r>
      <w:r>
        <w:rPr>
          <w:spacing w:val="-40"/>
          <w:w w:val="87"/>
        </w:rPr>
        <w:t>），</w:t>
      </w:r>
      <w:r>
        <w:rPr>
          <w:spacing w:val="-3"/>
        </w:rPr>
        <w:t>2）每个交易日将单个因子的滚动标准差与回看</w:t>
      </w:r>
      <w:r>
        <w:rPr>
          <w:spacing w:val="-37"/>
        </w:rPr>
        <w:t xml:space="preserve"> </w:t>
      </w:r>
      <w:r>
        <w:rPr>
          <w:spacing w:val="-3"/>
        </w:rPr>
        <w:t>60</w:t>
      </w:r>
      <w:r>
        <w:rPr>
          <w:spacing w:val="-3"/>
        </w:rPr>
        <w:t xml:space="preserve"> </w:t>
      </w:r>
      <w:r>
        <w:rPr>
          <w:spacing w:val="-3"/>
        </w:rPr>
        <w:t>日滚动标准差的</w:t>
      </w:r>
      <w:r>
        <w:rPr>
          <w:spacing w:val="-44"/>
        </w:rPr>
        <w:t xml:space="preserve"> </w:t>
      </w:r>
      <w:r>
        <w:rPr>
          <w:spacing w:val="-3"/>
        </w:rPr>
        <w:t>90</w:t>
      </w:r>
      <w:r>
        <w:rPr>
          <w:spacing w:val="-34"/>
        </w:rPr>
        <w:t xml:space="preserve"> </w:t>
      </w:r>
      <w:r>
        <w:rPr>
          <w:spacing w:val="-3"/>
        </w:rPr>
        <w:t>分位数进行</w:t>
      </w:r>
      <w:r>
        <w:t xml:space="preserve"> </w:t>
      </w:r>
      <w:r>
        <w:rPr>
          <w:spacing w:val="-4"/>
        </w:rPr>
        <w:t>对比，</w:t>
      </w:r>
      <w:r>
        <w:rPr>
          <w:spacing w:val="-4"/>
        </w:rPr>
        <w:t xml:space="preserve"> </w:t>
      </w:r>
      <w:r>
        <w:rPr>
          <w:spacing w:val="-4"/>
        </w:rPr>
        <w:t>3）统计样本因子中每个交易日滚动标准差大于自身回看</w:t>
      </w:r>
      <w:r>
        <w:rPr>
          <w:spacing w:val="-27"/>
        </w:rPr>
        <w:t xml:space="preserve"> </w:t>
      </w:r>
      <w:r>
        <w:rPr>
          <w:spacing w:val="-4"/>
        </w:rPr>
        <w:t>60</w:t>
      </w:r>
      <w:r>
        <w:rPr>
          <w:spacing w:val="-4"/>
        </w:rPr>
        <w:t xml:space="preserve"> </w:t>
      </w:r>
      <w:r>
        <w:rPr>
          <w:spacing w:val="-4"/>
        </w:rPr>
        <w:t>日滚</w:t>
      </w:r>
      <w:r>
        <w:rPr>
          <w:spacing w:val="-5"/>
        </w:rPr>
        <w:t>动标准差的</w:t>
      </w:r>
      <w:r>
        <w:rPr>
          <w:spacing w:val="-43"/>
        </w:rPr>
        <w:t xml:space="preserve"> </w:t>
      </w:r>
      <w:r>
        <w:rPr>
          <w:spacing w:val="-5"/>
        </w:rPr>
        <w:t>90</w:t>
      </w:r>
      <w:r>
        <w:rPr>
          <w:spacing w:val="-35"/>
        </w:rPr>
        <w:t xml:space="preserve"> </w:t>
      </w:r>
      <w:r>
        <w:rPr>
          <w:spacing w:val="-5"/>
        </w:rPr>
        <w:t>分</w:t>
      </w:r>
      <w:r>
        <w:t xml:space="preserve"> </w:t>
      </w:r>
      <w:r>
        <w:rPr>
          <w:spacing w:val="-5"/>
        </w:rPr>
        <w:t>位数的因子个数。当多数因子收益波动同时加大时，</w:t>
      </w:r>
      <w:r>
        <w:rPr>
          <w:spacing w:val="-5"/>
        </w:rPr>
        <w:t xml:space="preserve"> </w:t>
      </w:r>
      <w:r>
        <w:rPr>
          <w:spacing w:val="-5"/>
        </w:rPr>
        <w:t>可以合理推测市场或进入风格切换频</w:t>
      </w:r>
      <w:r>
        <w:rPr>
          <w:spacing w:val="17"/>
        </w:rPr>
        <w:t xml:space="preserve"> </w:t>
      </w:r>
      <w:r>
        <w:t>繁、紊乱的市场环境中。从</w:t>
      </w:r>
      <w:r>
        <w:rPr>
          <w:spacing w:val="-25"/>
        </w:rPr>
        <w:t xml:space="preserve"> </w:t>
      </w:r>
      <w:r>
        <w:t>2021</w:t>
      </w:r>
      <w:r>
        <w:rPr>
          <w:spacing w:val="-21"/>
        </w:rPr>
        <w:t xml:space="preserve"> </w:t>
      </w:r>
      <w:r>
        <w:t>年以来的两次市场风格切换来看，约有超过</w:t>
      </w:r>
      <w:r>
        <w:rPr>
          <w:spacing w:val="-34"/>
        </w:rPr>
        <w:t xml:space="preserve"> </w:t>
      </w:r>
      <w:r>
        <w:t>4</w:t>
      </w:r>
      <w:r>
        <w:rPr>
          <w:spacing w:val="-1"/>
        </w:rPr>
        <w:t>0%的因子</w:t>
      </w:r>
      <w:r>
        <w:t xml:space="preserve"> </w:t>
      </w:r>
      <w:r>
        <w:rPr>
          <w:spacing w:val="-3"/>
        </w:rPr>
        <w:t>出现较大波动时，指数增强策略的超额稳定性可能会受到影响。</w:t>
      </w:r>
      <w:r>
        <w:rPr>
          <w:spacing w:val="39"/>
        </w:rPr>
        <w:t xml:space="preserve"> </w:t>
      </w:r>
      <w:r>
        <w:rPr>
          <w:spacing w:val="-3"/>
        </w:rPr>
        <w:t>2021</w:t>
      </w:r>
      <w:r>
        <w:rPr>
          <w:spacing w:val="-3"/>
        </w:rPr>
        <w:t xml:space="preserve"> </w:t>
      </w:r>
      <w:r>
        <w:rPr>
          <w:spacing w:val="-3"/>
        </w:rPr>
        <w:t>年春节后随抱团股</w:t>
      </w:r>
      <w:r>
        <w:t xml:space="preserve"> </w:t>
      </w:r>
      <w:r>
        <w:rPr>
          <w:spacing w:val="1"/>
        </w:rPr>
        <w:t>瓦解，不稳定因子数量快速上升并达到峰值</w:t>
      </w:r>
      <w:r>
        <w:t>，</w:t>
      </w:r>
      <w:r>
        <w:t xml:space="preserve"> </w:t>
      </w:r>
      <w:r>
        <w:t>从同区间指数增强策略超额（以中证</w:t>
      </w:r>
      <w:r>
        <w:t xml:space="preserve"> </w:t>
      </w:r>
      <w:r>
        <w:t>500</w:t>
      </w:r>
      <w:r>
        <w:t xml:space="preserve"> </w:t>
      </w:r>
      <w:r>
        <w:rPr>
          <w:spacing w:val="-5"/>
        </w:rPr>
        <w:t>指增策略行业超额表现为代表）表现来看，2021</w:t>
      </w:r>
      <w:r>
        <w:rPr>
          <w:spacing w:val="-35"/>
        </w:rPr>
        <w:t xml:space="preserve"> </w:t>
      </w:r>
      <w:r>
        <w:rPr>
          <w:spacing w:val="-5"/>
        </w:rPr>
        <w:t>年</w:t>
      </w:r>
      <w:r>
        <w:rPr>
          <w:spacing w:val="-37"/>
        </w:rPr>
        <w:t xml:space="preserve"> </w:t>
      </w:r>
      <w:r>
        <w:rPr>
          <w:spacing w:val="-5"/>
        </w:rPr>
        <w:t>2-4</w:t>
      </w:r>
      <w:r>
        <w:rPr>
          <w:spacing w:val="-27"/>
        </w:rPr>
        <w:t xml:space="preserve"> </w:t>
      </w:r>
      <w:r>
        <w:rPr>
          <w:spacing w:val="-5"/>
        </w:rPr>
        <w:t>月虽仍有超额，但整体表现平平，</w:t>
      </w:r>
      <w:r>
        <w:t xml:space="preserve"> </w:t>
      </w:r>
      <w:r>
        <w:rPr>
          <w:spacing w:val="-8"/>
        </w:rPr>
        <w:t>如果以周为单位来看，</w:t>
      </w:r>
      <w:r>
        <w:rPr>
          <w:spacing w:val="23"/>
        </w:rPr>
        <w:t xml:space="preserve"> </w:t>
      </w:r>
      <w:r>
        <w:rPr>
          <w:spacing w:val="-8"/>
        </w:rPr>
        <w:t>期间超额波动明显加大。</w:t>
      </w:r>
      <w:r>
        <w:rPr>
          <w:spacing w:val="-9"/>
        </w:rPr>
        <w:t>2021</w:t>
      </w:r>
      <w:r>
        <w:rPr>
          <w:spacing w:val="-35"/>
        </w:rPr>
        <w:t xml:space="preserve"> </w:t>
      </w:r>
      <w:r>
        <w:rPr>
          <w:spacing w:val="-9"/>
        </w:rPr>
        <w:t>年</w:t>
      </w:r>
      <w:r>
        <w:rPr>
          <w:spacing w:val="-43"/>
        </w:rPr>
        <w:t xml:space="preserve"> </w:t>
      </w:r>
      <w:r>
        <w:rPr>
          <w:spacing w:val="-9"/>
        </w:rPr>
        <w:t>9</w:t>
      </w:r>
      <w:r>
        <w:rPr>
          <w:spacing w:val="-26"/>
        </w:rPr>
        <w:t xml:space="preserve"> </w:t>
      </w:r>
      <w:r>
        <w:rPr>
          <w:spacing w:val="-9"/>
        </w:rPr>
        <w:t>月开始，</w:t>
      </w:r>
      <w:r>
        <w:rPr>
          <w:spacing w:val="-9"/>
        </w:rPr>
        <w:t xml:space="preserve"> </w:t>
      </w:r>
      <w:r>
        <w:rPr>
          <w:spacing w:val="-9"/>
        </w:rPr>
        <w:t>6-8</w:t>
      </w:r>
      <w:r>
        <w:rPr>
          <w:spacing w:val="-27"/>
        </w:rPr>
        <w:t xml:space="preserve"> </w:t>
      </w:r>
      <w:r>
        <w:rPr>
          <w:spacing w:val="-9"/>
        </w:rPr>
        <w:t>月大幅上涨的周期</w:t>
      </w:r>
      <w:r>
        <w:t xml:space="preserve"> </w:t>
      </w:r>
      <w:r>
        <w:t>股随着“碳中和”政策的逐步纠偏开启回调，不稳定因子数量在</w:t>
      </w:r>
      <w:r>
        <w:rPr>
          <w:spacing w:val="-48"/>
        </w:rPr>
        <w:t xml:space="preserve"> </w:t>
      </w:r>
      <w:r>
        <w:t>9-1</w:t>
      </w:r>
      <w:r>
        <w:rPr>
          <w:spacing w:val="-1"/>
        </w:rPr>
        <w:t>0</w:t>
      </w:r>
      <w:r>
        <w:rPr>
          <w:spacing w:val="-27"/>
        </w:rPr>
        <w:t xml:space="preserve"> </w:t>
      </w:r>
      <w:r>
        <w:rPr>
          <w:spacing w:val="-1"/>
        </w:rPr>
        <w:t>月末这一期间持续</w:t>
      </w:r>
      <w:r>
        <w:t xml:space="preserve"> </w:t>
      </w:r>
      <w:r>
        <w:rPr>
          <w:spacing w:val="-1"/>
        </w:rPr>
        <w:t>维持在临界值上方，对应了同阶段连续的超额回撤表现。</w:t>
      </w:r>
    </w:p>
    <w:p>
      <w:pPr>
        <w:pStyle w:val="BodyText"/>
        <w:spacing w:before="121" w:line="211" w:lineRule="auto"/>
        <w:ind w:left="3193" w:right="607" w:hanging="3"/>
        <w:jc w:val="both"/>
      </w:pPr>
      <w:r>
        <w:rPr>
          <w:spacing w:val="-5"/>
        </w:rPr>
        <w:t>从上述历史观测经验来看，</w:t>
      </w:r>
      <w:r>
        <w:rPr>
          <w:spacing w:val="-5"/>
        </w:rPr>
        <w:t xml:space="preserve"> </w:t>
      </w:r>
      <w:r>
        <w:rPr>
          <w:spacing w:val="-5"/>
        </w:rPr>
        <w:t>因子不稳定程度与指数增强型基金超额收益之间在时间上具有</w:t>
      </w:r>
      <w:r>
        <w:rPr>
          <w:spacing w:val="15"/>
        </w:rPr>
        <w:t xml:space="preserve"> </w:t>
      </w:r>
      <w:r>
        <w:rPr>
          <w:spacing w:val="-8"/>
        </w:rPr>
        <w:t>一定的负相关关系，</w:t>
      </w:r>
      <w:r>
        <w:rPr>
          <w:spacing w:val="26"/>
        </w:rPr>
        <w:t xml:space="preserve"> </w:t>
      </w:r>
      <w:r>
        <w:rPr>
          <w:spacing w:val="-8"/>
        </w:rPr>
        <w:t>即因子不稳定程度较高的时间，</w:t>
      </w:r>
      <w:r>
        <w:rPr>
          <w:spacing w:val="-8"/>
        </w:rPr>
        <w:t xml:space="preserve"> </w:t>
      </w:r>
      <w:r>
        <w:rPr>
          <w:spacing w:val="-8"/>
        </w:rPr>
        <w:t>指数增强型基金超额往往有限甚至出</w:t>
      </w:r>
      <w:r>
        <w:t xml:space="preserve"> </w:t>
      </w:r>
      <w:r>
        <w:rPr>
          <w:spacing w:val="-7"/>
        </w:rPr>
        <w:t>现明显回撤，反之亦然。</w:t>
      </w:r>
      <w:r>
        <w:rPr>
          <w:spacing w:val="32"/>
        </w:rPr>
        <w:t xml:space="preserve"> </w:t>
      </w:r>
      <w:r>
        <w:rPr>
          <w:spacing w:val="-7"/>
        </w:rPr>
        <w:t>2024</w:t>
      </w:r>
      <w:r>
        <w:rPr>
          <w:spacing w:val="-7"/>
        </w:rPr>
        <w:t xml:space="preserve"> </w:t>
      </w:r>
      <w:r>
        <w:rPr>
          <w:spacing w:val="-7"/>
        </w:rPr>
        <w:t>年</w:t>
      </w:r>
      <w:r>
        <w:rPr>
          <w:spacing w:val="-7"/>
        </w:rPr>
        <w:t xml:space="preserve"> </w:t>
      </w:r>
      <w:r>
        <w:rPr>
          <w:spacing w:val="-7"/>
        </w:rPr>
        <w:t>1</w:t>
      </w:r>
      <w:r>
        <w:rPr>
          <w:spacing w:val="-7"/>
        </w:rPr>
        <w:t xml:space="preserve"> </w:t>
      </w:r>
      <w:r>
        <w:rPr>
          <w:spacing w:val="-8"/>
        </w:rPr>
        <w:t>月该指标呈现明显的震荡上升趋势，</w:t>
      </w:r>
      <w:r>
        <w:rPr>
          <w:spacing w:val="-8"/>
        </w:rPr>
        <w:t xml:space="preserve"> </w:t>
      </w:r>
      <w:r>
        <w:rPr>
          <w:spacing w:val="-8"/>
        </w:rPr>
        <w:t>虽仍在临界位置</w:t>
      </w:r>
      <w:r>
        <w:t xml:space="preserve"> </w:t>
      </w:r>
      <w:r>
        <w:rPr>
          <w:spacing w:val="-4"/>
        </w:rPr>
        <w:t>以内，</w:t>
      </w:r>
      <w:r>
        <w:rPr>
          <w:spacing w:val="-4"/>
        </w:rPr>
        <w:t xml:space="preserve"> </w:t>
      </w:r>
      <w:r>
        <w:rPr>
          <w:spacing w:val="-4"/>
        </w:rPr>
        <w:t>不过对于指数增强策略超额端的负面影响有所扩大。</w:t>
      </w:r>
    </w:p>
    <w:p>
      <w:pPr>
        <w:spacing w:line="211" w:lineRule="auto"/>
        <w:sectPr>
          <w:headerReference w:type="default" r:id="rId16"/>
          <w:footerReference w:type="default" r:id="rId17"/>
          <w:pgSz w:w="11910" w:h="16845"/>
          <w:pgMar w:top="1058" w:right="0" w:bottom="495" w:left="0" w:header="487" w:footer="15" w:gutter="0"/>
          <w:pgNumType w:start="7"/>
          <w:cols w:space="708"/>
        </w:sectPr>
      </w:pPr>
    </w:p>
    <w:p>
      <w:pPr>
        <w:spacing w:line="373" w:lineRule="auto"/>
        <w:rPr>
          <w:rFonts w:ascii="Arial"/>
          <w:sz w:val="21"/>
        </w:rPr>
      </w:pPr>
      <w:r>
        <w:drawing>
          <wp:anchor distT="0" distB="0" distL="0" distR="0" simplePos="0" relativeHeight="251660288" behindDoc="1" locked="0" layoutInCell="0" allowOverlap="1">
            <wp:simplePos x="0" y="0"/>
            <wp:positionH relativeFrom="page">
              <wp:posOffset>495300</wp:posOffset>
            </wp:positionH>
            <wp:positionV relativeFrom="page">
              <wp:posOffset>1133475</wp:posOffset>
            </wp:positionV>
            <wp:extent cx="6572250" cy="254317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8"/>
                    <a:stretch>
                      <a:fillRect/>
                    </a:stretch>
                  </pic:blipFill>
                  <pic:spPr>
                    <a:xfrm>
                      <a:off x="0" y="0"/>
                      <a:ext cx="6572250" cy="2543175"/>
                    </a:xfrm>
                    <a:prstGeom prst="rect">
                      <a:avLst/>
                    </a:prstGeom>
                  </pic:spPr>
                </pic:pic>
              </a:graphicData>
            </a:graphic>
          </wp:anchor>
        </w:drawing>
      </w:r>
    </w:p>
    <w:p>
      <w:pPr>
        <w:pStyle w:val="BodyText"/>
        <w:spacing w:before="65" w:line="214" w:lineRule="auto"/>
        <w:ind w:left="713"/>
        <w:rPr>
          <w:sz w:val="20"/>
          <w:szCs w:val="20"/>
        </w:rPr>
      </w:pPr>
      <w:bookmarkStart w:id="3" w:name="bookmark6"/>
      <w:bookmarkEnd w:id="3"/>
      <w:bookmarkStart w:id="4" w:name="bookmark7"/>
      <w:bookmarkEnd w:id="4"/>
      <w:bookmarkStart w:id="5" w:name="bookmark8"/>
      <w:bookmarkEnd w:id="5"/>
      <w:r>
        <w:rPr>
          <w:i/>
          <w:iCs/>
          <w:spacing w:val="7"/>
          <w:sz w:val="20"/>
          <w:szCs w:val="20"/>
          <w14:textOutline w14:w="3537">
            <w14:solidFill>
              <w14:srgbClr w14:val="000000"/>
            </w14:solidFill>
            <w14:prstDash w14:val="solid"/>
            <w14:miter w14:lim="10"/>
          </w14:textOutline>
        </w:rPr>
        <w:t>图表3：因子不稳定程度</w:t>
      </w:r>
    </w:p>
    <w:p>
      <w:pPr>
        <w:spacing w:before="25" w:line="4084" w:lineRule="exact"/>
        <w:ind w:firstLine="690"/>
      </w:pPr>
      <w:r>
        <w:rPr>
          <w:position w:val="-81"/>
        </w:rPr>
        <w:pict>
          <v:group id="_x0000_i1027" style="width:527.2pt;height:204.2pt;mso-position-horizontal-relative:char;mso-position-vertical-relative:line" coordorigin="0,0" coordsize="10544,4083" filled="f" stroked="f">
            <v:rect id="_x0000_s1028" style="width:10544;height:16;position:absolute;top:4068" filled="t" fillcolor="#1f3864" stroked="f"/>
            <v:rect id="_x0000_s1029" style="width:10544;height:15;position:absolute" filled="t" fillcolor="#1f3864" stroked="f"/>
            <w10:wrap type="none"/>
          </v:group>
        </w:pict>
      </w:r>
    </w:p>
    <w:p>
      <w:pPr>
        <w:pStyle w:val="BodyText"/>
        <w:spacing w:before="81" w:line="212" w:lineRule="auto"/>
        <w:ind w:left="698"/>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167" w:line="212" w:lineRule="auto"/>
        <w:ind w:left="3188" w:right="585" w:firstLine="12"/>
      </w:pPr>
      <w:r>
        <w:rPr>
          <w:spacing w:val="-6"/>
        </w:rPr>
        <w:t>流动性和市场活跃度方面，</w:t>
      </w:r>
      <w:r>
        <w:rPr>
          <w:spacing w:val="52"/>
        </w:rPr>
        <w:t xml:space="preserve"> </w:t>
      </w:r>
      <w:r>
        <w:rPr>
          <w:spacing w:val="-6"/>
        </w:rPr>
        <w:t>2024</w:t>
      </w:r>
      <w:r>
        <w:rPr>
          <w:spacing w:val="-6"/>
        </w:rPr>
        <w:t xml:space="preserve"> </w:t>
      </w:r>
      <w:r>
        <w:rPr>
          <w:spacing w:val="-6"/>
        </w:rPr>
        <w:t>开年以来，</w:t>
      </w:r>
      <w:r>
        <w:rPr>
          <w:spacing w:val="-6"/>
        </w:rPr>
        <w:t xml:space="preserve"> </w:t>
      </w:r>
      <w:r>
        <w:rPr>
          <w:spacing w:val="-6"/>
        </w:rPr>
        <w:t>尽管有机构资金的介入，但市场仍开启了暴</w:t>
      </w:r>
      <w:r>
        <w:t xml:space="preserve"> </w:t>
      </w:r>
      <w:r>
        <w:rPr>
          <w:spacing w:val="-6"/>
        </w:rPr>
        <w:t>跌模式，</w:t>
      </w:r>
      <w:r>
        <w:rPr>
          <w:spacing w:val="-20"/>
        </w:rPr>
        <w:t xml:space="preserve"> </w:t>
      </w:r>
      <w:r>
        <w:rPr>
          <w:spacing w:val="-6"/>
        </w:rPr>
        <w:t>恐慌情绪蔓延，交投活跃度持续回落，尤其是小微盘股，</w:t>
      </w:r>
      <w:r>
        <w:rPr>
          <w:spacing w:val="-27"/>
        </w:rPr>
        <w:t xml:space="preserve"> </w:t>
      </w:r>
      <w:r>
        <w:rPr>
          <w:spacing w:val="-6"/>
        </w:rPr>
        <w:t>流动性一度枯竭。全月</w:t>
      </w:r>
      <w:r>
        <w:t xml:space="preserve"> </w:t>
      </w:r>
      <w:r>
        <w:rPr>
          <w:spacing w:val="-6"/>
        </w:rPr>
        <w:t>来看，</w:t>
      </w:r>
      <w:r>
        <w:rPr>
          <w:spacing w:val="-6"/>
        </w:rPr>
        <w:t xml:space="preserve"> </w:t>
      </w:r>
      <w:r>
        <w:rPr>
          <w:spacing w:val="-6"/>
        </w:rPr>
        <w:t>两市日均成交额</w:t>
      </w:r>
      <w:r>
        <w:rPr>
          <w:spacing w:val="-37"/>
        </w:rPr>
        <w:t xml:space="preserve"> </w:t>
      </w:r>
      <w:r>
        <w:rPr>
          <w:spacing w:val="-6"/>
        </w:rPr>
        <w:t>7263</w:t>
      </w:r>
      <w:r>
        <w:rPr>
          <w:spacing w:val="-40"/>
        </w:rPr>
        <w:t xml:space="preserve"> </w:t>
      </w:r>
      <w:r>
        <w:rPr>
          <w:spacing w:val="-6"/>
        </w:rPr>
        <w:t>亿左右，</w:t>
      </w:r>
      <w:r>
        <w:rPr>
          <w:spacing w:val="-40"/>
        </w:rPr>
        <w:t xml:space="preserve"> </w:t>
      </w:r>
      <w:r>
        <w:rPr>
          <w:spacing w:val="-7"/>
        </w:rPr>
        <w:t>与去年末月相比下降</w:t>
      </w:r>
      <w:r>
        <w:rPr>
          <w:spacing w:val="-42"/>
        </w:rPr>
        <w:t xml:space="preserve"> </w:t>
      </w:r>
      <w:r>
        <w:rPr>
          <w:spacing w:val="-7"/>
        </w:rPr>
        <w:t>5.36%。各大指数换手水平在</w:t>
      </w:r>
      <w:r>
        <w:rPr>
          <w:spacing w:val="-27"/>
        </w:rPr>
        <w:t xml:space="preserve"> </w:t>
      </w:r>
      <w:r>
        <w:rPr>
          <w:spacing w:val="-7"/>
        </w:rPr>
        <w:t>1</w:t>
      </w:r>
      <w:r>
        <w:t xml:space="preserve"> </w:t>
      </w:r>
      <w:r>
        <w:rPr>
          <w:spacing w:val="1"/>
        </w:rPr>
        <w:t>月以来表现分化，平均来看大盘股换手水平有明显提升，从日均换手率来看，上证</w:t>
      </w:r>
      <w:r>
        <w:rPr>
          <w:spacing w:val="1"/>
        </w:rPr>
        <w:t xml:space="preserve"> </w:t>
      </w:r>
      <w:r>
        <w:rPr>
          <w:spacing w:val="1"/>
        </w:rPr>
        <w:t>50、</w:t>
      </w:r>
      <w:r>
        <w:rPr>
          <w:spacing w:val="2"/>
        </w:rPr>
        <w:t xml:space="preserve"> </w:t>
      </w:r>
      <w:r>
        <w:rPr>
          <w:spacing w:val="-2"/>
        </w:rPr>
        <w:t>沪深</w:t>
      </w:r>
      <w:r>
        <w:rPr>
          <w:spacing w:val="-37"/>
        </w:rPr>
        <w:t xml:space="preserve"> </w:t>
      </w:r>
      <w:r>
        <w:rPr>
          <w:spacing w:val="-2"/>
        </w:rPr>
        <w:t>300、中证</w:t>
      </w:r>
      <w:r>
        <w:rPr>
          <w:spacing w:val="-41"/>
        </w:rPr>
        <w:t xml:space="preserve"> </w:t>
      </w:r>
      <w:r>
        <w:rPr>
          <w:spacing w:val="-2"/>
        </w:rPr>
        <w:t>500</w:t>
      </w:r>
      <w:r>
        <w:rPr>
          <w:spacing w:val="-35"/>
        </w:rPr>
        <w:t xml:space="preserve"> </w:t>
      </w:r>
      <w:r>
        <w:rPr>
          <w:spacing w:val="-2"/>
        </w:rPr>
        <w:t>换手率环比分别上</w:t>
      </w:r>
      <w:r>
        <w:rPr>
          <w:spacing w:val="-3"/>
        </w:rPr>
        <w:t>涨</w:t>
      </w:r>
      <w:r>
        <w:rPr>
          <w:spacing w:val="-36"/>
        </w:rPr>
        <w:t xml:space="preserve"> </w:t>
      </w:r>
      <w:r>
        <w:rPr>
          <w:spacing w:val="-3"/>
        </w:rPr>
        <w:t>33.38%、27.39%和</w:t>
      </w:r>
      <w:r>
        <w:rPr>
          <w:spacing w:val="-26"/>
        </w:rPr>
        <w:t xml:space="preserve"> </w:t>
      </w:r>
      <w:r>
        <w:rPr>
          <w:spacing w:val="-3"/>
        </w:rPr>
        <w:t>10.58%，中证</w:t>
      </w:r>
      <w:r>
        <w:rPr>
          <w:spacing w:val="-26"/>
        </w:rPr>
        <w:t xml:space="preserve"> </w:t>
      </w:r>
      <w:r>
        <w:rPr>
          <w:spacing w:val="-3"/>
        </w:rPr>
        <w:t>1000</w:t>
      </w:r>
      <w:r>
        <w:rPr>
          <w:spacing w:val="-35"/>
        </w:rPr>
        <w:t xml:space="preserve"> </w:t>
      </w:r>
      <w:r>
        <w:rPr>
          <w:spacing w:val="-3"/>
        </w:rPr>
        <w:t>换手率环</w:t>
      </w:r>
      <w:r>
        <w:t xml:space="preserve"> </w:t>
      </w:r>
      <w:r>
        <w:rPr>
          <w:spacing w:val="-1"/>
        </w:rPr>
        <w:t>比下降</w:t>
      </w:r>
      <w:r>
        <w:rPr>
          <w:spacing w:val="-40"/>
        </w:rPr>
        <w:t xml:space="preserve"> </w:t>
      </w:r>
      <w:r>
        <w:rPr>
          <w:spacing w:val="-1"/>
        </w:rPr>
        <w:t>4.48%。</w:t>
      </w:r>
    </w:p>
    <w:p>
      <w:pPr>
        <w:pStyle w:val="BodyText"/>
        <w:spacing w:before="155" w:line="213" w:lineRule="auto"/>
        <w:ind w:left="653"/>
        <w:rPr>
          <w:sz w:val="20"/>
          <w:szCs w:val="20"/>
        </w:rPr>
      </w:pPr>
      <w:r>
        <w:rPr>
          <w:i/>
          <w:iCs/>
          <w:spacing w:val="6"/>
          <w:sz w:val="20"/>
          <w:szCs w:val="20"/>
          <w14:textOutline w14:w="3537">
            <w14:solidFill>
              <w14:srgbClr w14:val="000000"/>
            </w14:solidFill>
            <w14:prstDash w14:val="solid"/>
            <w14:miter w14:lim="10"/>
          </w14:textOutline>
        </w:rPr>
        <w:t>图表4：近一年沪深两市成交额</w:t>
      </w:r>
      <w:r>
        <w:rPr>
          <w:spacing w:val="6"/>
          <w:sz w:val="20"/>
          <w:szCs w:val="20"/>
        </w:rPr>
        <w:t xml:space="preserve">         </w:t>
      </w:r>
      <w:r>
        <w:rPr>
          <w:spacing w:val="5"/>
          <w:sz w:val="20"/>
          <w:szCs w:val="20"/>
        </w:rPr>
        <w:t xml:space="preserve">                 </w:t>
      </w:r>
      <w:r>
        <w:rPr>
          <w:i/>
          <w:iCs/>
          <w:spacing w:val="5"/>
          <w:sz w:val="20"/>
          <w:szCs w:val="20"/>
          <w14:textOutline w14:w="3537">
            <w14:solidFill>
              <w14:srgbClr w14:val="000000"/>
            </w14:solidFill>
            <w14:prstDash w14:val="solid"/>
            <w14:miter w14:lim="10"/>
          </w14:textOutline>
        </w:rPr>
        <w:t>图表5：近一年主要指数换手率</w:t>
      </w:r>
    </w:p>
    <w:p>
      <w:pPr>
        <w:spacing w:before="12" w:line="3783" w:lineRule="exact"/>
        <w:ind w:firstLine="630"/>
      </w:pPr>
      <w:r>
        <w:rPr>
          <w:position w:val="-75"/>
        </w:rPr>
        <w:drawing>
          <wp:inline distT="0" distB="0" distL="0" distR="0">
            <wp:extent cx="6829170" cy="240233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9"/>
                    <a:stretch>
                      <a:fillRect/>
                    </a:stretch>
                  </pic:blipFill>
                  <pic:spPr>
                    <a:xfrm>
                      <a:off x="0" y="0"/>
                      <a:ext cx="6829170" cy="2402332"/>
                    </a:xfrm>
                    <a:prstGeom prst="rect">
                      <a:avLst/>
                    </a:prstGeom>
                  </pic:spPr>
                </pic:pic>
              </a:graphicData>
            </a:graphic>
          </wp:inline>
        </w:drawing>
      </w:r>
    </w:p>
    <w:p>
      <w:pPr>
        <w:pStyle w:val="BodyText"/>
        <w:spacing w:before="67" w:line="212" w:lineRule="auto"/>
        <w:ind w:left="6135"/>
        <w:rPr>
          <w:sz w:val="15"/>
          <w:szCs w:val="15"/>
        </w:rPr>
      </w:pPr>
      <w:r>
        <w:pict>
          <v:shape id="_x0000_s1030" type="#_x0000_t202" style="width:99.25pt;height:10.65pt;margin-top:2.34pt;margin-left:30.9pt;position:absolute;z-index:251661312"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169" w:line="211" w:lineRule="auto"/>
        <w:ind w:left="3193" w:right="599" w:firstLine="1"/>
        <w:jc w:val="both"/>
      </w:pPr>
      <w:r>
        <w:rPr>
          <w:spacing w:val="-1"/>
        </w:rPr>
        <w:t>市场风格上，截至</w:t>
      </w:r>
      <w:r>
        <w:rPr>
          <w:spacing w:val="-40"/>
        </w:rPr>
        <w:t xml:space="preserve"> </w:t>
      </w:r>
      <w:r>
        <w:rPr>
          <w:spacing w:val="-1"/>
        </w:rPr>
        <w:t>2024</w:t>
      </w:r>
      <w:r>
        <w:rPr>
          <w:spacing w:val="-35"/>
        </w:rPr>
        <w:t xml:space="preserve"> </w:t>
      </w:r>
      <w:r>
        <w:rPr>
          <w:spacing w:val="-1"/>
        </w:rPr>
        <w:t>年</w:t>
      </w:r>
      <w:r>
        <w:rPr>
          <w:spacing w:val="-26"/>
        </w:rPr>
        <w:t xml:space="preserve"> </w:t>
      </w:r>
      <w:r>
        <w:rPr>
          <w:spacing w:val="-1"/>
        </w:rPr>
        <w:t>1</w:t>
      </w:r>
      <w:r>
        <w:rPr>
          <w:spacing w:val="-27"/>
        </w:rPr>
        <w:t xml:space="preserve"> </w:t>
      </w:r>
      <w:r>
        <w:rPr>
          <w:spacing w:val="-1"/>
        </w:rPr>
        <w:t>月底，近一年来大盘股相对上证指数</w:t>
      </w:r>
      <w:r>
        <w:rPr>
          <w:spacing w:val="-2"/>
        </w:rPr>
        <w:t>收益-8.30%，中小盘股</w:t>
      </w:r>
      <w:r>
        <w:t xml:space="preserve"> </w:t>
      </w:r>
      <w:r>
        <w:rPr>
          <w:spacing w:val="-3"/>
        </w:rPr>
        <w:t>相对上证指数收益-15.34%。近期来看，</w:t>
      </w:r>
      <w:r>
        <w:rPr>
          <w:spacing w:val="31"/>
        </w:rPr>
        <w:t xml:space="preserve"> </w:t>
      </w:r>
      <w:r>
        <w:rPr>
          <w:spacing w:val="-3"/>
        </w:rPr>
        <w:t>受多重因素叠加带来的剧</w:t>
      </w:r>
      <w:r>
        <w:rPr>
          <w:spacing w:val="-4"/>
        </w:rPr>
        <w:t>烈流动性踩踏，以及非</w:t>
      </w:r>
      <w:r>
        <w:t xml:space="preserve"> </w:t>
      </w:r>
      <w:r>
        <w:rPr>
          <w:spacing w:val="-10"/>
        </w:rPr>
        <w:t>市场因素的介入等影响，</w:t>
      </w:r>
      <w:r>
        <w:rPr>
          <w:spacing w:val="44"/>
        </w:rPr>
        <w:t xml:space="preserve"> </w:t>
      </w:r>
      <w:r>
        <w:rPr>
          <w:spacing w:val="-10"/>
        </w:rPr>
        <w:t>中小盘股呈现自由落体式跌幅，</w:t>
      </w:r>
      <w:r>
        <w:rPr>
          <w:spacing w:val="35"/>
        </w:rPr>
        <w:t xml:space="preserve"> </w:t>
      </w:r>
      <w:r>
        <w:rPr>
          <w:spacing w:val="-10"/>
        </w:rPr>
        <w:t>以沪深</w:t>
      </w:r>
      <w:r>
        <w:rPr>
          <w:spacing w:val="-39"/>
        </w:rPr>
        <w:t xml:space="preserve"> </w:t>
      </w:r>
      <w:r>
        <w:rPr>
          <w:spacing w:val="-10"/>
        </w:rPr>
        <w:t>300</w:t>
      </w:r>
      <w:r>
        <w:rPr>
          <w:spacing w:val="-29"/>
        </w:rPr>
        <w:t xml:space="preserve"> </w:t>
      </w:r>
      <w:r>
        <w:rPr>
          <w:spacing w:val="-10"/>
        </w:rPr>
        <w:t>为代表的大盘股则显</w:t>
      </w:r>
      <w:r>
        <w:t xml:space="preserve"> </w:t>
      </w:r>
      <w:r>
        <w:rPr>
          <w:spacing w:val="-4"/>
        </w:rPr>
        <w:t>著占优，1</w:t>
      </w:r>
      <w:r>
        <w:rPr>
          <w:spacing w:val="-27"/>
        </w:rPr>
        <w:t xml:space="preserve"> </w:t>
      </w:r>
      <w:r>
        <w:rPr>
          <w:spacing w:val="-4"/>
        </w:rPr>
        <w:t>月全月沪深</w:t>
      </w:r>
      <w:r>
        <w:rPr>
          <w:spacing w:val="-36"/>
        </w:rPr>
        <w:t xml:space="preserve"> </w:t>
      </w:r>
      <w:r>
        <w:rPr>
          <w:spacing w:val="-4"/>
        </w:rPr>
        <w:t>300</w:t>
      </w:r>
      <w:r>
        <w:rPr>
          <w:spacing w:val="-33"/>
        </w:rPr>
        <w:t xml:space="preserve"> </w:t>
      </w:r>
      <w:r>
        <w:rPr>
          <w:spacing w:val="-4"/>
        </w:rPr>
        <w:t>指数跑赢中证</w:t>
      </w:r>
      <w:r>
        <w:rPr>
          <w:spacing w:val="-26"/>
        </w:rPr>
        <w:t xml:space="preserve"> </w:t>
      </w:r>
      <w:r>
        <w:rPr>
          <w:spacing w:val="-4"/>
        </w:rPr>
        <w:t>10</w:t>
      </w:r>
      <w:r>
        <w:rPr>
          <w:spacing w:val="-5"/>
        </w:rPr>
        <w:t>00</w:t>
      </w:r>
      <w:r>
        <w:rPr>
          <w:spacing w:val="-43"/>
        </w:rPr>
        <w:t xml:space="preserve"> </w:t>
      </w:r>
      <w:r>
        <w:rPr>
          <w:spacing w:val="-5"/>
        </w:rPr>
        <w:t>超过</w:t>
      </w:r>
      <w:r>
        <w:rPr>
          <w:spacing w:val="-30"/>
        </w:rPr>
        <w:t xml:space="preserve"> </w:t>
      </w:r>
      <w:r>
        <w:rPr>
          <w:spacing w:val="-5"/>
        </w:rPr>
        <w:t>12%。从主要指数成分股成交额占全市</w:t>
      </w:r>
      <w:r>
        <w:t xml:space="preserve"> </w:t>
      </w:r>
      <w:r>
        <w:rPr>
          <w:spacing w:val="-5"/>
        </w:rPr>
        <w:t>场比例来看，</w:t>
      </w:r>
      <w:r>
        <w:rPr>
          <w:spacing w:val="63"/>
        </w:rPr>
        <w:t xml:space="preserve"> </w:t>
      </w:r>
      <w:r>
        <w:rPr>
          <w:spacing w:val="-5"/>
        </w:rPr>
        <w:t>1</w:t>
      </w:r>
      <w:r>
        <w:rPr>
          <w:spacing w:val="-26"/>
        </w:rPr>
        <w:t xml:space="preserve"> </w:t>
      </w:r>
      <w:r>
        <w:rPr>
          <w:spacing w:val="-5"/>
        </w:rPr>
        <w:t>月以来沪深</w:t>
      </w:r>
      <w:r>
        <w:rPr>
          <w:spacing w:val="-37"/>
        </w:rPr>
        <w:t xml:space="preserve"> </w:t>
      </w:r>
      <w:r>
        <w:rPr>
          <w:spacing w:val="-5"/>
        </w:rPr>
        <w:t>300</w:t>
      </w:r>
      <w:r>
        <w:rPr>
          <w:spacing w:val="-36"/>
        </w:rPr>
        <w:t xml:space="preserve"> </w:t>
      </w:r>
      <w:r>
        <w:rPr>
          <w:spacing w:val="-5"/>
        </w:rPr>
        <w:t>成分股成交占比显著</w:t>
      </w:r>
      <w:r>
        <w:rPr>
          <w:spacing w:val="-6"/>
        </w:rPr>
        <w:t>上升，而中证</w:t>
      </w:r>
      <w:r>
        <w:rPr>
          <w:spacing w:val="-6"/>
        </w:rPr>
        <w:t xml:space="preserve"> </w:t>
      </w:r>
      <w:r>
        <w:rPr>
          <w:spacing w:val="-6"/>
        </w:rPr>
        <w:t>1000</w:t>
      </w:r>
      <w:r>
        <w:rPr>
          <w:spacing w:val="-35"/>
        </w:rPr>
        <w:t xml:space="preserve"> </w:t>
      </w:r>
      <w:r>
        <w:rPr>
          <w:spacing w:val="-6"/>
        </w:rPr>
        <w:t>成分股成交占比</w:t>
      </w:r>
      <w:r>
        <w:t xml:space="preserve"> </w:t>
      </w:r>
      <w:r>
        <w:rPr>
          <w:spacing w:val="-2"/>
        </w:rPr>
        <w:t>则大幅下降，</w:t>
      </w:r>
      <w:r>
        <w:rPr>
          <w:spacing w:val="-51"/>
        </w:rPr>
        <w:t xml:space="preserve"> </w:t>
      </w:r>
      <w:r>
        <w:rPr>
          <w:spacing w:val="-2"/>
        </w:rPr>
        <w:t>目前沪深</w:t>
      </w:r>
      <w:r>
        <w:rPr>
          <w:spacing w:val="-37"/>
        </w:rPr>
        <w:t xml:space="preserve"> </w:t>
      </w:r>
      <w:r>
        <w:rPr>
          <w:spacing w:val="-2"/>
        </w:rPr>
        <w:t>300</w:t>
      </w:r>
      <w:r>
        <w:rPr>
          <w:spacing w:val="-36"/>
        </w:rPr>
        <w:t xml:space="preserve"> </w:t>
      </w:r>
      <w:r>
        <w:rPr>
          <w:spacing w:val="-2"/>
        </w:rPr>
        <w:t>成分股成交占比已再度跃</w:t>
      </w:r>
      <w:r>
        <w:rPr>
          <w:spacing w:val="-3"/>
        </w:rPr>
        <w:t>居几个指数首位。</w:t>
      </w:r>
    </w:p>
    <w:p>
      <w:pPr>
        <w:spacing w:line="211" w:lineRule="auto"/>
        <w:sectPr>
          <w:headerReference w:type="default" r:id="rId20"/>
          <w:footerReference w:type="default" r:id="rId21"/>
          <w:pgSz w:w="11910" w:h="16845"/>
          <w:pgMar w:top="1058" w:right="0" w:bottom="495" w:left="0" w:header="487" w:footer="15" w:gutter="0"/>
          <w:pgNumType w:start="8"/>
          <w:cols w:space="708"/>
        </w:sectPr>
      </w:pPr>
    </w:p>
    <w:p>
      <w:pPr>
        <w:spacing w:line="372" w:lineRule="auto"/>
        <w:rPr>
          <w:rFonts w:ascii="Arial"/>
          <w:sz w:val="21"/>
        </w:rPr>
      </w:pPr>
    </w:p>
    <w:p>
      <w:pPr>
        <w:pStyle w:val="BodyText"/>
        <w:spacing w:before="65" w:line="213" w:lineRule="auto"/>
        <w:ind w:left="653"/>
        <w:rPr>
          <w:sz w:val="20"/>
          <w:szCs w:val="20"/>
        </w:rPr>
      </w:pPr>
      <w:bookmarkStart w:id="6" w:name="bookmark9"/>
      <w:bookmarkEnd w:id="6"/>
      <w:bookmarkStart w:id="7" w:name="bookmark10"/>
      <w:bookmarkEnd w:id="7"/>
      <w:bookmarkStart w:id="8" w:name="bookmark11"/>
      <w:bookmarkEnd w:id="8"/>
      <w:bookmarkStart w:id="9" w:name="bookmark12"/>
      <w:bookmarkEnd w:id="9"/>
      <w:r>
        <w:rPr>
          <w:i/>
          <w:iCs/>
          <w:spacing w:val="5"/>
          <w:sz w:val="20"/>
          <w:szCs w:val="20"/>
          <w14:textOutline w14:w="3537">
            <w14:solidFill>
              <w14:srgbClr w14:val="000000"/>
            </w14:solidFill>
            <w14:prstDash w14:val="solid"/>
            <w14:miter w14:lim="10"/>
          </w14:textOutline>
        </w:rPr>
        <w:t>图表6：近一年大小盘风格特征</w:t>
      </w:r>
      <w:r>
        <w:rPr>
          <w:spacing w:val="5"/>
          <w:sz w:val="20"/>
          <w:szCs w:val="20"/>
        </w:rPr>
        <w:t xml:space="preserve">                          </w:t>
      </w:r>
      <w:r>
        <w:rPr>
          <w:i/>
          <w:iCs/>
          <w:spacing w:val="5"/>
          <w:sz w:val="20"/>
          <w:szCs w:val="20"/>
          <w14:textOutline w14:w="3537">
            <w14:solidFill>
              <w14:srgbClr w14:val="000000"/>
            </w14:solidFill>
            <w14:prstDash w14:val="solid"/>
            <w14:miter w14:lim="10"/>
          </w14:textOutline>
        </w:rPr>
        <w:t>图表7：</w:t>
      </w:r>
      <w:r>
        <w:rPr>
          <w:i/>
          <w:iCs/>
          <w:spacing w:val="4"/>
          <w:sz w:val="20"/>
          <w:szCs w:val="20"/>
          <w14:textOutline w14:w="3537">
            <w14:solidFill>
              <w14:srgbClr w14:val="000000"/>
            </w14:solidFill>
            <w14:prstDash w14:val="solid"/>
            <w14:miter w14:lim="10"/>
          </w14:textOutline>
        </w:rPr>
        <w:t>近一年主要指数成分股成交额占全市场比例</w:t>
      </w:r>
    </w:p>
    <w:p>
      <w:pPr>
        <w:spacing w:before="27" w:line="3768" w:lineRule="exact"/>
        <w:ind w:firstLine="630"/>
      </w:pPr>
      <w:r>
        <w:rPr>
          <w:position w:val="-75"/>
        </w:rPr>
        <w:drawing>
          <wp:inline distT="0" distB="0" distL="0" distR="0">
            <wp:extent cx="6829170" cy="239293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6829170" cy="2392933"/>
                    </a:xfrm>
                    <a:prstGeom prst="rect">
                      <a:avLst/>
                    </a:prstGeom>
                  </pic:spPr>
                </pic:pic>
              </a:graphicData>
            </a:graphic>
          </wp:inline>
        </w:drawing>
      </w:r>
    </w:p>
    <w:p>
      <w:pPr>
        <w:pStyle w:val="BodyText"/>
        <w:spacing w:before="81" w:line="212" w:lineRule="auto"/>
        <w:ind w:left="6135"/>
        <w:rPr>
          <w:sz w:val="15"/>
          <w:szCs w:val="15"/>
        </w:rPr>
      </w:pPr>
      <w:r>
        <w:pict>
          <v:shape id="_x0000_s1031" type="#_x0000_t202" style="width:99.25pt;height:10.65pt;margin-top:3.07pt;margin-left:30.9pt;position:absolute;z-index:251663360"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167" w:line="212" w:lineRule="auto"/>
        <w:ind w:left="3188" w:right="600" w:firstLine="2"/>
      </w:pPr>
      <w:r>
        <w:rPr>
          <w:spacing w:val="-7"/>
        </w:rPr>
        <w:t>从主要指数时序波动水平来看，</w:t>
      </w:r>
      <w:r>
        <w:rPr>
          <w:spacing w:val="-7"/>
        </w:rPr>
        <w:t xml:space="preserve"> </w:t>
      </w:r>
      <w:r>
        <w:rPr>
          <w:spacing w:val="-7"/>
        </w:rPr>
        <w:t>今年以来受市场剧烈震荡影响，</w:t>
      </w:r>
      <w:r>
        <w:rPr>
          <w:spacing w:val="-7"/>
        </w:rPr>
        <w:t xml:space="preserve"> </w:t>
      </w:r>
      <w:r>
        <w:rPr>
          <w:spacing w:val="-8"/>
        </w:rPr>
        <w:t>各指数时序波动水平均呈</w:t>
      </w:r>
      <w:r>
        <w:t xml:space="preserve"> </w:t>
      </w:r>
      <w:r>
        <w:rPr>
          <w:spacing w:val="-3"/>
        </w:rPr>
        <w:t>现明显飙升的趋势，其中中证500、中证</w:t>
      </w:r>
      <w:r>
        <w:rPr>
          <w:spacing w:val="-44"/>
        </w:rPr>
        <w:t xml:space="preserve"> </w:t>
      </w:r>
      <w:r>
        <w:rPr>
          <w:spacing w:val="-3"/>
        </w:rPr>
        <w:t>1000和创业板指波动水平较去年末放大超过50%。</w:t>
      </w:r>
      <w:r>
        <w:t xml:space="preserve"> </w:t>
      </w:r>
      <w:r>
        <w:t>从近期个股（以沪深</w:t>
      </w:r>
      <w:r>
        <w:rPr>
          <w:spacing w:val="-38"/>
        </w:rPr>
        <w:t xml:space="preserve"> </w:t>
      </w:r>
      <w:r>
        <w:t>300、中证</w:t>
      </w:r>
      <w:r>
        <w:rPr>
          <w:spacing w:val="-33"/>
        </w:rPr>
        <w:t xml:space="preserve"> </w:t>
      </w:r>
      <w:r>
        <w:t>500</w:t>
      </w:r>
      <w:r>
        <w:rPr>
          <w:spacing w:val="-38"/>
        </w:rPr>
        <w:t xml:space="preserve"> </w:t>
      </w:r>
      <w:r>
        <w:t>和中证</w:t>
      </w:r>
      <w:r>
        <w:rPr>
          <w:spacing w:val="-26"/>
        </w:rPr>
        <w:t xml:space="preserve"> </w:t>
      </w:r>
      <w:r>
        <w:t>1000</w:t>
      </w:r>
      <w:r>
        <w:rPr>
          <w:spacing w:val="-36"/>
        </w:rPr>
        <w:t xml:space="preserve"> </w:t>
      </w:r>
      <w:r>
        <w:t>所</w:t>
      </w:r>
      <w:r>
        <w:rPr>
          <w:spacing w:val="-1"/>
        </w:rPr>
        <w:t>包含成分股为样本股票池）收益率离</w:t>
      </w:r>
      <w:r>
        <w:t xml:space="preserve"> </w:t>
      </w:r>
      <w:r>
        <w:rPr>
          <w:spacing w:val="-5"/>
        </w:rPr>
        <w:t>散程度来看，</w:t>
      </w:r>
      <w:r>
        <w:rPr>
          <w:spacing w:val="48"/>
        </w:rPr>
        <w:t xml:space="preserve"> </w:t>
      </w:r>
      <w:r>
        <w:rPr>
          <w:spacing w:val="-5"/>
        </w:rPr>
        <w:t>1</w:t>
      </w:r>
      <w:r>
        <w:rPr>
          <w:spacing w:val="-27"/>
        </w:rPr>
        <w:t xml:space="preserve"> </w:t>
      </w:r>
      <w:r>
        <w:rPr>
          <w:spacing w:val="-5"/>
        </w:rPr>
        <w:t>月平均个股收益离散度在今年以来同样出现明显反弹，不过仍小幅低</w:t>
      </w:r>
      <w:r>
        <w:rPr>
          <w:spacing w:val="-6"/>
        </w:rPr>
        <w:t>于近</w:t>
      </w:r>
      <w:r>
        <w:t xml:space="preserve"> </w:t>
      </w:r>
      <w:r>
        <w:rPr>
          <w:spacing w:val="-4"/>
        </w:rPr>
        <w:t>一年中位水平。</w:t>
      </w:r>
    </w:p>
    <w:p>
      <w:pPr>
        <w:pStyle w:val="BodyText"/>
        <w:spacing w:before="157" w:line="212" w:lineRule="auto"/>
        <w:ind w:left="653"/>
        <w:rPr>
          <w:sz w:val="20"/>
          <w:szCs w:val="20"/>
        </w:rPr>
      </w:pPr>
      <w:r>
        <w:rPr>
          <w:i/>
          <w:iCs/>
          <w:spacing w:val="6"/>
          <w:sz w:val="20"/>
          <w:szCs w:val="20"/>
          <w14:textOutline w14:w="3537">
            <w14:solidFill>
              <w14:srgbClr w14:val="000000"/>
            </w14:solidFill>
            <w14:prstDash w14:val="solid"/>
            <w14:miter w14:lim="10"/>
          </w14:textOutline>
        </w:rPr>
        <w:t>图表8：近一年主要指数波动率（过去20</w:t>
      </w:r>
      <w:r>
        <w:rPr>
          <w:spacing w:val="-53"/>
          <w:sz w:val="20"/>
          <w:szCs w:val="20"/>
        </w:rPr>
        <w:t xml:space="preserve"> </w:t>
      </w:r>
      <w:r>
        <w:rPr>
          <w:i/>
          <w:iCs/>
          <w:spacing w:val="6"/>
          <w:sz w:val="20"/>
          <w:szCs w:val="20"/>
          <w14:textOutline w14:w="3537">
            <w14:solidFill>
              <w14:srgbClr w14:val="000000"/>
            </w14:solidFill>
            <w14:prstDash w14:val="solid"/>
            <w14:miter w14:lim="10"/>
          </w14:textOutline>
        </w:rPr>
        <w:t>日波动率年化）</w:t>
      </w:r>
      <w:r>
        <w:rPr>
          <w:spacing w:val="32"/>
          <w:sz w:val="20"/>
          <w:szCs w:val="20"/>
        </w:rPr>
        <w:t xml:space="preserve">   </w:t>
      </w:r>
      <w:r>
        <w:rPr>
          <w:i/>
          <w:iCs/>
          <w:spacing w:val="6"/>
          <w:sz w:val="20"/>
          <w:szCs w:val="20"/>
          <w14:textOutline w14:w="3537">
            <w14:solidFill>
              <w14:srgbClr w14:val="000000"/>
            </w14:solidFill>
            <w14:prstDash w14:val="solid"/>
            <w14:miter w14:lim="10"/>
          </w14:textOutline>
        </w:rPr>
        <w:t>图表9：近一年个股收益率离</w:t>
      </w:r>
      <w:r>
        <w:rPr>
          <w:i/>
          <w:iCs/>
          <w:spacing w:val="5"/>
          <w:sz w:val="20"/>
          <w:szCs w:val="20"/>
          <w14:textOutline w14:w="3537">
            <w14:solidFill>
              <w14:srgbClr w14:val="000000"/>
            </w14:solidFill>
            <w14:prstDash w14:val="solid"/>
            <w14:miter w14:lim="10"/>
          </w14:textOutline>
        </w:rPr>
        <w:t>散度</w:t>
      </w:r>
    </w:p>
    <w:p>
      <w:pPr>
        <w:spacing w:before="28" w:line="3768" w:lineRule="exact"/>
        <w:ind w:firstLine="630"/>
      </w:pPr>
      <w:r>
        <w:rPr>
          <w:position w:val="-75"/>
        </w:rPr>
        <w:drawing>
          <wp:inline distT="0" distB="0" distL="0" distR="0">
            <wp:extent cx="6829170" cy="239267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6829170" cy="2392679"/>
                    </a:xfrm>
                    <a:prstGeom prst="rect">
                      <a:avLst/>
                    </a:prstGeom>
                  </pic:spPr>
                </pic:pic>
              </a:graphicData>
            </a:graphic>
          </wp:inline>
        </w:drawing>
      </w:r>
    </w:p>
    <w:p>
      <w:pPr>
        <w:pStyle w:val="BodyText"/>
        <w:spacing w:before="67" w:line="212" w:lineRule="auto"/>
        <w:ind w:left="6135"/>
        <w:rPr>
          <w:sz w:val="15"/>
          <w:szCs w:val="15"/>
        </w:rPr>
      </w:pPr>
      <w:r>
        <w:pict>
          <v:shape id="_x0000_s1032" type="#_x0000_t202" style="width:99.25pt;height:10.65pt;margin-top:2.35pt;margin-left:30.9pt;position:absolute;z-index:251662336"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164" w:line="212" w:lineRule="auto"/>
        <w:ind w:left="3199" w:right="537" w:hanging="9"/>
      </w:pPr>
      <w:r>
        <w:rPr>
          <w:spacing w:val="-2"/>
        </w:rPr>
        <w:t>从近期行业轮动速度来看（以申万一级行业分类为标准</w:t>
      </w:r>
      <w:r>
        <w:rPr>
          <w:spacing w:val="11"/>
        </w:rPr>
        <w:t>），</w:t>
      </w:r>
      <w:r>
        <w:rPr>
          <w:spacing w:val="-2"/>
        </w:rPr>
        <w:t>1</w:t>
      </w:r>
      <w:r>
        <w:rPr>
          <w:spacing w:val="-2"/>
        </w:rPr>
        <w:t xml:space="preserve"> </w:t>
      </w:r>
      <w:r>
        <w:rPr>
          <w:spacing w:val="-2"/>
        </w:rPr>
        <w:t>月</w:t>
      </w:r>
      <w:r>
        <w:rPr>
          <w:spacing w:val="-3"/>
        </w:rPr>
        <w:t>行业轮动速度小幅下降，</w:t>
      </w:r>
      <w:r>
        <w:t xml:space="preserve"> </w:t>
      </w:r>
      <w:r>
        <w:rPr>
          <w:spacing w:val="-6"/>
        </w:rPr>
        <w:t>与历史平均水平持平，对短期超额负面影响不大。从指数成分股内外板块的涨跌表现来看，</w:t>
      </w:r>
      <w:r>
        <w:rPr>
          <w:spacing w:val="11"/>
        </w:rPr>
        <w:t xml:space="preserve"> </w:t>
      </w:r>
      <w:r>
        <w:rPr>
          <w:spacing w:val="-4"/>
        </w:rPr>
        <w:t>1</w:t>
      </w:r>
      <w:r>
        <w:rPr>
          <w:spacing w:val="-26"/>
        </w:rPr>
        <w:t xml:space="preserve"> </w:t>
      </w:r>
      <w:r>
        <w:rPr>
          <w:spacing w:val="-4"/>
        </w:rPr>
        <w:t>月各行业板块几乎全军覆没，分行业来看，</w:t>
      </w:r>
      <w:r>
        <w:rPr>
          <w:spacing w:val="-4"/>
        </w:rPr>
        <w:t xml:space="preserve"> </w:t>
      </w:r>
      <w:r>
        <w:rPr>
          <w:spacing w:val="-4"/>
        </w:rPr>
        <w:t>中证</w:t>
      </w:r>
      <w:r>
        <w:rPr>
          <w:spacing w:val="-42"/>
        </w:rPr>
        <w:t xml:space="preserve"> </w:t>
      </w:r>
      <w:r>
        <w:rPr>
          <w:spacing w:val="-4"/>
        </w:rPr>
        <w:t>500</w:t>
      </w:r>
      <w:r>
        <w:rPr>
          <w:spacing w:val="-36"/>
        </w:rPr>
        <w:t xml:space="preserve"> </w:t>
      </w:r>
      <w:r>
        <w:rPr>
          <w:spacing w:val="-4"/>
        </w:rPr>
        <w:t>成分股内个股</w:t>
      </w:r>
      <w:r>
        <w:rPr>
          <w:spacing w:val="-5"/>
        </w:rPr>
        <w:t>平均表现占压倒性优</w:t>
      </w:r>
      <w:r>
        <w:t xml:space="preserve"> </w:t>
      </w:r>
      <w:r>
        <w:rPr>
          <w:spacing w:val="-1"/>
        </w:rPr>
        <w:t>势，给现货端超额带来极大压力。</w:t>
      </w:r>
    </w:p>
    <w:p>
      <w:pPr>
        <w:spacing w:line="212" w:lineRule="auto"/>
        <w:sectPr>
          <w:headerReference w:type="default" r:id="rId24"/>
          <w:footerReference w:type="default" r:id="rId25"/>
          <w:pgSz w:w="11910" w:h="16845"/>
          <w:pgMar w:top="1058" w:right="0" w:bottom="495" w:left="0" w:header="487" w:footer="15" w:gutter="0"/>
          <w:pgNumType w:start="9"/>
          <w:cols w:space="708"/>
        </w:sectPr>
      </w:pPr>
    </w:p>
    <w:p>
      <w:pPr>
        <w:spacing w:line="373" w:lineRule="auto"/>
        <w:rPr>
          <w:rFonts w:ascii="Arial"/>
          <w:sz w:val="21"/>
        </w:rPr>
      </w:pPr>
    </w:p>
    <w:p>
      <w:pPr>
        <w:pStyle w:val="BodyText"/>
        <w:spacing w:before="65" w:line="211" w:lineRule="auto"/>
        <w:ind w:left="653"/>
        <w:rPr>
          <w:sz w:val="20"/>
          <w:szCs w:val="20"/>
        </w:rPr>
      </w:pPr>
      <w:bookmarkStart w:id="10" w:name="bookmark13"/>
      <w:bookmarkEnd w:id="10"/>
      <w:bookmarkStart w:id="11" w:name="bookmark14"/>
      <w:bookmarkEnd w:id="11"/>
      <w:bookmarkStart w:id="12" w:name="bookmark15"/>
      <w:bookmarkEnd w:id="12"/>
      <w:bookmarkStart w:id="13" w:name="bookmark16"/>
      <w:bookmarkEnd w:id="13"/>
      <w:r>
        <w:rPr>
          <w:i/>
          <w:iCs/>
          <w:spacing w:val="5"/>
          <w:sz w:val="20"/>
          <w:szCs w:val="20"/>
          <w14:textOutline w14:w="3537">
            <w14:solidFill>
              <w14:srgbClr w14:val="000000"/>
            </w14:solidFill>
            <w14:prstDash w14:val="solid"/>
            <w14:miter w14:lim="10"/>
          </w14:textOutline>
        </w:rPr>
        <w:t>图表10：近一年行业轮动速度</w:t>
      </w:r>
      <w:r>
        <w:rPr>
          <w:spacing w:val="5"/>
          <w:sz w:val="20"/>
          <w:szCs w:val="20"/>
        </w:rPr>
        <w:t xml:space="preserve">                       </w:t>
      </w:r>
      <w:r>
        <w:rPr>
          <w:spacing w:val="4"/>
          <w:sz w:val="20"/>
          <w:szCs w:val="20"/>
        </w:rPr>
        <w:t xml:space="preserve">    </w:t>
      </w:r>
      <w:r>
        <w:rPr>
          <w:i/>
          <w:iCs/>
          <w:spacing w:val="4"/>
          <w:sz w:val="20"/>
          <w:szCs w:val="20"/>
          <w14:textOutline w14:w="3537">
            <w14:solidFill>
              <w14:srgbClr w14:val="000000"/>
            </w14:solidFill>
            <w14:prstDash w14:val="solid"/>
            <w14:miter w14:lim="10"/>
          </w14:textOutline>
        </w:rPr>
        <w:t>图表11：近一月指数成分股与成分股外个股平均涨跌幅</w:t>
      </w:r>
    </w:p>
    <w:p>
      <w:pPr>
        <w:spacing w:before="28" w:line="3768" w:lineRule="exact"/>
        <w:ind w:firstLine="630"/>
      </w:pPr>
      <w:r>
        <w:rPr>
          <w:position w:val="-75"/>
        </w:rPr>
        <w:drawing>
          <wp:inline distT="0" distB="0" distL="0" distR="0">
            <wp:extent cx="6828535" cy="239293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6828535" cy="2392933"/>
                    </a:xfrm>
                    <a:prstGeom prst="rect">
                      <a:avLst/>
                    </a:prstGeom>
                  </pic:spPr>
                </pic:pic>
              </a:graphicData>
            </a:graphic>
          </wp:inline>
        </w:drawing>
      </w:r>
    </w:p>
    <w:p>
      <w:pPr>
        <w:pStyle w:val="BodyText"/>
        <w:spacing w:before="81" w:line="212" w:lineRule="auto"/>
        <w:ind w:left="6135"/>
        <w:rPr>
          <w:sz w:val="15"/>
          <w:szCs w:val="15"/>
        </w:rPr>
      </w:pPr>
      <w:r>
        <w:pict>
          <v:shape id="_x0000_s1033" type="#_x0000_t202" style="width:99.25pt;height:10.65pt;margin-top:3.07pt;margin-left:30.9pt;position:absolute;z-index:251664384"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pStyle w:val="BodyText"/>
        <w:spacing w:before="171" w:line="212" w:lineRule="auto"/>
        <w:ind w:left="3188" w:right="435" w:firstLine="2"/>
      </w:pPr>
      <w:r>
        <w:rPr>
          <w:spacing w:val="-6"/>
        </w:rPr>
        <w:t>从远近月基差实时走势来看，</w:t>
      </w:r>
      <w:r>
        <w:rPr>
          <w:spacing w:val="46"/>
        </w:rPr>
        <w:t xml:space="preserve"> </w:t>
      </w:r>
      <w:r>
        <w:rPr>
          <w:spacing w:val="-6"/>
        </w:rPr>
        <w:t>1</w:t>
      </w:r>
      <w:r>
        <w:rPr>
          <w:spacing w:val="-26"/>
        </w:rPr>
        <w:t xml:space="preserve"> </w:t>
      </w:r>
      <w:r>
        <w:rPr>
          <w:spacing w:val="-6"/>
        </w:rPr>
        <w:t>月市场开启单边</w:t>
      </w:r>
      <w:r>
        <w:rPr>
          <w:spacing w:val="-7"/>
        </w:rPr>
        <w:t>大幅下跌模式，IF、IC、IM</w:t>
      </w:r>
      <w:r>
        <w:rPr>
          <w:spacing w:val="-40"/>
        </w:rPr>
        <w:t xml:space="preserve"> </w:t>
      </w:r>
      <w:r>
        <w:rPr>
          <w:spacing w:val="-7"/>
        </w:rPr>
        <w:t>三大股指期货</w:t>
      </w:r>
      <w:r>
        <w:rPr>
          <w:spacing w:val="-7"/>
        </w:rPr>
        <w:t xml:space="preserve">  </w:t>
      </w:r>
      <w:r>
        <w:rPr>
          <w:spacing w:val="-6"/>
        </w:rPr>
        <w:t>基差集体走深。1</w:t>
      </w:r>
      <w:r>
        <w:rPr>
          <w:spacing w:val="-17"/>
        </w:rPr>
        <w:t xml:space="preserve"> </w:t>
      </w:r>
      <w:r>
        <w:rPr>
          <w:spacing w:val="-6"/>
        </w:rPr>
        <w:t>月末与</w:t>
      </w:r>
      <w:r>
        <w:rPr>
          <w:spacing w:val="-39"/>
        </w:rPr>
        <w:t xml:space="preserve"> </w:t>
      </w:r>
      <w:r>
        <w:rPr>
          <w:spacing w:val="-6"/>
        </w:rPr>
        <w:t>2023</w:t>
      </w:r>
      <w:r>
        <w:rPr>
          <w:spacing w:val="-35"/>
        </w:rPr>
        <w:t xml:space="preserve"> </w:t>
      </w:r>
      <w:r>
        <w:rPr>
          <w:spacing w:val="-6"/>
        </w:rPr>
        <w:t>年末相比来看，</w:t>
      </w:r>
      <w:r>
        <w:rPr>
          <w:spacing w:val="86"/>
        </w:rPr>
        <w:t xml:space="preserve"> </w:t>
      </w:r>
      <w:r>
        <w:rPr>
          <w:spacing w:val="-6"/>
        </w:rPr>
        <w:t>IF</w:t>
      </w:r>
      <w:r>
        <w:rPr>
          <w:spacing w:val="-42"/>
        </w:rPr>
        <w:t xml:space="preserve"> </w:t>
      </w:r>
      <w:r>
        <w:rPr>
          <w:spacing w:val="-6"/>
        </w:rPr>
        <w:t>各期限合约均从升水转为贴水并持续加</w:t>
      </w:r>
      <w:r>
        <w:rPr>
          <w:spacing w:val="-6"/>
        </w:rPr>
        <w:t xml:space="preserve">  </w:t>
      </w:r>
      <w:r>
        <w:rPr>
          <w:spacing w:val="-2"/>
        </w:rPr>
        <w:t>深，IC</w:t>
      </w:r>
      <w:r>
        <w:rPr>
          <w:spacing w:val="-22"/>
        </w:rPr>
        <w:t xml:space="preserve"> </w:t>
      </w:r>
      <w:r>
        <w:rPr>
          <w:spacing w:val="-2"/>
        </w:rPr>
        <w:t>及</w:t>
      </w:r>
      <w:r>
        <w:rPr>
          <w:spacing w:val="-2"/>
        </w:rPr>
        <w:t xml:space="preserve"> </w:t>
      </w:r>
      <w:r>
        <w:rPr>
          <w:spacing w:val="-2"/>
        </w:rPr>
        <w:t>IM</w:t>
      </w:r>
      <w:r>
        <w:rPr>
          <w:spacing w:val="-28"/>
        </w:rPr>
        <w:t xml:space="preserve"> </w:t>
      </w:r>
      <w:r>
        <w:rPr>
          <w:spacing w:val="-2"/>
        </w:rPr>
        <w:t>各期限合约贴水幅度同样大幅走深。从跨期年化基差来</w:t>
      </w:r>
      <w:r>
        <w:rPr>
          <w:spacing w:val="-3"/>
        </w:rPr>
        <w:t>看，截至</w:t>
      </w:r>
      <w:r>
        <w:rPr>
          <w:spacing w:val="-26"/>
        </w:rPr>
        <w:t xml:space="preserve"> </w:t>
      </w:r>
      <w:r>
        <w:rPr>
          <w:spacing w:val="-3"/>
        </w:rPr>
        <w:t>2024</w:t>
      </w:r>
      <w:r>
        <w:rPr>
          <w:spacing w:val="-21"/>
        </w:rPr>
        <w:t xml:space="preserve"> </w:t>
      </w:r>
      <w:r>
        <w:rPr>
          <w:spacing w:val="-3"/>
        </w:rPr>
        <w:t>年</w:t>
      </w:r>
      <w:r>
        <w:rPr>
          <w:spacing w:val="-3"/>
        </w:rPr>
        <w:t xml:space="preserve"> </w:t>
      </w:r>
      <w:r>
        <w:rPr>
          <w:spacing w:val="-3"/>
        </w:rPr>
        <w:t>1</w:t>
      </w:r>
      <w:r>
        <w:rPr>
          <w:spacing w:val="-3"/>
        </w:rPr>
        <w:t xml:space="preserve">  </w:t>
      </w:r>
      <w:r>
        <w:rPr>
          <w:spacing w:val="-3"/>
        </w:rPr>
        <w:t>月底，</w:t>
      </w:r>
      <w:r>
        <w:rPr>
          <w:spacing w:val="36"/>
        </w:rPr>
        <w:t xml:space="preserve"> </w:t>
      </w:r>
      <w:r>
        <w:rPr>
          <w:spacing w:val="-3"/>
        </w:rPr>
        <w:t>IF</w:t>
      </w:r>
      <w:r>
        <w:rPr>
          <w:spacing w:val="-39"/>
        </w:rPr>
        <w:t xml:space="preserve"> </w:t>
      </w:r>
      <w:r>
        <w:rPr>
          <w:spacing w:val="-3"/>
        </w:rPr>
        <w:t>跨期年化基差为-2.82%，1</w:t>
      </w:r>
      <w:r>
        <w:rPr>
          <w:spacing w:val="-26"/>
        </w:rPr>
        <w:t xml:space="preserve"> </w:t>
      </w:r>
      <w:r>
        <w:rPr>
          <w:spacing w:val="-3"/>
        </w:rPr>
        <w:t>月全</w:t>
      </w:r>
      <w:r>
        <w:rPr>
          <w:spacing w:val="-4"/>
        </w:rPr>
        <w:t>月平均为-0.90%，2023</w:t>
      </w:r>
      <w:r>
        <w:rPr>
          <w:spacing w:val="-36"/>
        </w:rPr>
        <w:t xml:space="preserve"> </w:t>
      </w:r>
      <w:r>
        <w:rPr>
          <w:spacing w:val="-4"/>
        </w:rPr>
        <w:t>年</w:t>
      </w:r>
      <w:r>
        <w:rPr>
          <w:spacing w:val="-26"/>
        </w:rPr>
        <w:t xml:space="preserve"> </w:t>
      </w:r>
      <w:r>
        <w:rPr>
          <w:spacing w:val="-4"/>
        </w:rPr>
        <w:t>12</w:t>
      </w:r>
      <w:r>
        <w:rPr>
          <w:spacing w:val="-26"/>
        </w:rPr>
        <w:t xml:space="preserve"> </w:t>
      </w:r>
      <w:r>
        <w:rPr>
          <w:spacing w:val="-4"/>
        </w:rPr>
        <w:t>月平均为</w:t>
      </w:r>
      <w:r>
        <w:rPr>
          <w:spacing w:val="-39"/>
        </w:rPr>
        <w:t xml:space="preserve"> </w:t>
      </w:r>
      <w:r>
        <w:rPr>
          <w:spacing w:val="-4"/>
        </w:rPr>
        <w:t>0.44%；</w:t>
      </w:r>
      <w:r>
        <w:t xml:space="preserve">  </w:t>
      </w:r>
      <w:r>
        <w:rPr>
          <w:spacing w:val="-2"/>
        </w:rPr>
        <w:t>IC</w:t>
      </w:r>
      <w:r>
        <w:rPr>
          <w:spacing w:val="-39"/>
        </w:rPr>
        <w:t xml:space="preserve"> </w:t>
      </w:r>
      <w:r>
        <w:rPr>
          <w:spacing w:val="-2"/>
        </w:rPr>
        <w:t>跨期年化基差为-12.47%，1</w:t>
      </w:r>
      <w:r>
        <w:rPr>
          <w:spacing w:val="-26"/>
        </w:rPr>
        <w:t xml:space="preserve"> </w:t>
      </w:r>
      <w:r>
        <w:rPr>
          <w:spacing w:val="-2"/>
        </w:rPr>
        <w:t>月全月平均为-7.12%，2023</w:t>
      </w:r>
      <w:r>
        <w:rPr>
          <w:spacing w:val="-36"/>
        </w:rPr>
        <w:t xml:space="preserve"> </w:t>
      </w:r>
      <w:r>
        <w:rPr>
          <w:spacing w:val="-2"/>
        </w:rPr>
        <w:t>年</w:t>
      </w:r>
      <w:r>
        <w:rPr>
          <w:spacing w:val="-26"/>
        </w:rPr>
        <w:t xml:space="preserve"> </w:t>
      </w:r>
      <w:r>
        <w:rPr>
          <w:spacing w:val="-2"/>
        </w:rPr>
        <w:t>12</w:t>
      </w:r>
      <w:r>
        <w:rPr>
          <w:spacing w:val="-26"/>
        </w:rPr>
        <w:t xml:space="preserve"> </w:t>
      </w:r>
      <w:r>
        <w:rPr>
          <w:spacing w:val="-2"/>
        </w:rPr>
        <w:t>月平均</w:t>
      </w:r>
      <w:r>
        <w:rPr>
          <w:spacing w:val="-3"/>
        </w:rPr>
        <w:t>为-3.91%；</w:t>
      </w:r>
      <w:r>
        <w:rPr>
          <w:spacing w:val="-63"/>
        </w:rPr>
        <w:t xml:space="preserve"> </w:t>
      </w:r>
      <w:r>
        <w:rPr>
          <w:spacing w:val="-3"/>
        </w:rPr>
        <w:t>IM</w:t>
      </w:r>
      <w:r>
        <w:rPr>
          <w:spacing w:val="-38"/>
        </w:rPr>
        <w:t xml:space="preserve"> </w:t>
      </w:r>
      <w:r>
        <w:rPr>
          <w:spacing w:val="-3"/>
        </w:rPr>
        <w:t>跨</w:t>
      </w:r>
      <w:r>
        <w:t xml:space="preserve">  </w:t>
      </w:r>
      <w:r>
        <w:rPr>
          <w:spacing w:val="-3"/>
        </w:rPr>
        <w:t>期年化基差为-14.77%，1</w:t>
      </w:r>
      <w:r>
        <w:rPr>
          <w:spacing w:val="-27"/>
        </w:rPr>
        <w:t xml:space="preserve"> </w:t>
      </w:r>
      <w:r>
        <w:rPr>
          <w:spacing w:val="-3"/>
        </w:rPr>
        <w:t>月全月平均为-</w:t>
      </w:r>
      <w:r>
        <w:rPr>
          <w:spacing w:val="-4"/>
        </w:rPr>
        <w:t>8.88%，2023</w:t>
      </w:r>
      <w:r>
        <w:rPr>
          <w:spacing w:val="-35"/>
        </w:rPr>
        <w:t xml:space="preserve"> </w:t>
      </w:r>
      <w:r>
        <w:rPr>
          <w:spacing w:val="-4"/>
        </w:rPr>
        <w:t>年</w:t>
      </w:r>
      <w:r>
        <w:rPr>
          <w:spacing w:val="-27"/>
        </w:rPr>
        <w:t xml:space="preserve"> </w:t>
      </w:r>
      <w:r>
        <w:rPr>
          <w:spacing w:val="-4"/>
        </w:rPr>
        <w:t>12</w:t>
      </w:r>
      <w:r>
        <w:rPr>
          <w:spacing w:val="-26"/>
        </w:rPr>
        <w:t xml:space="preserve"> </w:t>
      </w:r>
      <w:r>
        <w:rPr>
          <w:spacing w:val="-4"/>
        </w:rPr>
        <w:t>月平均为-5.57%。相比于去年</w:t>
      </w:r>
      <w:r>
        <w:rPr>
          <w:spacing w:val="-4"/>
        </w:rPr>
        <w:t xml:space="preserve">  </w:t>
      </w:r>
      <w:r>
        <w:rPr>
          <w:spacing w:val="-4"/>
        </w:rPr>
        <w:t>末，今年</w:t>
      </w:r>
      <w:r>
        <w:rPr>
          <w:spacing w:val="-26"/>
        </w:rPr>
        <w:t xml:space="preserve"> </w:t>
      </w:r>
      <w:r>
        <w:rPr>
          <w:spacing w:val="-4"/>
        </w:rPr>
        <w:t>1</w:t>
      </w:r>
      <w:r>
        <w:rPr>
          <w:spacing w:val="-26"/>
        </w:rPr>
        <w:t xml:space="preserve"> </w:t>
      </w:r>
      <w:r>
        <w:rPr>
          <w:spacing w:val="-4"/>
        </w:rPr>
        <w:t>月以来使用三大股指期货合约对冲所需承担的平均贴水成本均</w:t>
      </w:r>
      <w:r>
        <w:rPr>
          <w:spacing w:val="-5"/>
        </w:rPr>
        <w:t>有极大幅度上升，</w:t>
      </w:r>
      <w:r>
        <w:t xml:space="preserve"> </w:t>
      </w:r>
      <w:r>
        <w:rPr>
          <w:spacing w:val="-3"/>
        </w:rPr>
        <w:t>已经回到</w:t>
      </w:r>
      <w:r>
        <w:rPr>
          <w:spacing w:val="-32"/>
        </w:rPr>
        <w:t xml:space="preserve"> </w:t>
      </w:r>
      <w:r>
        <w:rPr>
          <w:spacing w:val="-3"/>
        </w:rPr>
        <w:t>2021</w:t>
      </w:r>
      <w:r>
        <w:rPr>
          <w:spacing w:val="-36"/>
        </w:rPr>
        <w:t xml:space="preserve"> </w:t>
      </w:r>
      <w:r>
        <w:rPr>
          <w:spacing w:val="-3"/>
        </w:rPr>
        <w:t>年以来高位水平，并且基差波动水平也迅速放大。从持仓量来看，近期</w:t>
      </w:r>
      <w:r>
        <w:rPr>
          <w:spacing w:val="-3"/>
        </w:rPr>
        <w:t xml:space="preserve"> </w:t>
      </w:r>
      <w:r>
        <w:rPr>
          <w:spacing w:val="-3"/>
        </w:rPr>
        <w:t>IM</w:t>
      </w:r>
      <w:r>
        <w:rPr>
          <w:spacing w:val="-3"/>
        </w:rPr>
        <w:t xml:space="preserve">  </w:t>
      </w:r>
      <w:r>
        <w:rPr>
          <w:spacing w:val="-5"/>
        </w:rPr>
        <w:t>持仓量持续上升，截止到</w:t>
      </w:r>
      <w:r>
        <w:rPr>
          <w:spacing w:val="-23"/>
        </w:rPr>
        <w:t xml:space="preserve"> </w:t>
      </w:r>
      <w:r>
        <w:rPr>
          <w:spacing w:val="-5"/>
        </w:rPr>
        <w:t>1</w:t>
      </w:r>
      <w:r>
        <w:rPr>
          <w:spacing w:val="-26"/>
        </w:rPr>
        <w:t xml:space="preserve"> </w:t>
      </w:r>
      <w:r>
        <w:rPr>
          <w:spacing w:val="-5"/>
        </w:rPr>
        <w:t>月底已超过</w:t>
      </w:r>
      <w:r>
        <w:rPr>
          <w:spacing w:val="-41"/>
        </w:rPr>
        <w:t xml:space="preserve"> </w:t>
      </w:r>
      <w:r>
        <w:rPr>
          <w:spacing w:val="-5"/>
        </w:rPr>
        <w:t>300000</w:t>
      </w:r>
      <w:r>
        <w:rPr>
          <w:spacing w:val="-23"/>
        </w:rPr>
        <w:t xml:space="preserve"> </w:t>
      </w:r>
      <w:r>
        <w:rPr>
          <w:spacing w:val="-5"/>
        </w:rPr>
        <w:t>张，</w:t>
      </w:r>
      <w:r>
        <w:rPr>
          <w:spacing w:val="-30"/>
        </w:rPr>
        <w:t xml:space="preserve"> </w:t>
      </w:r>
      <w:r>
        <w:rPr>
          <w:spacing w:val="-5"/>
        </w:rPr>
        <w:t>几乎与</w:t>
      </w:r>
      <w:r>
        <w:rPr>
          <w:spacing w:val="-5"/>
        </w:rPr>
        <w:t xml:space="preserve"> </w:t>
      </w:r>
      <w:r>
        <w:rPr>
          <w:spacing w:val="-5"/>
        </w:rPr>
        <w:t>IC</w:t>
      </w:r>
      <w:r>
        <w:rPr>
          <w:spacing w:val="-37"/>
        </w:rPr>
        <w:t xml:space="preserve"> </w:t>
      </w:r>
      <w:r>
        <w:rPr>
          <w:spacing w:val="-5"/>
        </w:rPr>
        <w:t>持仓量持平。从全市场</w:t>
      </w:r>
      <w:r>
        <w:rPr>
          <w:spacing w:val="-5"/>
        </w:rPr>
        <w:t xml:space="preserve"> </w:t>
      </w:r>
      <w:r>
        <w:rPr>
          <w:spacing w:val="-5"/>
        </w:rPr>
        <w:t>IC</w:t>
      </w:r>
      <w:r>
        <w:rPr>
          <w:spacing w:val="-5"/>
        </w:rPr>
        <w:t xml:space="preserve">  </w:t>
      </w:r>
      <w:r>
        <w:rPr>
          <w:spacing w:val="-6"/>
        </w:rPr>
        <w:t>空单持仓量变化来看，</w:t>
      </w:r>
      <w:r>
        <w:rPr>
          <w:spacing w:val="50"/>
        </w:rPr>
        <w:t xml:space="preserve"> </w:t>
      </w:r>
      <w:r>
        <w:rPr>
          <w:spacing w:val="-6"/>
        </w:rPr>
        <w:t>2024</w:t>
      </w:r>
      <w:r>
        <w:rPr>
          <w:spacing w:val="-36"/>
        </w:rPr>
        <w:t xml:space="preserve"> </w:t>
      </w:r>
      <w:r>
        <w:rPr>
          <w:spacing w:val="-6"/>
        </w:rPr>
        <w:t>年</w:t>
      </w:r>
      <w:r>
        <w:rPr>
          <w:spacing w:val="-25"/>
        </w:rPr>
        <w:t xml:space="preserve"> </w:t>
      </w:r>
      <w:r>
        <w:rPr>
          <w:spacing w:val="-6"/>
        </w:rPr>
        <w:t>1</w:t>
      </w:r>
      <w:r>
        <w:rPr>
          <w:spacing w:val="-27"/>
        </w:rPr>
        <w:t xml:space="preserve"> </w:t>
      </w:r>
      <w:r>
        <w:rPr>
          <w:spacing w:val="-6"/>
        </w:rPr>
        <w:t>月</w:t>
      </w:r>
      <w:r>
        <w:rPr>
          <w:spacing w:val="-6"/>
        </w:rPr>
        <w:t xml:space="preserve"> </w:t>
      </w:r>
      <w:r>
        <w:rPr>
          <w:spacing w:val="-6"/>
        </w:rPr>
        <w:t>IC</w:t>
      </w:r>
      <w:r>
        <w:rPr>
          <w:spacing w:val="-7"/>
        </w:rPr>
        <w:t xml:space="preserve"> </w:t>
      </w:r>
      <w:r>
        <w:rPr>
          <w:spacing w:val="-7"/>
        </w:rPr>
        <w:t>空单平均持仓总量</w:t>
      </w:r>
      <w:r>
        <w:rPr>
          <w:spacing w:val="-40"/>
        </w:rPr>
        <w:t xml:space="preserve"> </w:t>
      </w:r>
      <w:r>
        <w:rPr>
          <w:spacing w:val="-7"/>
        </w:rPr>
        <w:t>299700</w:t>
      </w:r>
      <w:r>
        <w:rPr>
          <w:spacing w:val="-23"/>
        </w:rPr>
        <w:t xml:space="preserve"> </w:t>
      </w:r>
      <w:r>
        <w:rPr>
          <w:spacing w:val="-7"/>
        </w:rPr>
        <w:t>张左右，与去年末相比</w:t>
      </w:r>
      <w:r>
        <w:rPr>
          <w:spacing w:val="-7"/>
        </w:rPr>
        <w:t xml:space="preserve">  </w:t>
      </w:r>
      <w:r>
        <w:rPr>
          <w:spacing w:val="-5"/>
        </w:rPr>
        <w:t>变化不大。</w:t>
      </w:r>
    </w:p>
    <w:p>
      <w:pPr>
        <w:pStyle w:val="BodyText"/>
        <w:spacing w:before="147" w:line="212" w:lineRule="auto"/>
        <w:ind w:left="653"/>
        <w:rPr>
          <w:sz w:val="20"/>
          <w:szCs w:val="20"/>
        </w:rPr>
      </w:pPr>
      <w:r>
        <w:rPr>
          <w:i/>
          <w:iCs/>
          <w:spacing w:val="9"/>
          <w:sz w:val="20"/>
          <w:szCs w:val="20"/>
          <w14:textOutline w14:w="3537">
            <w14:solidFill>
              <w14:srgbClr w14:val="000000"/>
            </w14:solidFill>
            <w14:prstDash w14:val="solid"/>
            <w14:miter w14:lim="10"/>
          </w14:textOutline>
        </w:rPr>
        <w:t>图表12：</w:t>
      </w:r>
      <w:r>
        <w:rPr>
          <w:i/>
          <w:iCs/>
          <w:sz w:val="20"/>
          <w:szCs w:val="20"/>
          <w14:textOutline w14:w="3537">
            <w14:solidFill>
              <w14:srgbClr w14:val="000000"/>
            </w14:solidFill>
            <w14:prstDash w14:val="solid"/>
            <w14:miter w14:lim="10"/>
          </w14:textOutline>
        </w:rPr>
        <w:t>IF</w:t>
      </w:r>
      <w:r>
        <w:rPr>
          <w:i/>
          <w:iCs/>
          <w:spacing w:val="9"/>
          <w:sz w:val="20"/>
          <w:szCs w:val="20"/>
          <w14:textOutline w14:w="3537">
            <w14:solidFill>
              <w14:srgbClr w14:val="000000"/>
            </w14:solidFill>
            <w14:prstDash w14:val="solid"/>
            <w14:miter w14:lim="10"/>
          </w14:textOutline>
        </w:rPr>
        <w:t>远月、近月实时基差走势</w:t>
      </w:r>
      <w:r>
        <w:rPr>
          <w:spacing w:val="9"/>
          <w:sz w:val="20"/>
          <w:szCs w:val="20"/>
        </w:rPr>
        <w:t xml:space="preserve">    </w:t>
      </w:r>
      <w:r>
        <w:rPr>
          <w:spacing w:val="8"/>
          <w:sz w:val="20"/>
          <w:szCs w:val="20"/>
        </w:rPr>
        <w:t xml:space="preserve">                </w:t>
      </w:r>
      <w:r>
        <w:rPr>
          <w:i/>
          <w:iCs/>
          <w:spacing w:val="8"/>
          <w:sz w:val="20"/>
          <w:szCs w:val="20"/>
          <w14:textOutline w14:w="3537">
            <w14:solidFill>
              <w14:srgbClr w14:val="000000"/>
            </w14:solidFill>
            <w14:prstDash w14:val="solid"/>
            <w14:miter w14:lim="10"/>
          </w14:textOutline>
        </w:rPr>
        <w:t>图表13：</w:t>
      </w:r>
      <w:r>
        <w:rPr>
          <w:i/>
          <w:iCs/>
          <w:sz w:val="20"/>
          <w:szCs w:val="20"/>
          <w14:textOutline w14:w="3537">
            <w14:solidFill>
              <w14:srgbClr w14:val="000000"/>
            </w14:solidFill>
            <w14:prstDash w14:val="solid"/>
            <w14:miter w14:lim="10"/>
          </w14:textOutline>
        </w:rPr>
        <w:t>IF</w:t>
      </w:r>
      <w:r>
        <w:rPr>
          <w:i/>
          <w:iCs/>
          <w:spacing w:val="8"/>
          <w:sz w:val="20"/>
          <w:szCs w:val="20"/>
          <w14:textOutline w14:w="3537">
            <w14:solidFill>
              <w14:srgbClr w14:val="000000"/>
            </w14:solidFill>
            <w14:prstDash w14:val="solid"/>
            <w14:miter w14:lim="10"/>
          </w14:textOutline>
        </w:rPr>
        <w:t>跨期年化基差（加权）走势</w:t>
      </w:r>
    </w:p>
    <w:p>
      <w:pPr>
        <w:spacing w:before="28" w:line="3769" w:lineRule="exact"/>
        <w:ind w:firstLine="630"/>
      </w:pPr>
      <w:r>
        <w:rPr>
          <w:position w:val="-75"/>
        </w:rPr>
        <w:drawing>
          <wp:inline distT="0" distB="0" distL="0" distR="0">
            <wp:extent cx="6829170" cy="239306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6829170" cy="2393061"/>
                    </a:xfrm>
                    <a:prstGeom prst="rect">
                      <a:avLst/>
                    </a:prstGeom>
                  </pic:spPr>
                </pic:pic>
              </a:graphicData>
            </a:graphic>
          </wp:inline>
        </w:drawing>
      </w:r>
    </w:p>
    <w:p>
      <w:pPr>
        <w:spacing w:line="36" w:lineRule="exact"/>
      </w:pPr>
    </w:p>
    <w:p>
      <w:pPr>
        <w:spacing w:line="36" w:lineRule="exact"/>
        <w:sectPr>
          <w:headerReference w:type="default" r:id="rId28"/>
          <w:footerReference w:type="default" r:id="rId29"/>
          <w:pgSz w:w="11910" w:h="16845"/>
          <w:pgMar w:top="1058" w:right="0" w:bottom="495" w:left="0" w:header="487" w:footer="15" w:gutter="0"/>
          <w:pgNumType w:start="10"/>
          <w:cols w:num="1" w:space="708" w:equalWidth="0">
            <w:col w:w="11910" w:space="0"/>
          </w:cols>
        </w:sectPr>
      </w:pPr>
    </w:p>
    <w:p>
      <w:pPr>
        <w:pStyle w:val="BodyText"/>
        <w:spacing w:before="30" w:line="185" w:lineRule="auto"/>
        <w:ind w:left="638"/>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4" w:lineRule="auto"/>
        <w:rPr>
          <w:rFonts w:ascii="Arial"/>
          <w:sz w:val="2"/>
        </w:rPr>
      </w:pPr>
      <w:r>
        <w:rPr>
          <w:rFonts w:ascii="Arial" w:eastAsia="Arial" w:hAnsi="Arial" w:cs="Arial"/>
          <w:sz w:val="2"/>
          <w:szCs w:val="2"/>
        </w:rPr>
        <w:br w:type="column"/>
      </w:r>
    </w:p>
    <w:p>
      <w:pPr>
        <w:pStyle w:val="BodyText"/>
        <w:spacing w:before="28" w:line="185" w:lineRule="auto"/>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85" w:lineRule="auto"/>
        <w:rPr>
          <w:sz w:val="15"/>
          <w:szCs w:val="15"/>
        </w:rPr>
        <w:sectPr>
          <w:headerReference w:type="default" r:id="rId30"/>
          <w:footerReference w:type="default" r:id="rId31"/>
          <w:type w:val="continuous"/>
          <w:pgSz w:w="11910" w:h="16845"/>
          <w:pgMar w:top="1058" w:right="0" w:bottom="495" w:left="0" w:header="487" w:footer="15" w:gutter="0"/>
          <w:pgNumType w:start="11"/>
          <w:cols w:num="2" w:space="708" w:equalWidth="0">
            <w:col w:w="6036" w:space="100"/>
            <w:col w:w="5775" w:space="0"/>
          </w:cols>
        </w:sectPr>
      </w:pPr>
    </w:p>
    <w:p>
      <w:pPr>
        <w:spacing w:line="373" w:lineRule="auto"/>
        <w:rPr>
          <w:rFonts w:ascii="Arial"/>
          <w:sz w:val="21"/>
        </w:rPr>
      </w:pPr>
    </w:p>
    <w:p>
      <w:pPr>
        <w:pStyle w:val="BodyText"/>
        <w:spacing w:before="65" w:line="212" w:lineRule="auto"/>
        <w:ind w:left="653"/>
        <w:rPr>
          <w:sz w:val="20"/>
          <w:szCs w:val="20"/>
        </w:rPr>
      </w:pPr>
      <w:bookmarkStart w:id="14" w:name="bookmark17"/>
      <w:bookmarkEnd w:id="14"/>
      <w:bookmarkStart w:id="15" w:name="bookmark18"/>
      <w:bookmarkEnd w:id="15"/>
      <w:bookmarkStart w:id="16" w:name="bookmark19"/>
      <w:bookmarkEnd w:id="16"/>
      <w:bookmarkStart w:id="17" w:name="bookmark20"/>
      <w:bookmarkEnd w:id="17"/>
      <w:r>
        <w:rPr>
          <w:i/>
          <w:iCs/>
          <w:spacing w:val="9"/>
          <w:sz w:val="20"/>
          <w:szCs w:val="20"/>
          <w14:textOutline w14:w="3537">
            <w14:solidFill>
              <w14:srgbClr w14:val="000000"/>
            </w14:solidFill>
            <w14:prstDash w14:val="solid"/>
            <w14:miter w14:lim="10"/>
          </w14:textOutline>
        </w:rPr>
        <w:t>图表14：</w:t>
      </w:r>
      <w:r>
        <w:rPr>
          <w:i/>
          <w:iCs/>
          <w:sz w:val="20"/>
          <w:szCs w:val="20"/>
          <w14:textOutline w14:w="3537">
            <w14:solidFill>
              <w14:srgbClr w14:val="000000"/>
            </w14:solidFill>
            <w14:prstDash w14:val="solid"/>
            <w14:miter w14:lim="10"/>
          </w14:textOutline>
        </w:rPr>
        <w:t>IC</w:t>
      </w:r>
      <w:r>
        <w:rPr>
          <w:i/>
          <w:iCs/>
          <w:spacing w:val="9"/>
          <w:sz w:val="20"/>
          <w:szCs w:val="20"/>
          <w14:textOutline w14:w="3537">
            <w14:solidFill>
              <w14:srgbClr w14:val="000000"/>
            </w14:solidFill>
            <w14:prstDash w14:val="solid"/>
            <w14:miter w14:lim="10"/>
          </w14:textOutline>
        </w:rPr>
        <w:t>远月、近月实时基差走势</w:t>
      </w:r>
      <w:r>
        <w:rPr>
          <w:spacing w:val="9"/>
          <w:sz w:val="20"/>
          <w:szCs w:val="20"/>
        </w:rPr>
        <w:t xml:space="preserve">    </w:t>
      </w:r>
      <w:r>
        <w:rPr>
          <w:spacing w:val="8"/>
          <w:sz w:val="20"/>
          <w:szCs w:val="20"/>
        </w:rPr>
        <w:t xml:space="preserve">                </w:t>
      </w:r>
      <w:r>
        <w:rPr>
          <w:i/>
          <w:iCs/>
          <w:spacing w:val="8"/>
          <w:sz w:val="20"/>
          <w:szCs w:val="20"/>
          <w14:textOutline w14:w="3537">
            <w14:solidFill>
              <w14:srgbClr w14:val="000000"/>
            </w14:solidFill>
            <w14:prstDash w14:val="solid"/>
            <w14:miter w14:lim="10"/>
          </w14:textOutline>
        </w:rPr>
        <w:t>图表15：</w:t>
      </w:r>
      <w:r>
        <w:rPr>
          <w:i/>
          <w:iCs/>
          <w:sz w:val="20"/>
          <w:szCs w:val="20"/>
          <w14:textOutline w14:w="3537">
            <w14:solidFill>
              <w14:srgbClr w14:val="000000"/>
            </w14:solidFill>
            <w14:prstDash w14:val="solid"/>
            <w14:miter w14:lim="10"/>
          </w14:textOutline>
        </w:rPr>
        <w:t>IC</w:t>
      </w:r>
      <w:r>
        <w:rPr>
          <w:i/>
          <w:iCs/>
          <w:spacing w:val="8"/>
          <w:sz w:val="20"/>
          <w:szCs w:val="20"/>
          <w14:textOutline w14:w="3537">
            <w14:solidFill>
              <w14:srgbClr w14:val="000000"/>
            </w14:solidFill>
            <w14:prstDash w14:val="solid"/>
            <w14:miter w14:lim="10"/>
          </w14:textOutline>
        </w:rPr>
        <w:t>跨期年化基差（加权）走势</w:t>
      </w:r>
    </w:p>
    <w:p>
      <w:pPr>
        <w:spacing w:before="27" w:line="3769" w:lineRule="exact"/>
        <w:ind w:firstLine="630"/>
      </w:pPr>
      <w:r>
        <w:rPr>
          <w:position w:val="-75"/>
        </w:rPr>
        <w:drawing>
          <wp:inline distT="0" distB="0" distL="0" distR="0">
            <wp:extent cx="6829170" cy="239293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2"/>
                    <a:stretch>
                      <a:fillRect/>
                    </a:stretch>
                  </pic:blipFill>
                  <pic:spPr>
                    <a:xfrm>
                      <a:off x="0" y="0"/>
                      <a:ext cx="6829170" cy="2392933"/>
                    </a:xfrm>
                    <a:prstGeom prst="rect">
                      <a:avLst/>
                    </a:prstGeom>
                  </pic:spPr>
                </pic:pic>
              </a:graphicData>
            </a:graphic>
          </wp:inline>
        </w:drawing>
      </w:r>
    </w:p>
    <w:p>
      <w:pPr>
        <w:spacing w:line="51" w:lineRule="exact"/>
      </w:pPr>
    </w:p>
    <w:p>
      <w:pPr>
        <w:spacing w:line="51" w:lineRule="exact"/>
        <w:sectPr>
          <w:headerReference w:type="default" r:id="rId33"/>
          <w:footerReference w:type="default" r:id="rId34"/>
          <w:pgSz w:w="11910" w:h="16845"/>
          <w:pgMar w:top="1058" w:right="0" w:bottom="495" w:left="0" w:header="487" w:footer="15" w:gutter="0"/>
          <w:pgNumType w:start="12"/>
          <w:cols w:num="1" w:space="708" w:equalWidth="0">
            <w:col w:w="11910" w:space="0"/>
          </w:cols>
        </w:sectPr>
      </w:pPr>
    </w:p>
    <w:p>
      <w:pPr>
        <w:pStyle w:val="BodyText"/>
        <w:spacing w:before="29" w:line="185" w:lineRule="auto"/>
        <w:ind w:left="638"/>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4" w:lineRule="auto"/>
        <w:rPr>
          <w:rFonts w:ascii="Arial"/>
          <w:sz w:val="2"/>
        </w:rPr>
      </w:pPr>
      <w:r>
        <w:rPr>
          <w:rFonts w:ascii="Arial" w:eastAsia="Arial" w:hAnsi="Arial" w:cs="Arial"/>
          <w:sz w:val="2"/>
          <w:szCs w:val="2"/>
        </w:rPr>
        <w:br w:type="column"/>
      </w:r>
    </w:p>
    <w:p>
      <w:pPr>
        <w:pStyle w:val="BodyText"/>
        <w:spacing w:before="28" w:line="185" w:lineRule="auto"/>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85" w:lineRule="auto"/>
        <w:rPr>
          <w:sz w:val="15"/>
          <w:szCs w:val="15"/>
        </w:rPr>
        <w:sectPr>
          <w:headerReference w:type="default" r:id="rId35"/>
          <w:footerReference w:type="default" r:id="rId36"/>
          <w:type w:val="continuous"/>
          <w:pgSz w:w="11910" w:h="16845"/>
          <w:pgMar w:top="1058" w:right="0" w:bottom="495" w:left="0" w:header="487" w:footer="15" w:gutter="0"/>
          <w:pgNumType w:start="13"/>
          <w:cols w:num="2" w:space="708" w:equalWidth="0">
            <w:col w:w="6036" w:space="100"/>
            <w:col w:w="5775" w:space="0"/>
          </w:cols>
        </w:sectPr>
      </w:pPr>
    </w:p>
    <w:p>
      <w:pPr>
        <w:spacing w:line="276" w:lineRule="auto"/>
        <w:rPr>
          <w:rFonts w:ascii="Arial"/>
          <w:sz w:val="21"/>
        </w:rPr>
      </w:pPr>
    </w:p>
    <w:p>
      <w:pPr>
        <w:spacing w:line="277" w:lineRule="auto"/>
        <w:rPr>
          <w:rFonts w:ascii="Arial"/>
          <w:sz w:val="21"/>
        </w:rPr>
      </w:pPr>
    </w:p>
    <w:p>
      <w:pPr>
        <w:pStyle w:val="BodyText"/>
        <w:spacing w:before="65" w:line="212" w:lineRule="auto"/>
        <w:ind w:left="653"/>
        <w:rPr>
          <w:sz w:val="20"/>
          <w:szCs w:val="20"/>
        </w:rPr>
      </w:pPr>
      <w:r>
        <w:rPr>
          <w:i/>
          <w:iCs/>
          <w:spacing w:val="9"/>
          <w:sz w:val="20"/>
          <w:szCs w:val="20"/>
          <w14:textOutline w14:w="3537">
            <w14:solidFill>
              <w14:srgbClr w14:val="000000"/>
            </w14:solidFill>
            <w14:prstDash w14:val="solid"/>
            <w14:miter w14:lim="10"/>
          </w14:textOutline>
        </w:rPr>
        <w:t>图表16：</w:t>
      </w:r>
      <w:r>
        <w:rPr>
          <w:i/>
          <w:iCs/>
          <w:sz w:val="20"/>
          <w:szCs w:val="20"/>
          <w14:textOutline w14:w="3537">
            <w14:solidFill>
              <w14:srgbClr w14:val="000000"/>
            </w14:solidFill>
            <w14:prstDash w14:val="solid"/>
            <w14:miter w14:lim="10"/>
          </w14:textOutline>
        </w:rPr>
        <w:t>IM</w:t>
      </w:r>
      <w:r>
        <w:rPr>
          <w:i/>
          <w:iCs/>
          <w:spacing w:val="9"/>
          <w:sz w:val="20"/>
          <w:szCs w:val="20"/>
          <w14:textOutline w14:w="3537">
            <w14:solidFill>
              <w14:srgbClr w14:val="000000"/>
            </w14:solidFill>
            <w14:prstDash w14:val="solid"/>
            <w14:miter w14:lim="10"/>
          </w14:textOutline>
        </w:rPr>
        <w:t>远月、近月实时基差走势</w:t>
      </w:r>
      <w:r>
        <w:rPr>
          <w:spacing w:val="9"/>
          <w:sz w:val="20"/>
          <w:szCs w:val="20"/>
        </w:rPr>
        <w:t xml:space="preserve">    </w:t>
      </w:r>
      <w:r>
        <w:rPr>
          <w:spacing w:val="8"/>
          <w:sz w:val="20"/>
          <w:szCs w:val="20"/>
        </w:rPr>
        <w:t xml:space="preserve">                </w:t>
      </w:r>
      <w:r>
        <w:rPr>
          <w:i/>
          <w:iCs/>
          <w:spacing w:val="8"/>
          <w:sz w:val="20"/>
          <w:szCs w:val="20"/>
          <w14:textOutline w14:w="3537">
            <w14:solidFill>
              <w14:srgbClr w14:val="000000"/>
            </w14:solidFill>
            <w14:prstDash w14:val="solid"/>
            <w14:miter w14:lim="10"/>
          </w14:textOutline>
        </w:rPr>
        <w:t>图表17：</w:t>
      </w:r>
      <w:r>
        <w:rPr>
          <w:i/>
          <w:iCs/>
          <w:sz w:val="20"/>
          <w:szCs w:val="20"/>
          <w14:textOutline w14:w="3537">
            <w14:solidFill>
              <w14:srgbClr w14:val="000000"/>
            </w14:solidFill>
            <w14:prstDash w14:val="solid"/>
            <w14:miter w14:lim="10"/>
          </w14:textOutline>
        </w:rPr>
        <w:t>IM</w:t>
      </w:r>
      <w:r>
        <w:rPr>
          <w:i/>
          <w:iCs/>
          <w:spacing w:val="8"/>
          <w:sz w:val="20"/>
          <w:szCs w:val="20"/>
          <w14:textOutline w14:w="3537">
            <w14:solidFill>
              <w14:srgbClr w14:val="000000"/>
            </w14:solidFill>
            <w14:prstDash w14:val="solid"/>
            <w14:miter w14:lim="10"/>
          </w14:textOutline>
        </w:rPr>
        <w:t>跨期年化基差（加权）走势</w:t>
      </w:r>
    </w:p>
    <w:p>
      <w:pPr>
        <w:spacing w:before="27" w:line="3769" w:lineRule="exact"/>
        <w:ind w:firstLine="630"/>
      </w:pPr>
      <w:r>
        <w:rPr>
          <w:position w:val="-75"/>
        </w:rPr>
        <w:drawing>
          <wp:inline distT="0" distB="0" distL="0" distR="0">
            <wp:extent cx="6829170" cy="239306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7"/>
                    <a:stretch>
                      <a:fillRect/>
                    </a:stretch>
                  </pic:blipFill>
                  <pic:spPr>
                    <a:xfrm>
                      <a:off x="0" y="0"/>
                      <a:ext cx="6829170" cy="2393061"/>
                    </a:xfrm>
                    <a:prstGeom prst="rect">
                      <a:avLst/>
                    </a:prstGeom>
                  </pic:spPr>
                </pic:pic>
              </a:graphicData>
            </a:graphic>
          </wp:inline>
        </w:drawing>
      </w:r>
    </w:p>
    <w:p>
      <w:pPr>
        <w:pStyle w:val="BodyText"/>
        <w:spacing w:before="81" w:line="212" w:lineRule="auto"/>
        <w:ind w:left="6135"/>
        <w:rPr>
          <w:sz w:val="15"/>
          <w:szCs w:val="15"/>
        </w:rPr>
      </w:pPr>
      <w:r>
        <w:pict>
          <v:shape id="_x0000_s1034" type="#_x0000_t202" style="width:99.25pt;height:10.65pt;margin-top:3.06pt;margin-left:30.9pt;position:absolute;z-index:251665408" filled="f" stroked="f">
            <o:lock v:ext="edit" aspectratio="f"/>
            <v:textbox inset="0,0,0,0">
              <w:txbxContent>
                <w:p>
                  <w:pPr>
                    <w:pStyle w:val="BodyText"/>
                    <w:spacing w:before="20" w:line="212" w:lineRule="auto"/>
                    <w:ind w:left="20"/>
                    <w:rPr>
                      <w:sz w:val="15"/>
                      <w:szCs w:val="15"/>
                    </w:rPr>
                  </w:pPr>
                  <w:r>
                    <w:rPr>
                      <w:spacing w:val="-8"/>
                      <w:sz w:val="15"/>
                      <w:szCs w:val="15"/>
                    </w:rPr>
                    <w:t>来源：国金证券研究所，</w:t>
                  </w:r>
                  <w:r>
                    <w:rPr>
                      <w:spacing w:val="39"/>
                      <w:sz w:val="15"/>
                      <w:szCs w:val="15"/>
                    </w:rPr>
                    <w:t xml:space="preserve"> </w:t>
                  </w:r>
                  <w:r>
                    <w:rPr>
                      <w:spacing w:val="-8"/>
                      <w:sz w:val="15"/>
                      <w:szCs w:val="15"/>
                    </w:rPr>
                    <w:t>Wind</w:t>
                  </w:r>
                </w:p>
              </w:txbxContent>
            </v:textbox>
          </v:shape>
        </w:pict>
      </w:r>
      <w:r>
        <w:rPr>
          <w:spacing w:val="-8"/>
          <w:sz w:val="15"/>
          <w:szCs w:val="15"/>
        </w:rPr>
        <w:t>来源：国金证券研究所，</w:t>
      </w:r>
      <w:r>
        <w:rPr>
          <w:spacing w:val="39"/>
          <w:sz w:val="15"/>
          <w:szCs w:val="15"/>
        </w:rPr>
        <w:t xml:space="preserve"> </w:t>
      </w:r>
      <w:r>
        <w:rPr>
          <w:spacing w:val="-8"/>
          <w:sz w:val="15"/>
          <w:szCs w:val="15"/>
        </w:rPr>
        <w:t>Wind</w:t>
      </w:r>
    </w:p>
    <w:p>
      <w:pPr>
        <w:spacing w:line="334" w:lineRule="auto"/>
        <w:rPr>
          <w:rFonts w:ascii="Arial"/>
          <w:sz w:val="21"/>
        </w:rPr>
      </w:pPr>
    </w:p>
    <w:p>
      <w:pPr>
        <w:pStyle w:val="BodyText"/>
        <w:spacing w:before="68" w:line="207" w:lineRule="auto"/>
        <w:ind w:left="3192" w:right="525" w:hanging="2"/>
      </w:pPr>
      <w:r>
        <w:rPr>
          <w:spacing w:val="-6"/>
        </w:rPr>
        <w:t>从股票市场风险溢价来看（自</w:t>
      </w:r>
      <w:r>
        <w:rPr>
          <w:spacing w:val="-6"/>
        </w:rPr>
        <w:t xml:space="preserve"> </w:t>
      </w:r>
      <w:r>
        <w:rPr>
          <w:spacing w:val="-6"/>
        </w:rPr>
        <w:t>2011</w:t>
      </w:r>
      <w:r>
        <w:rPr>
          <w:spacing w:val="-25"/>
        </w:rPr>
        <w:t xml:space="preserve"> </w:t>
      </w:r>
      <w:r>
        <w:rPr>
          <w:spacing w:val="-6"/>
        </w:rPr>
        <w:t>年以来沪深</w:t>
      </w:r>
      <w:r>
        <w:rPr>
          <w:spacing w:val="-38"/>
        </w:rPr>
        <w:t xml:space="preserve"> </w:t>
      </w:r>
      <w:r>
        <w:rPr>
          <w:spacing w:val="-6"/>
        </w:rPr>
        <w:t>300</w:t>
      </w:r>
      <w:r>
        <w:rPr>
          <w:spacing w:val="-25"/>
        </w:rPr>
        <w:t xml:space="preserve"> </w:t>
      </w:r>
      <w:r>
        <w:rPr>
          <w:spacing w:val="-6"/>
        </w:rPr>
        <w:t>与中证</w:t>
      </w:r>
      <w:r>
        <w:rPr>
          <w:spacing w:val="-42"/>
        </w:rPr>
        <w:t xml:space="preserve"> </w:t>
      </w:r>
      <w:r>
        <w:rPr>
          <w:spacing w:val="-6"/>
        </w:rPr>
        <w:t>500</w:t>
      </w:r>
      <w:r>
        <w:rPr>
          <w:spacing w:val="-20"/>
        </w:rPr>
        <w:t xml:space="preserve"> </w:t>
      </w:r>
      <w:r>
        <w:rPr>
          <w:spacing w:val="-6"/>
        </w:rPr>
        <w:t>回报率与</w:t>
      </w:r>
      <w:r>
        <w:rPr>
          <w:spacing w:val="-27"/>
        </w:rPr>
        <w:t xml:space="preserve"> </w:t>
      </w:r>
      <w:r>
        <w:rPr>
          <w:spacing w:val="-6"/>
        </w:rPr>
        <w:t>10</w:t>
      </w:r>
      <w:r>
        <w:rPr>
          <w:spacing w:val="-36"/>
        </w:rPr>
        <w:t xml:space="preserve"> </w:t>
      </w:r>
      <w:r>
        <w:rPr>
          <w:spacing w:val="-6"/>
        </w:rPr>
        <w:t>年期国债到期</w:t>
      </w:r>
      <w:r>
        <w:t xml:space="preserve"> </w:t>
      </w:r>
      <w:r>
        <w:rPr>
          <w:spacing w:val="-6"/>
        </w:rPr>
        <w:t>收入率之差，自</w:t>
      </w:r>
      <w:r>
        <w:rPr>
          <w:spacing w:val="-40"/>
        </w:rPr>
        <w:t xml:space="preserve"> </w:t>
      </w:r>
      <w:r>
        <w:rPr>
          <w:spacing w:val="-6"/>
        </w:rPr>
        <w:t>2014</w:t>
      </w:r>
      <w:r>
        <w:rPr>
          <w:spacing w:val="-35"/>
        </w:rPr>
        <w:t xml:space="preserve"> </w:t>
      </w:r>
      <w:r>
        <w:rPr>
          <w:spacing w:val="-6"/>
        </w:rPr>
        <w:t>年</w:t>
      </w:r>
      <w:r>
        <w:rPr>
          <w:spacing w:val="-26"/>
        </w:rPr>
        <w:t xml:space="preserve"> </w:t>
      </w:r>
      <w:r>
        <w:rPr>
          <w:spacing w:val="-6"/>
        </w:rPr>
        <w:t>10</w:t>
      </w:r>
      <w:r>
        <w:rPr>
          <w:spacing w:val="-26"/>
        </w:rPr>
        <w:t xml:space="preserve"> </w:t>
      </w:r>
      <w:r>
        <w:rPr>
          <w:spacing w:val="-6"/>
        </w:rPr>
        <w:t>月以来中证</w:t>
      </w:r>
      <w:r>
        <w:rPr>
          <w:spacing w:val="-26"/>
        </w:rPr>
        <w:t xml:space="preserve"> </w:t>
      </w:r>
      <w:r>
        <w:rPr>
          <w:spacing w:val="-6"/>
        </w:rPr>
        <w:t>1000</w:t>
      </w:r>
      <w:r>
        <w:rPr>
          <w:spacing w:val="-21"/>
        </w:rPr>
        <w:t xml:space="preserve"> </w:t>
      </w:r>
      <w:r>
        <w:rPr>
          <w:spacing w:val="-6"/>
        </w:rPr>
        <w:t>回报率与</w:t>
      </w:r>
      <w:r>
        <w:rPr>
          <w:spacing w:val="-27"/>
        </w:rPr>
        <w:t xml:space="preserve"> </w:t>
      </w:r>
      <w:r>
        <w:rPr>
          <w:spacing w:val="-6"/>
        </w:rPr>
        <w:t>10</w:t>
      </w:r>
      <w:r>
        <w:rPr>
          <w:spacing w:val="-35"/>
        </w:rPr>
        <w:t xml:space="preserve"> </w:t>
      </w:r>
      <w:r>
        <w:rPr>
          <w:spacing w:val="-7"/>
        </w:rPr>
        <w:t>年期国债到期收入率之差</w:t>
      </w:r>
      <w:r>
        <w:rPr>
          <w:spacing w:val="-2"/>
        </w:rPr>
        <w:t>），</w:t>
      </w:r>
      <w:r>
        <w:rPr>
          <w:spacing w:val="-7"/>
        </w:rPr>
        <w:t>截</w:t>
      </w:r>
      <w:r>
        <w:rPr>
          <w:spacing w:val="-7"/>
        </w:rPr>
        <w:t xml:space="preserve"> </w:t>
      </w:r>
      <w:r>
        <w:rPr>
          <w:spacing w:val="-8"/>
        </w:rPr>
        <w:t>至</w:t>
      </w:r>
      <w:r>
        <w:rPr>
          <w:spacing w:val="-38"/>
        </w:rPr>
        <w:t xml:space="preserve"> </w:t>
      </w:r>
      <w:r>
        <w:rPr>
          <w:spacing w:val="-8"/>
        </w:rPr>
        <w:t>2024</w:t>
      </w:r>
      <w:r>
        <w:rPr>
          <w:spacing w:val="-35"/>
        </w:rPr>
        <w:t xml:space="preserve"> </w:t>
      </w:r>
      <w:r>
        <w:rPr>
          <w:spacing w:val="-8"/>
        </w:rPr>
        <w:t>年</w:t>
      </w:r>
      <w:r>
        <w:rPr>
          <w:spacing w:val="-41"/>
        </w:rPr>
        <w:t xml:space="preserve"> </w:t>
      </w:r>
      <w:r>
        <w:rPr>
          <w:spacing w:val="-8"/>
        </w:rPr>
        <w:t>1</w:t>
      </w:r>
      <w:r>
        <w:rPr>
          <w:spacing w:val="-27"/>
        </w:rPr>
        <w:t xml:space="preserve"> </w:t>
      </w:r>
      <w:r>
        <w:rPr>
          <w:spacing w:val="-8"/>
        </w:rPr>
        <w:t>月</w:t>
      </w:r>
      <w:r>
        <w:rPr>
          <w:spacing w:val="-36"/>
        </w:rPr>
        <w:t xml:space="preserve"> </w:t>
      </w:r>
      <w:r>
        <w:rPr>
          <w:spacing w:val="-8"/>
        </w:rPr>
        <w:t>31</w:t>
      </w:r>
      <w:r>
        <w:rPr>
          <w:spacing w:val="-8"/>
        </w:rPr>
        <w:t xml:space="preserve"> </w:t>
      </w:r>
      <w:r>
        <w:rPr>
          <w:spacing w:val="-8"/>
        </w:rPr>
        <w:t>日，当前沪深</w:t>
      </w:r>
      <w:r>
        <w:rPr>
          <w:spacing w:val="-37"/>
        </w:rPr>
        <w:t xml:space="preserve"> </w:t>
      </w:r>
      <w:r>
        <w:rPr>
          <w:spacing w:val="-8"/>
        </w:rPr>
        <w:t>300</w:t>
      </w:r>
      <w:r>
        <w:rPr>
          <w:spacing w:val="-40"/>
        </w:rPr>
        <w:t xml:space="preserve"> </w:t>
      </w:r>
      <w:r>
        <w:rPr>
          <w:spacing w:val="-8"/>
        </w:rPr>
        <w:t>风险溢价率</w:t>
      </w:r>
      <w:r>
        <w:rPr>
          <w:spacing w:val="-37"/>
        </w:rPr>
        <w:t xml:space="preserve"> </w:t>
      </w:r>
      <w:r>
        <w:rPr>
          <w:spacing w:val="-8"/>
        </w:rPr>
        <w:t>7.0%，目</w:t>
      </w:r>
      <w:r>
        <w:rPr>
          <w:spacing w:val="-9"/>
        </w:rPr>
        <w:t>前处在历史</w:t>
      </w:r>
      <w:r>
        <w:rPr>
          <w:spacing w:val="-42"/>
        </w:rPr>
        <w:t xml:space="preserve"> </w:t>
      </w:r>
      <w:r>
        <w:rPr>
          <w:spacing w:val="-9"/>
        </w:rPr>
        <w:t>92.40%分位值水平，</w:t>
      </w:r>
      <w:r>
        <w:t xml:space="preserve">  </w:t>
      </w:r>
      <w:r>
        <w:rPr>
          <w:spacing w:val="-2"/>
        </w:rPr>
        <w:t>相比去年末大幅回升；中证</w:t>
      </w:r>
      <w:r>
        <w:rPr>
          <w:spacing w:val="-26"/>
        </w:rPr>
        <w:t xml:space="preserve"> </w:t>
      </w:r>
      <w:r>
        <w:rPr>
          <w:spacing w:val="-2"/>
        </w:rPr>
        <w:t>500</w:t>
      </w:r>
      <w:r>
        <w:rPr>
          <w:spacing w:val="-39"/>
        </w:rPr>
        <w:t xml:space="preserve"> </w:t>
      </w:r>
      <w:r>
        <w:rPr>
          <w:spacing w:val="-2"/>
        </w:rPr>
        <w:t>风险溢价率</w:t>
      </w:r>
      <w:r>
        <w:rPr>
          <w:spacing w:val="-39"/>
        </w:rPr>
        <w:t xml:space="preserve"> </w:t>
      </w:r>
      <w:r>
        <w:rPr>
          <w:spacing w:val="-2"/>
        </w:rPr>
        <w:t>2.80%，与去年末相比同样显著提升，处在历</w:t>
      </w:r>
      <w:r>
        <w:rPr>
          <w:spacing w:val="-2"/>
        </w:rPr>
        <w:t xml:space="preserve"> </w:t>
      </w:r>
      <w:r>
        <w:rPr>
          <w:spacing w:val="-7"/>
        </w:rPr>
        <w:t>史</w:t>
      </w:r>
      <w:r>
        <w:rPr>
          <w:spacing w:val="-49"/>
        </w:rPr>
        <w:t xml:space="preserve"> </w:t>
      </w:r>
      <w:r>
        <w:rPr>
          <w:spacing w:val="-7"/>
        </w:rPr>
        <w:t>98.30%分位值水平，已连续</w:t>
      </w:r>
      <w:r>
        <w:rPr>
          <w:spacing w:val="-58"/>
        </w:rPr>
        <w:t xml:space="preserve"> </w:t>
      </w:r>
      <w:r>
        <w:rPr>
          <w:spacing w:val="-7"/>
        </w:rPr>
        <w:t>4</w:t>
      </w:r>
      <w:r>
        <w:rPr>
          <w:spacing w:val="-55"/>
        </w:rPr>
        <w:t xml:space="preserve"> </w:t>
      </w:r>
      <w:r>
        <w:rPr>
          <w:spacing w:val="-7"/>
        </w:rPr>
        <w:t>个月维持在高风险溢价区间；中证</w:t>
      </w:r>
      <w:r>
        <w:rPr>
          <w:spacing w:val="-43"/>
        </w:rPr>
        <w:t xml:space="preserve"> </w:t>
      </w:r>
      <w:r>
        <w:rPr>
          <w:spacing w:val="-7"/>
        </w:rPr>
        <w:t>1000</w:t>
      </w:r>
      <w:r>
        <w:rPr>
          <w:spacing w:val="-54"/>
        </w:rPr>
        <w:t xml:space="preserve"> </w:t>
      </w:r>
      <w:r>
        <w:rPr>
          <w:spacing w:val="-7"/>
        </w:rPr>
        <w:t>风险溢价率</w:t>
      </w:r>
      <w:r>
        <w:rPr>
          <w:spacing w:val="-42"/>
        </w:rPr>
        <w:t xml:space="preserve"> </w:t>
      </w:r>
      <w:r>
        <w:rPr>
          <w:spacing w:val="-7"/>
        </w:rPr>
        <w:t>1.03%，</w:t>
      </w:r>
      <w:r>
        <w:t xml:space="preserve"> </w:t>
      </w:r>
      <w:r>
        <w:rPr>
          <w:spacing w:val="-5"/>
        </w:rPr>
        <w:t>处在历史</w:t>
      </w:r>
      <w:r>
        <w:rPr>
          <w:spacing w:val="-43"/>
        </w:rPr>
        <w:t xml:space="preserve"> </w:t>
      </w:r>
      <w:r>
        <w:rPr>
          <w:spacing w:val="-5"/>
        </w:rPr>
        <w:t>95.90%分位值水平，</w:t>
      </w:r>
      <w:r>
        <w:rPr>
          <w:spacing w:val="61"/>
        </w:rPr>
        <w:t xml:space="preserve"> </w:t>
      </w:r>
      <w:r>
        <w:rPr>
          <w:spacing w:val="-5"/>
        </w:rPr>
        <w:t>为</w:t>
      </w:r>
      <w:r>
        <w:rPr>
          <w:spacing w:val="-38"/>
        </w:rPr>
        <w:t xml:space="preserve"> </w:t>
      </w:r>
      <w:r>
        <w:rPr>
          <w:spacing w:val="-5"/>
        </w:rPr>
        <w:t>2023</w:t>
      </w:r>
      <w:r>
        <w:rPr>
          <w:spacing w:val="-36"/>
        </w:rPr>
        <w:t xml:space="preserve"> </w:t>
      </w:r>
      <w:r>
        <w:rPr>
          <w:spacing w:val="-5"/>
        </w:rPr>
        <w:t>年以来首度重回高风险溢</w:t>
      </w:r>
      <w:r>
        <w:rPr>
          <w:spacing w:val="-6"/>
        </w:rPr>
        <w:t>价区间。</w:t>
      </w:r>
    </w:p>
    <w:p>
      <w:pPr>
        <w:spacing w:line="207" w:lineRule="auto"/>
        <w:sectPr>
          <w:headerReference w:type="default" r:id="rId38"/>
          <w:footerReference w:type="default" r:id="rId39"/>
          <w:type w:val="continuous"/>
          <w:pgSz w:w="11910" w:h="16845"/>
          <w:pgMar w:top="1058" w:right="0" w:bottom="495" w:left="0" w:header="487" w:footer="15" w:gutter="0"/>
          <w:pgNumType w:start="14"/>
          <w:cols w:num="1" w:space="708" w:equalWidth="0">
            <w:col w:w="11910" w:space="0"/>
          </w:cols>
        </w:sectPr>
      </w:pPr>
    </w:p>
    <w:p>
      <w:pPr>
        <w:spacing w:line="372" w:lineRule="auto"/>
        <w:rPr>
          <w:rFonts w:ascii="Arial"/>
          <w:sz w:val="21"/>
        </w:rPr>
      </w:pPr>
      <w:r>
        <w:drawing>
          <wp:anchor distT="0" distB="0" distL="0" distR="0" simplePos="0" relativeHeight="251666432" behindDoc="1" locked="0" layoutInCell="0" allowOverlap="1">
            <wp:simplePos x="0" y="0"/>
            <wp:positionH relativeFrom="page">
              <wp:posOffset>3200400</wp:posOffset>
            </wp:positionH>
            <wp:positionV relativeFrom="page">
              <wp:posOffset>4229100</wp:posOffset>
            </wp:positionV>
            <wp:extent cx="3867150" cy="25431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0"/>
                    <a:stretch>
                      <a:fillRect/>
                    </a:stretch>
                  </pic:blipFill>
                  <pic:spPr>
                    <a:xfrm>
                      <a:off x="0" y="0"/>
                      <a:ext cx="3867150" cy="2543175"/>
                    </a:xfrm>
                    <a:prstGeom prst="rect">
                      <a:avLst/>
                    </a:prstGeom>
                  </pic:spPr>
                </pic:pic>
              </a:graphicData>
            </a:graphic>
          </wp:anchor>
        </w:drawing>
      </w:r>
    </w:p>
    <w:p>
      <w:pPr>
        <w:pStyle w:val="BodyText"/>
        <w:spacing w:before="65" w:line="213" w:lineRule="auto"/>
        <w:ind w:left="653"/>
        <w:rPr>
          <w:sz w:val="20"/>
          <w:szCs w:val="20"/>
        </w:rPr>
      </w:pPr>
      <w:bookmarkStart w:id="18" w:name="bookmark21"/>
      <w:bookmarkEnd w:id="18"/>
      <w:bookmarkStart w:id="19" w:name="bookmark22"/>
      <w:bookmarkEnd w:id="19"/>
      <w:bookmarkStart w:id="20" w:name="bookmark23"/>
      <w:bookmarkEnd w:id="20"/>
      <w:r>
        <w:rPr>
          <w:i/>
          <w:iCs/>
          <w:spacing w:val="11"/>
          <w:sz w:val="20"/>
          <w:szCs w:val="20"/>
          <w14:textOutline w14:w="3537">
            <w14:solidFill>
              <w14:srgbClr w14:val="000000"/>
            </w14:solidFill>
            <w14:prstDash w14:val="solid"/>
            <w14:miter w14:lim="10"/>
          </w14:textOutline>
        </w:rPr>
        <w:t>图表18：沪深300风险溢价率</w:t>
      </w:r>
      <w:r>
        <w:rPr>
          <w:spacing w:val="11"/>
          <w:sz w:val="20"/>
          <w:szCs w:val="20"/>
        </w:rPr>
        <w:t xml:space="preserve">            </w:t>
      </w:r>
      <w:r>
        <w:rPr>
          <w:spacing w:val="10"/>
          <w:sz w:val="20"/>
          <w:szCs w:val="20"/>
        </w:rPr>
        <w:t xml:space="preserve">              </w:t>
      </w:r>
      <w:r>
        <w:rPr>
          <w:i/>
          <w:iCs/>
          <w:spacing w:val="10"/>
          <w:sz w:val="20"/>
          <w:szCs w:val="20"/>
          <w14:textOutline w14:w="3537">
            <w14:solidFill>
              <w14:srgbClr w14:val="000000"/>
            </w14:solidFill>
            <w14:prstDash w14:val="solid"/>
            <w14:miter w14:lim="10"/>
          </w14:textOutline>
        </w:rPr>
        <w:t>图表19：中证500风险溢价率</w:t>
      </w:r>
    </w:p>
    <w:p>
      <w:pPr>
        <w:spacing w:before="27" w:line="3768" w:lineRule="exact"/>
        <w:ind w:firstLine="630"/>
      </w:pPr>
      <w:r>
        <w:rPr>
          <w:position w:val="-75"/>
        </w:rPr>
        <w:drawing>
          <wp:inline distT="0" distB="0" distL="0" distR="0">
            <wp:extent cx="6828535" cy="239293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1"/>
                    <a:stretch>
                      <a:fillRect/>
                    </a:stretch>
                  </pic:blipFill>
                  <pic:spPr>
                    <a:xfrm>
                      <a:off x="0" y="0"/>
                      <a:ext cx="6828535" cy="2392933"/>
                    </a:xfrm>
                    <a:prstGeom prst="rect">
                      <a:avLst/>
                    </a:prstGeom>
                  </pic:spPr>
                </pic:pic>
              </a:graphicData>
            </a:graphic>
          </wp:inline>
        </w:drawing>
      </w:r>
    </w:p>
    <w:p>
      <w:pPr>
        <w:spacing w:line="51" w:lineRule="exact"/>
      </w:pPr>
    </w:p>
    <w:p>
      <w:pPr>
        <w:spacing w:line="51" w:lineRule="exact"/>
        <w:sectPr>
          <w:headerReference w:type="default" r:id="rId42"/>
          <w:footerReference w:type="default" r:id="rId43"/>
          <w:pgSz w:w="11910" w:h="16845"/>
          <w:pgMar w:top="1058" w:right="0" w:bottom="495" w:left="0" w:header="487" w:footer="15" w:gutter="0"/>
          <w:pgNumType w:start="15"/>
          <w:cols w:num="1" w:space="708" w:equalWidth="0">
            <w:col w:w="11910" w:space="0"/>
          </w:cols>
        </w:sectPr>
      </w:pPr>
    </w:p>
    <w:p>
      <w:pPr>
        <w:pStyle w:val="BodyText"/>
        <w:spacing w:before="29" w:line="185" w:lineRule="auto"/>
        <w:ind w:left="638"/>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4" w:lineRule="auto"/>
        <w:rPr>
          <w:rFonts w:ascii="Arial"/>
          <w:sz w:val="2"/>
        </w:rPr>
      </w:pPr>
      <w:r>
        <w:rPr>
          <w:rFonts w:ascii="Arial" w:eastAsia="Arial" w:hAnsi="Arial" w:cs="Arial"/>
          <w:sz w:val="2"/>
          <w:szCs w:val="2"/>
        </w:rPr>
        <w:br w:type="column"/>
      </w:r>
    </w:p>
    <w:p>
      <w:pPr>
        <w:pStyle w:val="BodyText"/>
        <w:spacing w:before="28" w:line="185" w:lineRule="auto"/>
        <w:rPr>
          <w:sz w:val="15"/>
          <w:szCs w:val="15"/>
        </w:rPr>
      </w:pPr>
      <w:r>
        <w:rPr>
          <w:spacing w:val="-8"/>
          <w:sz w:val="15"/>
          <w:szCs w:val="15"/>
        </w:rPr>
        <w:t>来源：国金证券研究所，</w:t>
      </w:r>
      <w:r>
        <w:rPr>
          <w:spacing w:val="39"/>
          <w:sz w:val="15"/>
          <w:szCs w:val="15"/>
        </w:rPr>
        <w:t xml:space="preserve"> </w:t>
      </w:r>
      <w:r>
        <w:rPr>
          <w:spacing w:val="-8"/>
          <w:sz w:val="15"/>
          <w:szCs w:val="15"/>
        </w:rPr>
        <w:t>Wind</w:t>
      </w:r>
    </w:p>
    <w:p>
      <w:pPr>
        <w:spacing w:line="185" w:lineRule="auto"/>
        <w:rPr>
          <w:sz w:val="15"/>
          <w:szCs w:val="15"/>
        </w:rPr>
        <w:sectPr>
          <w:headerReference w:type="default" r:id="rId44"/>
          <w:footerReference w:type="default" r:id="rId45"/>
          <w:type w:val="continuous"/>
          <w:pgSz w:w="11910" w:h="16845"/>
          <w:pgMar w:top="1058" w:right="0" w:bottom="495" w:left="0" w:header="487" w:footer="15" w:gutter="0"/>
          <w:pgNumType w:start="16"/>
          <w:cols w:num="2" w:space="708" w:equalWidth="0">
            <w:col w:w="6036" w:space="100"/>
            <w:col w:w="5775" w:space="0"/>
          </w:cols>
        </w:sectPr>
      </w:pPr>
    </w:p>
    <w:p>
      <w:pPr>
        <w:spacing w:line="276" w:lineRule="auto"/>
        <w:rPr>
          <w:rFonts w:ascii="Arial"/>
          <w:sz w:val="21"/>
        </w:rPr>
      </w:pPr>
    </w:p>
    <w:p>
      <w:pPr>
        <w:spacing w:line="277" w:lineRule="auto"/>
        <w:rPr>
          <w:rFonts w:ascii="Arial"/>
          <w:sz w:val="21"/>
        </w:rPr>
      </w:pPr>
    </w:p>
    <w:p>
      <w:pPr>
        <w:pStyle w:val="BodyText"/>
        <w:spacing w:before="65" w:line="213" w:lineRule="auto"/>
        <w:ind w:left="4903"/>
        <w:rPr>
          <w:sz w:val="20"/>
          <w:szCs w:val="20"/>
        </w:rPr>
      </w:pPr>
      <w:r>
        <w:rPr>
          <w:i/>
          <w:iCs/>
          <w:spacing w:val="12"/>
          <w:sz w:val="20"/>
          <w:szCs w:val="20"/>
          <w14:textOutline w14:w="3537">
            <w14:solidFill>
              <w14:srgbClr w14:val="000000"/>
            </w14:solidFill>
            <w14:prstDash w14:val="solid"/>
            <w14:miter w14:lim="10"/>
          </w14:textOutline>
        </w:rPr>
        <w:t>图表20：中证1000风险溢价率</w:t>
      </w:r>
    </w:p>
    <w:p>
      <w:pPr>
        <w:spacing w:before="27" w:line="4083" w:lineRule="exact"/>
        <w:ind w:firstLine="4896"/>
      </w:pPr>
      <w:r>
        <w:rPr>
          <w:position w:val="-81"/>
        </w:rPr>
        <w:pict>
          <v:group id="_x0000_i1035" style="width:320.65pt;height:204.2pt;mso-position-horizontal-relative:char;mso-position-vertical-relative:line" coordorigin="0,0" coordsize="6412,4083" filled="f" stroked="f">
            <v:rect id="_x0000_s1036" style="width:6412;height:15;position:absolute" filled="t" fillcolor="#1f3864" stroked="f"/>
            <v:rect id="_x0000_s1037" style="width:6412;height:15;position:absolute;top:4068" filled="t" fillcolor="#1f3864" stroked="f"/>
            <w10:wrap type="none"/>
          </v:group>
        </w:pict>
      </w:r>
    </w:p>
    <w:p>
      <w:pPr>
        <w:pStyle w:val="BodyText"/>
        <w:spacing w:before="82" w:line="212" w:lineRule="auto"/>
        <w:ind w:left="4888"/>
        <w:rPr>
          <w:sz w:val="15"/>
          <w:szCs w:val="15"/>
        </w:rPr>
      </w:pPr>
      <w:r>
        <w:rPr>
          <w:spacing w:val="-8"/>
          <w:sz w:val="15"/>
          <w:szCs w:val="15"/>
        </w:rPr>
        <w:t>来源：国金证券研究所，</w:t>
      </w:r>
      <w:r>
        <w:rPr>
          <w:spacing w:val="38"/>
          <w:w w:val="101"/>
          <w:sz w:val="15"/>
          <w:szCs w:val="15"/>
        </w:rPr>
        <w:t xml:space="preserve"> </w:t>
      </w:r>
      <w:r>
        <w:rPr>
          <w:spacing w:val="-8"/>
          <w:sz w:val="15"/>
          <w:szCs w:val="15"/>
        </w:rPr>
        <w:t>Wind</w:t>
      </w:r>
    </w:p>
    <w:p>
      <w:pPr>
        <w:pStyle w:val="BodyText"/>
        <w:spacing w:before="169" w:line="211" w:lineRule="auto"/>
        <w:ind w:left="3188" w:right="585" w:firstLine="2"/>
      </w:pPr>
      <w:r>
        <w:rPr>
          <w:spacing w:val="-7"/>
        </w:rPr>
        <w:t>对于量化选股策略而言，1</w:t>
      </w:r>
      <w:r>
        <w:rPr>
          <w:spacing w:val="-35"/>
        </w:rPr>
        <w:t xml:space="preserve"> </w:t>
      </w:r>
      <w:r>
        <w:rPr>
          <w:spacing w:val="-7"/>
        </w:rPr>
        <w:t>月</w:t>
      </w:r>
      <w:r>
        <w:rPr>
          <w:spacing w:val="-57"/>
        </w:rPr>
        <w:t xml:space="preserve"> </w:t>
      </w:r>
      <w:r>
        <w:rPr>
          <w:spacing w:val="-7"/>
        </w:rPr>
        <w:t>A</w:t>
      </w:r>
      <w:r>
        <w:rPr>
          <w:spacing w:val="-55"/>
        </w:rPr>
        <w:t xml:space="preserve"> </w:t>
      </w:r>
      <w:r>
        <w:rPr>
          <w:spacing w:val="-7"/>
        </w:rPr>
        <w:t>股出现了明显破位，在市场悲观情绪释放和爆发的影响下，</w:t>
      </w:r>
      <w:r>
        <w:t xml:space="preserve"> </w:t>
      </w:r>
      <w:r>
        <w:rPr>
          <w:spacing w:val="-6"/>
        </w:rPr>
        <w:t>指数进入恐慌式下跌区间，</w:t>
      </w:r>
      <w:r>
        <w:rPr>
          <w:spacing w:val="-6"/>
        </w:rPr>
        <w:t xml:space="preserve"> </w:t>
      </w:r>
      <w:r>
        <w:rPr>
          <w:spacing w:val="-6"/>
        </w:rPr>
        <w:t>尽管上证指数和沪深</w:t>
      </w:r>
      <w:r>
        <w:rPr>
          <w:spacing w:val="-40"/>
        </w:rPr>
        <w:t xml:space="preserve"> </w:t>
      </w:r>
      <w:r>
        <w:rPr>
          <w:spacing w:val="-6"/>
        </w:rPr>
        <w:t>300</w:t>
      </w:r>
      <w:r>
        <w:rPr>
          <w:spacing w:val="-40"/>
        </w:rPr>
        <w:t xml:space="preserve"> </w:t>
      </w:r>
      <w:r>
        <w:rPr>
          <w:spacing w:val="-6"/>
        </w:rPr>
        <w:t>跌</w:t>
      </w:r>
      <w:r>
        <w:rPr>
          <w:spacing w:val="-7"/>
        </w:rPr>
        <w:t>幅仅逾</w:t>
      </w:r>
      <w:r>
        <w:rPr>
          <w:spacing w:val="-40"/>
        </w:rPr>
        <w:t xml:space="preserve"> </w:t>
      </w:r>
      <w:r>
        <w:rPr>
          <w:spacing w:val="-7"/>
        </w:rPr>
        <w:t>6%，但中证</w:t>
      </w:r>
      <w:r>
        <w:rPr>
          <w:spacing w:val="-42"/>
        </w:rPr>
        <w:t xml:space="preserve"> </w:t>
      </w:r>
      <w:r>
        <w:rPr>
          <w:spacing w:val="-7"/>
        </w:rPr>
        <w:t>500、中证</w:t>
      </w:r>
      <w:r>
        <w:rPr>
          <w:spacing w:val="-25"/>
        </w:rPr>
        <w:t xml:space="preserve"> </w:t>
      </w:r>
      <w:r>
        <w:rPr>
          <w:spacing w:val="-7"/>
        </w:rPr>
        <w:t>1000</w:t>
      </w:r>
      <w:r>
        <w:t xml:space="preserve"> </w:t>
      </w:r>
      <w:r>
        <w:rPr>
          <w:spacing w:val="-3"/>
        </w:rPr>
        <w:t>及创业板指数均创下</w:t>
      </w:r>
      <w:r>
        <w:rPr>
          <w:spacing w:val="-13"/>
        </w:rPr>
        <w:t xml:space="preserve"> </w:t>
      </w:r>
      <w:r>
        <w:rPr>
          <w:spacing w:val="-3"/>
        </w:rPr>
        <w:t>2016</w:t>
      </w:r>
      <w:r>
        <w:rPr>
          <w:spacing w:val="-20"/>
        </w:rPr>
        <w:t xml:space="preserve"> </w:t>
      </w:r>
      <w:r>
        <w:rPr>
          <w:spacing w:val="-3"/>
        </w:rPr>
        <w:t>年</w:t>
      </w:r>
      <w:r>
        <w:rPr>
          <w:spacing w:val="-3"/>
        </w:rPr>
        <w:t xml:space="preserve"> </w:t>
      </w:r>
      <w:r>
        <w:rPr>
          <w:spacing w:val="-3"/>
        </w:rPr>
        <w:t>1</w:t>
      </w:r>
      <w:r>
        <w:rPr>
          <w:spacing w:val="-3"/>
        </w:rPr>
        <w:t xml:space="preserve"> </w:t>
      </w:r>
      <w:r>
        <w:rPr>
          <w:spacing w:val="-3"/>
        </w:rPr>
        <w:t>月熔断以来最大单月跌幅，其中中证</w:t>
      </w:r>
      <w:r>
        <w:rPr>
          <w:spacing w:val="-3"/>
        </w:rPr>
        <w:t xml:space="preserve"> </w:t>
      </w:r>
      <w:r>
        <w:rPr>
          <w:spacing w:val="-3"/>
        </w:rPr>
        <w:t>1000</w:t>
      </w:r>
      <w:r>
        <w:rPr>
          <w:spacing w:val="-22"/>
        </w:rPr>
        <w:t xml:space="preserve"> </w:t>
      </w:r>
      <w:r>
        <w:rPr>
          <w:spacing w:val="-3"/>
        </w:rPr>
        <w:t>及创业板指</w:t>
      </w:r>
      <w:r>
        <w:rPr>
          <w:spacing w:val="-3"/>
        </w:rPr>
        <w:t xml:space="preserve"> </w:t>
      </w:r>
      <w:r>
        <w:rPr>
          <w:spacing w:val="-3"/>
        </w:rPr>
        <w:t>1</w:t>
      </w:r>
      <w:r>
        <w:t xml:space="preserve"> </w:t>
      </w:r>
      <w:r>
        <w:rPr>
          <w:spacing w:val="-3"/>
        </w:rPr>
        <w:t>月跌幅超过</w:t>
      </w:r>
      <w:r>
        <w:rPr>
          <w:spacing w:val="-29"/>
        </w:rPr>
        <w:t xml:space="preserve"> </w:t>
      </w:r>
      <w:r>
        <w:rPr>
          <w:spacing w:val="-3"/>
        </w:rPr>
        <w:t>15%，中证</w:t>
      </w:r>
      <w:r>
        <w:rPr>
          <w:spacing w:val="-38"/>
        </w:rPr>
        <w:t xml:space="preserve"> </w:t>
      </w:r>
      <w:r>
        <w:rPr>
          <w:spacing w:val="-3"/>
        </w:rPr>
        <w:t>2000</w:t>
      </w:r>
      <w:r>
        <w:rPr>
          <w:spacing w:val="-40"/>
        </w:rPr>
        <w:t xml:space="preserve"> </w:t>
      </w:r>
      <w:r>
        <w:rPr>
          <w:spacing w:val="-3"/>
        </w:rPr>
        <w:t>跌幅接近</w:t>
      </w:r>
      <w:r>
        <w:rPr>
          <w:spacing w:val="-39"/>
        </w:rPr>
        <w:t xml:space="preserve"> </w:t>
      </w:r>
      <w:r>
        <w:rPr>
          <w:spacing w:val="-3"/>
        </w:rPr>
        <w:t>21%。从各行业板块来</w:t>
      </w:r>
      <w:r>
        <w:rPr>
          <w:spacing w:val="-4"/>
        </w:rPr>
        <w:t>看，全月中证</w:t>
      </w:r>
      <w:r>
        <w:rPr>
          <w:spacing w:val="-42"/>
        </w:rPr>
        <w:t xml:space="preserve"> </w:t>
      </w:r>
      <w:r>
        <w:rPr>
          <w:spacing w:val="-4"/>
        </w:rPr>
        <w:t>500</w:t>
      </w:r>
      <w:r>
        <w:rPr>
          <w:spacing w:val="-36"/>
        </w:rPr>
        <w:t xml:space="preserve"> </w:t>
      </w:r>
      <w:r>
        <w:rPr>
          <w:spacing w:val="-4"/>
        </w:rPr>
        <w:t>成分股内个</w:t>
      </w:r>
      <w:r>
        <w:t xml:space="preserve"> </w:t>
      </w:r>
      <w:r>
        <w:rPr>
          <w:spacing w:val="-2"/>
        </w:rPr>
        <w:t>股平均表现占压倒性优势，极致的大小盘风格给多头端超额带来历史不遇</w:t>
      </w:r>
      <w:r>
        <w:rPr>
          <w:spacing w:val="-3"/>
        </w:rPr>
        <w:t>的难度。整体来</w:t>
      </w:r>
      <w:r>
        <w:t xml:space="preserve"> </w:t>
      </w:r>
      <w:r>
        <w:rPr>
          <w:spacing w:val="-3"/>
        </w:rPr>
        <w:t>看各指数增强策略超额表现自月末开始出现明显回撤，不过以截至</w:t>
      </w:r>
      <w:r>
        <w:rPr>
          <w:spacing w:val="-3"/>
        </w:rPr>
        <w:t xml:space="preserve"> </w:t>
      </w:r>
      <w:r>
        <w:rPr>
          <w:spacing w:val="-3"/>
        </w:rPr>
        <w:t>1</w:t>
      </w:r>
      <w:r>
        <w:rPr>
          <w:spacing w:val="-13"/>
        </w:rPr>
        <w:t xml:space="preserve"> </w:t>
      </w:r>
      <w:r>
        <w:rPr>
          <w:spacing w:val="-3"/>
        </w:rPr>
        <w:t>月</w:t>
      </w:r>
      <w:r>
        <w:rPr>
          <w:spacing w:val="-38"/>
        </w:rPr>
        <w:t xml:space="preserve"> </w:t>
      </w:r>
      <w:r>
        <w:rPr>
          <w:spacing w:val="-3"/>
        </w:rPr>
        <w:t>26</w:t>
      </w:r>
      <w:r>
        <w:rPr>
          <w:spacing w:val="-3"/>
        </w:rPr>
        <w:t xml:space="preserve"> </w:t>
      </w:r>
      <w:r>
        <w:rPr>
          <w:spacing w:val="-3"/>
        </w:rPr>
        <w:t>日的周度净值</w:t>
      </w:r>
      <w:r>
        <w:t xml:space="preserve"> </w:t>
      </w:r>
      <w:r>
        <w:t>来看，全月仍然获得一定幅度的正超额。</w:t>
      </w:r>
    </w:p>
    <w:p>
      <w:pPr>
        <w:pStyle w:val="BodyText"/>
        <w:spacing w:before="122" w:line="207" w:lineRule="auto"/>
        <w:ind w:left="3187" w:right="584" w:firstLine="3"/>
        <w:jc w:val="both"/>
      </w:pPr>
      <w:r>
        <w:rPr>
          <w:spacing w:val="-5"/>
        </w:rPr>
        <w:t>对于阿尔法策略而言，</w:t>
      </w:r>
      <w:r>
        <w:rPr>
          <w:spacing w:val="-5"/>
        </w:rPr>
        <w:t xml:space="preserve"> </w:t>
      </w:r>
      <w:r>
        <w:rPr>
          <w:spacing w:val="-5"/>
        </w:rPr>
        <w:t>1</w:t>
      </w:r>
      <w:r>
        <w:rPr>
          <w:spacing w:val="-27"/>
        </w:rPr>
        <w:t xml:space="preserve"> </w:t>
      </w:r>
      <w:r>
        <w:rPr>
          <w:spacing w:val="-5"/>
        </w:rPr>
        <w:t>月以来，除去各指数普跌以及大小盘剪刀差持续</w:t>
      </w:r>
      <w:r>
        <w:rPr>
          <w:spacing w:val="-6"/>
        </w:rPr>
        <w:t>走阔导致的</w:t>
      </w:r>
      <w:r>
        <w:rPr>
          <w:spacing w:val="-37"/>
        </w:rPr>
        <w:t xml:space="preserve"> </w:t>
      </w:r>
      <w:r>
        <w:rPr>
          <w:spacing w:val="-6"/>
        </w:rPr>
        <w:t>beta</w:t>
      </w:r>
      <w:r>
        <w:t xml:space="preserve"> </w:t>
      </w:r>
      <w:r>
        <w:rPr>
          <w:spacing w:val="-2"/>
        </w:rPr>
        <w:t>与</w:t>
      </w:r>
      <w:r>
        <w:rPr>
          <w:spacing w:val="-35"/>
        </w:rPr>
        <w:t xml:space="preserve"> </w:t>
      </w:r>
      <w:r>
        <w:rPr>
          <w:spacing w:val="-2"/>
        </w:rPr>
        <w:t>alpha</w:t>
      </w:r>
      <w:r>
        <w:rPr>
          <w:spacing w:val="-2"/>
        </w:rPr>
        <w:t xml:space="preserve"> </w:t>
      </w:r>
      <w:r>
        <w:rPr>
          <w:spacing w:val="-2"/>
        </w:rPr>
        <w:t>同时回撤以外，空头端同样面临着基差迅速大幅加深</w:t>
      </w:r>
      <w:r>
        <w:rPr>
          <w:spacing w:val="-3"/>
        </w:rPr>
        <w:t>的现象。1</w:t>
      </w:r>
      <w:r>
        <w:rPr>
          <w:spacing w:val="-27"/>
        </w:rPr>
        <w:t xml:space="preserve"> </w:t>
      </w:r>
      <w:r>
        <w:rPr>
          <w:spacing w:val="-3"/>
        </w:rPr>
        <w:t>月上半月在经历</w:t>
      </w:r>
      <w:r>
        <w:t xml:space="preserve"> </w:t>
      </w:r>
      <w:r>
        <w:rPr>
          <w:spacing w:val="-4"/>
        </w:rPr>
        <w:t>市场普跌后，</w:t>
      </w:r>
      <w:r>
        <w:rPr>
          <w:spacing w:val="40"/>
        </w:rPr>
        <w:t xml:space="preserve"> </w:t>
      </w:r>
      <w:r>
        <w:rPr>
          <w:spacing w:val="-4"/>
        </w:rPr>
        <w:t>中证</w:t>
      </w:r>
      <w:r>
        <w:rPr>
          <w:spacing w:val="-41"/>
        </w:rPr>
        <w:t xml:space="preserve"> </w:t>
      </w:r>
      <w:r>
        <w:rPr>
          <w:spacing w:val="-4"/>
        </w:rPr>
        <w:t>500</w:t>
      </w:r>
      <w:r>
        <w:rPr>
          <w:spacing w:val="-38"/>
        </w:rPr>
        <w:t xml:space="preserve"> </w:t>
      </w:r>
      <w:r>
        <w:rPr>
          <w:spacing w:val="-4"/>
        </w:rPr>
        <w:t>和中证</w:t>
      </w:r>
      <w:r>
        <w:rPr>
          <w:spacing w:val="-26"/>
        </w:rPr>
        <w:t xml:space="preserve"> </w:t>
      </w:r>
      <w:r>
        <w:rPr>
          <w:spacing w:val="-4"/>
        </w:rPr>
        <w:t>1000</w:t>
      </w:r>
      <w:r>
        <w:rPr>
          <w:spacing w:val="-32"/>
        </w:rPr>
        <w:t xml:space="preserve"> </w:t>
      </w:r>
      <w:r>
        <w:rPr>
          <w:spacing w:val="-4"/>
        </w:rPr>
        <w:t>指数自第三周开</w:t>
      </w:r>
      <w:r>
        <w:rPr>
          <w:spacing w:val="-5"/>
        </w:rPr>
        <w:t>始逐步逼近雪球的敲入密集区。为应</w:t>
      </w:r>
      <w:r>
        <w:t xml:space="preserve"> </w:t>
      </w:r>
      <w:r>
        <w:rPr>
          <w:spacing w:val="-5"/>
        </w:rPr>
        <w:t>对雪球结构敲入，</w:t>
      </w:r>
      <w:r>
        <w:rPr>
          <w:spacing w:val="23"/>
        </w:rPr>
        <w:t xml:space="preserve"> </w:t>
      </w:r>
      <w:r>
        <w:rPr>
          <w:spacing w:val="-5"/>
        </w:rPr>
        <w:t>雪球对手方需要减仓其进</w:t>
      </w:r>
      <w:r>
        <w:rPr>
          <w:spacing w:val="-6"/>
        </w:rPr>
        <w:t>行</w:t>
      </w:r>
      <w:r>
        <w:rPr>
          <w:spacing w:val="-38"/>
        </w:rPr>
        <w:t xml:space="preserve"> </w:t>
      </w:r>
      <w:r>
        <w:rPr>
          <w:spacing w:val="-6"/>
        </w:rPr>
        <w:t>delta</w:t>
      </w:r>
      <w:r>
        <w:rPr>
          <w:spacing w:val="-37"/>
        </w:rPr>
        <w:t xml:space="preserve"> </w:t>
      </w:r>
      <w:r>
        <w:rPr>
          <w:spacing w:val="-6"/>
        </w:rPr>
        <w:t>对冲所持有的股指期货多头。大量的</w:t>
      </w:r>
      <w:r>
        <w:t xml:space="preserve"> </w:t>
      </w:r>
      <w:r>
        <w:rPr>
          <w:spacing w:val="-6"/>
        </w:rPr>
        <w:t>集中敲入导致</w:t>
      </w:r>
      <w:r>
        <w:rPr>
          <w:spacing w:val="-6"/>
        </w:rPr>
        <w:t xml:space="preserve"> </w:t>
      </w:r>
      <w:r>
        <w:rPr>
          <w:spacing w:val="-6"/>
        </w:rPr>
        <w:t>IC、</w:t>
      </w:r>
      <w:r>
        <w:rPr>
          <w:spacing w:val="-51"/>
        </w:rPr>
        <w:t xml:space="preserve"> </w:t>
      </w:r>
      <w:r>
        <w:rPr>
          <w:spacing w:val="-6"/>
        </w:rPr>
        <w:t>IM</w:t>
      </w:r>
      <w:r>
        <w:rPr>
          <w:spacing w:val="-24"/>
        </w:rPr>
        <w:t xml:space="preserve"> </w:t>
      </w:r>
      <w:r>
        <w:rPr>
          <w:spacing w:val="-6"/>
        </w:rPr>
        <w:t>基差贴水快速持续扩大，</w:t>
      </w:r>
      <w:r>
        <w:rPr>
          <w:spacing w:val="54"/>
        </w:rPr>
        <w:t xml:space="preserve"> </w:t>
      </w:r>
      <w:r>
        <w:rPr>
          <w:spacing w:val="-6"/>
        </w:rPr>
        <w:t>一度扩大到年化</w:t>
      </w:r>
      <w:r>
        <w:rPr>
          <w:spacing w:val="-21"/>
        </w:rPr>
        <w:t xml:space="preserve"> </w:t>
      </w:r>
      <w:r>
        <w:rPr>
          <w:spacing w:val="-6"/>
        </w:rPr>
        <w:t>30%以上的罕见水平。这</w:t>
      </w:r>
      <w:r>
        <w:t xml:space="preserve"> </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https://d.book118.com/298044046012006041</w:t>
        </w:r>
      </w:hyperlink>
    </w:p>
    <w:p>
      <w:pPr>
        <w:pStyle w:val="BodyText"/>
        <w:spacing w:before="122" w:line="207" w:lineRule="auto"/>
        <w:ind w:left="3187" w:right="584" w:firstLine="3"/>
        <w:jc w:val="both"/>
      </w:pPr>
    </w:p>
    <w:sectPr>
      <w:headerReference w:type="default" r:id="rId47"/>
      <w:footerReference w:type="default" r:id="rId48"/>
      <w:type w:val="continuous"/>
      <w:pgSz w:w="11910" w:h="16845"/>
      <w:pgMar w:top="1058" w:right="0" w:bottom="495" w:left="0" w:header="487" w:footer="15" w:gutter="0"/>
      <w:pgNumType w:start="17"/>
      <w:cols w:num="1" w:space="708" w:equalWidth="0">
        <w:col w:w="1191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49" style="width:595.5pt;height:0.75pt;margin-top:817.48pt;margin-left:0;mso-position-horizontal-relative:page;mso-position-vertical-relative:page;position:absolute;z-index:251659264" o:allowincell="f" filled="t" fillcolor="#004a70" stroked="f"/>
      </w:pict>
    </w:r>
    <w:r>
      <w:pict>
        <v:shapetype id="_x0000_t202" coordsize="21600,21600" o:spt="202" path="m,l,21600r21600,l21600,xe">
          <v:stroke joinstyle="miter"/>
          <v:path gradientshapeok="t" o:connecttype="rect"/>
        </v:shapetype>
        <v:shape id="_x0000_s2050" type="#_x0000_t202" style="width:6.35pt;height:12.4pt;margin-top:824.95pt;margin-left:571.42pt;mso-position-horizontal-relative:page;mso-position-vertical-relative:page;position:absolute;z-index:251658240" o:allowincell="f" filled="f" stroked="f">
          <o:lock v:ext="edit" aspectratio="f"/>
          <v:textbox inset="0,0,0,0">
            <w:txbxContent>
              <w:p>
                <w:pPr>
                  <w:pStyle w:val="BodyText"/>
                  <w:spacing w:before="20" w:line="182" w:lineRule="auto"/>
                  <w:ind w:right="1"/>
                  <w:jc w:val="right"/>
                </w:pPr>
                <w:r>
                  <w:t>1</w:t>
                </w:r>
              </w:p>
            </w:txbxContent>
          </v:textbox>
        </v:shape>
      </w:pict>
    </w:r>
    <w:r>
      <w:rPr>
        <w:position w:val="-10"/>
      </w:rPr>
      <w:pict>
        <v:shape id="_x0000_i2051"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52" style="width:595.5pt;height:0.75pt;margin-top:817.48pt;margin-left:0;mso-position-horizontal-relative:page;mso-position-vertical-relative:page;position:absolute;z-index:251661312" o:allowincell="f" filled="t" fillcolor="#004a70" stroked="f"/>
      </w:pict>
    </w:r>
    <w:r>
      <w:pict>
        <v:shapetype id="_x0000_t202" coordsize="21600,21600" o:spt="202" path="m,l,21600r21600,l21600,xe">
          <v:stroke joinstyle="miter"/>
          <v:path gradientshapeok="t" o:connecttype="rect"/>
        </v:shapetype>
        <v:shape id="_x0000_s2053" type="#_x0000_t202" style="width:6.35pt;height:12.4pt;margin-top:824.95pt;margin-left:571.42pt;mso-position-horizontal-relative:page;mso-position-vertical-relative:page;position:absolute;z-index:251660288" o:allowincell="f" filled="f" stroked="f">
          <o:lock v:ext="edit" aspectratio="f"/>
          <v:textbox inset="0,0,0,0">
            <w:txbxContent>
              <w:p>
                <w:pPr>
                  <w:pStyle w:val="BodyText"/>
                  <w:spacing w:before="20" w:line="182" w:lineRule="auto"/>
                  <w:ind w:right="1"/>
                  <w:jc w:val="right"/>
                </w:pPr>
                <w:r>
                  <w:t>1</w:t>
                </w:r>
              </w:p>
            </w:txbxContent>
          </v:textbox>
        </v:shape>
      </w:pict>
    </w:r>
    <w:r>
      <w:rPr>
        <w:position w:val="-10"/>
      </w:rPr>
      <w:pict>
        <v:shape id="_x0000_i2054"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55" style="width:595.5pt;height:0.75pt;margin-top:817.48pt;margin-left:0;mso-position-horizontal-relative:page;mso-position-vertical-relative:page;position:absolute;z-index:251663360" o:allowincell="f" filled="t" fillcolor="#004a70" stroked="f"/>
      </w:pict>
    </w:r>
    <w:r>
      <w:pict>
        <v:shapetype id="_x0000_t202" coordsize="21600,21600" o:spt="202" path="m,l,21600r21600,l21600,xe">
          <v:stroke joinstyle="miter"/>
          <v:path gradientshapeok="t" o:connecttype="rect"/>
        </v:shapetype>
        <v:shape id="_x0000_s2056" type="#_x0000_t202" style="width:6.35pt;height:12.4pt;margin-top:824.95pt;margin-left:571.42pt;mso-position-horizontal-relative:page;mso-position-vertical-relative:page;position:absolute;z-index:251662336" o:allowincell="f" filled="f" stroked="f">
          <o:lock v:ext="edit" aspectratio="f"/>
          <v:textbox inset="0,0,0,0">
            <w:txbxContent>
              <w:p>
                <w:pPr>
                  <w:pStyle w:val="BodyText"/>
                  <w:spacing w:before="20" w:line="182" w:lineRule="auto"/>
                  <w:ind w:right="1"/>
                  <w:jc w:val="right"/>
                </w:pPr>
                <w:r>
                  <w:t>1</w:t>
                </w:r>
              </w:p>
            </w:txbxContent>
          </v:textbox>
        </v:shape>
      </w:pict>
    </w:r>
    <w:r>
      <w:rPr>
        <w:position w:val="-10"/>
      </w:rPr>
      <w:pict>
        <v:shape id="_x0000_i2057"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58" style="width:595.5pt;height:0.75pt;margin-top:817.48pt;margin-left:0;mso-position-horizontal-relative:page;mso-position-vertical-relative:page;position:absolute;z-index:251665408" o:allowincell="f" filled="t" fillcolor="#004a70" stroked="f"/>
      </w:pict>
    </w:r>
    <w:r>
      <w:pict>
        <v:shapetype id="_x0000_t202" coordsize="21600,21600" o:spt="202" path="m,l,21600r21600,l21600,xe">
          <v:stroke joinstyle="miter"/>
          <v:path gradientshapeok="t" o:connecttype="rect"/>
        </v:shapetype>
        <v:shape id="_x0000_s2059" type="#_x0000_t202" style="width:6.95pt;height:12.45pt;margin-top:824.87pt;margin-left:570.8pt;mso-position-horizontal-relative:page;mso-position-vertical-relative:page;position:absolute;z-index:251664384" o:allowincell="f" filled="f" stroked="f">
          <o:lock v:ext="edit" aspectratio="f"/>
          <v:textbox inset="0,0,0,0">
            <w:txbxContent>
              <w:p>
                <w:pPr>
                  <w:pStyle w:val="BodyText"/>
                  <w:spacing w:before="19" w:line="184" w:lineRule="auto"/>
                  <w:ind w:left="20"/>
                </w:pPr>
                <w:r>
                  <w:t>2</w:t>
                </w:r>
              </w:p>
            </w:txbxContent>
          </v:textbox>
        </v:shape>
      </w:pict>
    </w:r>
    <w:r>
      <w:rPr>
        <w:position w:val="-10"/>
      </w:rPr>
      <w:pict>
        <v:shape id="_x0000_i2060"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61" style="width:595.5pt;height:0.75pt;margin-top:817.48pt;margin-left:0;mso-position-horizontal-relative:page;mso-position-vertical-relative:page;position:absolute;z-index:251667456" o:allowincell="f" filled="t" fillcolor="#004a70" stroked="f"/>
      </w:pict>
    </w:r>
    <w:r>
      <w:pict>
        <v:shapetype id="_x0000_t202" coordsize="21600,21600" o:spt="202" path="m,l,21600r21600,l21600,xe">
          <v:stroke joinstyle="miter"/>
          <v:path gradientshapeok="t" o:connecttype="rect"/>
        </v:shapetype>
        <v:shape id="_x0000_s2062" type="#_x0000_t202" style="width:6.95pt;height:12.45pt;margin-top:824.87pt;margin-left:570.8pt;mso-position-horizontal-relative:page;mso-position-vertical-relative:page;position:absolute;z-index:251666432" o:allowincell="f" filled="f" stroked="f">
          <o:lock v:ext="edit" aspectratio="f"/>
          <v:textbox inset="0,0,0,0">
            <w:txbxContent>
              <w:p>
                <w:pPr>
                  <w:pStyle w:val="BodyText"/>
                  <w:spacing w:before="19" w:line="184" w:lineRule="auto"/>
                  <w:ind w:left="20"/>
                </w:pPr>
                <w:r>
                  <w:t>2</w:t>
                </w:r>
              </w:p>
            </w:txbxContent>
          </v:textbox>
        </v:shape>
      </w:pict>
    </w:r>
    <w:r>
      <w:rPr>
        <w:position w:val="-10"/>
      </w:rPr>
      <w:pict>
        <v:shape id="_x0000_i2063"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64" style="width:595.5pt;height:0.75pt;margin-top:817.48pt;margin-left:0;mso-position-horizontal-relative:page;mso-position-vertical-relative:page;position:absolute;z-index:251669504" o:allowincell="f" filled="t" fillcolor="#004a70" stroked="f"/>
      </w:pict>
    </w:r>
    <w:r>
      <w:pict>
        <v:shapetype id="_x0000_t202" coordsize="21600,21600" o:spt="202" path="m,l,21600r21600,l21600,xe">
          <v:stroke joinstyle="miter"/>
          <v:path gradientshapeok="t" o:connecttype="rect"/>
        </v:shapetype>
        <v:shape id="_x0000_s2065" type="#_x0000_t202" style="width:6.85pt;height:12.45pt;margin-top:824.87pt;margin-left:570.88pt;mso-position-horizontal-relative:page;mso-position-vertical-relative:page;position:absolute;z-index:251668480" o:allowincell="f" filled="f" stroked="f">
          <o:lock v:ext="edit" aspectratio="f"/>
          <v:textbox inset="0,0,0,0">
            <w:txbxContent>
              <w:p>
                <w:pPr>
                  <w:pStyle w:val="BodyText"/>
                  <w:spacing w:before="20" w:line="183" w:lineRule="auto"/>
                  <w:ind w:left="20"/>
                </w:pPr>
                <w:r>
                  <w:t>3</w:t>
                </w:r>
              </w:p>
            </w:txbxContent>
          </v:textbox>
        </v:shape>
      </w:pict>
    </w:r>
    <w:r>
      <w:rPr>
        <w:position w:val="-10"/>
      </w:rPr>
      <w:pict>
        <v:shape id="_x0000_i2066"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67" style="width:595.5pt;height:0.75pt;margin-top:817.48pt;margin-left:0;mso-position-horizontal-relative:page;mso-position-vertical-relative:page;position:absolute;z-index:251671552" o:allowincell="f" filled="t" fillcolor="#004a70" stroked="f"/>
      </w:pict>
    </w:r>
    <w:r>
      <w:pict>
        <v:shapetype id="_x0000_t202" coordsize="21600,21600" o:spt="202" path="m,l,21600r21600,l21600,xe">
          <v:stroke joinstyle="miter"/>
          <v:path gradientshapeok="t" o:connecttype="rect"/>
        </v:shapetype>
        <v:shape id="_x0000_s2068" type="#_x0000_t202" style="width:7.15pt;height:12.4pt;margin-top:824.95pt;margin-left:570.6pt;mso-position-horizontal-relative:page;mso-position-vertical-relative:page;position:absolute;z-index:251670528" o:allowincell="f" filled="f" stroked="f">
          <o:lock v:ext="edit" aspectratio="f"/>
          <v:textbox inset="0,0,0,0">
            <w:txbxContent>
              <w:p>
                <w:pPr>
                  <w:pStyle w:val="BodyText"/>
                  <w:spacing w:before="20" w:line="182" w:lineRule="auto"/>
                  <w:ind w:left="20"/>
                </w:pPr>
                <w:r>
                  <w:t>4</w:t>
                </w:r>
              </w:p>
            </w:txbxContent>
          </v:textbox>
        </v:shape>
      </w:pict>
    </w:r>
    <w:r>
      <w:rPr>
        <w:position w:val="-10"/>
      </w:rPr>
      <w:pict>
        <v:shape id="_x0000_i2069"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70" style="width:595.5pt;height:0.75pt;margin-top:817.48pt;margin-left:0;mso-position-horizontal-relative:page;mso-position-vertical-relative:page;position:absolute;z-index:251673600" o:allowincell="f" filled="t" fillcolor="#004a70" stroked="f"/>
      </w:pict>
    </w:r>
    <w:r>
      <w:pict>
        <v:shapetype id="_x0000_t202" coordsize="21600,21600" o:spt="202" path="m,l,21600r21600,l21600,xe">
          <v:stroke joinstyle="miter"/>
          <v:path gradientshapeok="t" o:connecttype="rect"/>
        </v:shapetype>
        <v:shape id="_x0000_s2071" type="#_x0000_t202" style="width:7.1pt;height:12.25pt;margin-top:825.07pt;margin-left:570.64pt;mso-position-horizontal-relative:page;mso-position-vertical-relative:page;position:absolute;z-index:251672576" o:allowincell="f" filled="f" stroked="f">
          <o:lock v:ext="edit" aspectratio="f"/>
          <v:textbox inset="0,0,0,0">
            <w:txbxContent>
              <w:p>
                <w:pPr>
                  <w:pStyle w:val="BodyText"/>
                  <w:spacing w:before="19" w:line="180" w:lineRule="auto"/>
                  <w:ind w:left="20"/>
                </w:pPr>
                <w:r>
                  <w:t>5</w:t>
                </w:r>
              </w:p>
            </w:txbxContent>
          </v:textbox>
        </v:shape>
      </w:pict>
    </w:r>
    <w:r>
      <w:rPr>
        <w:position w:val="-10"/>
      </w:rPr>
      <w:pict>
        <v:shape id="_x0000_i2072"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73" style="width:595.5pt;height:0.75pt;margin-top:817.48pt;margin-left:0;mso-position-horizontal-relative:page;mso-position-vertical-relative:page;position:absolute;z-index:251675648" o:allowincell="f" filled="t" fillcolor="#004a70" stroked="f"/>
      </w:pict>
    </w:r>
    <w:r>
      <w:pict>
        <v:shapetype id="_x0000_t202" coordsize="21600,21600" o:spt="202" path="m,l,21600r21600,l21600,xe">
          <v:stroke joinstyle="miter"/>
          <v:path gradientshapeok="t" o:connecttype="rect"/>
        </v:shapetype>
        <v:shape id="_x0000_s2074" type="#_x0000_t202" style="width:6.9pt;height:12.35pt;margin-top:824.95pt;margin-left:570.84pt;mso-position-horizontal-relative:page;mso-position-vertical-relative:page;position:absolute;z-index:251674624" o:allowincell="f" filled="f" stroked="f">
          <o:lock v:ext="edit" aspectratio="f"/>
          <v:textbox inset="0,0,0,0">
            <w:txbxContent>
              <w:p>
                <w:pPr>
                  <w:pStyle w:val="BodyText"/>
                  <w:spacing w:before="19" w:line="182" w:lineRule="auto"/>
                  <w:ind w:left="20"/>
                </w:pPr>
                <w:r>
                  <w:t>6</w:t>
                </w:r>
              </w:p>
            </w:txbxContent>
          </v:textbox>
        </v:shape>
      </w:pict>
    </w:r>
    <w:r>
      <w:rPr>
        <w:position w:val="-10"/>
      </w:rPr>
      <w:pict>
        <v:shape id="_x0000_i2075"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76" style="width:595.5pt;height:0.75pt;margin-top:817.48pt;margin-left:0;mso-position-horizontal-relative:page;mso-position-vertical-relative:page;position:absolute;z-index:251677696" o:allowincell="f" filled="t" fillcolor="#004a70" stroked="f"/>
      </w:pict>
    </w:r>
    <w:r>
      <w:pict>
        <v:shapetype id="_x0000_t202" coordsize="21600,21600" o:spt="202" path="m,l,21600r21600,l21600,xe">
          <v:stroke joinstyle="miter"/>
          <v:path gradientshapeok="t" o:connecttype="rect"/>
        </v:shapetype>
        <v:shape id="_x0000_s2077" type="#_x0000_t202" style="width:6.8pt;height:12.25pt;margin-top:825.07pt;margin-left:570.92pt;mso-position-horizontal-relative:page;mso-position-vertical-relative:page;position:absolute;z-index:251676672" o:allowincell="f" filled="f" stroked="f">
          <o:lock v:ext="edit" aspectratio="f"/>
          <v:textbox inset="0,0,0,0">
            <w:txbxContent>
              <w:p>
                <w:pPr>
                  <w:pStyle w:val="BodyText"/>
                  <w:spacing w:before="20" w:line="180" w:lineRule="auto"/>
                  <w:ind w:left="20"/>
                </w:pPr>
                <w:r>
                  <w:t>7</w:t>
                </w:r>
              </w:p>
            </w:txbxContent>
          </v:textbox>
        </v:shape>
      </w:pict>
    </w:r>
    <w:r>
      <w:rPr>
        <w:position w:val="-10"/>
      </w:rPr>
      <w:pict>
        <v:shape id="_x0000_i2078"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79" style="width:595.5pt;height:0.75pt;margin-top:817.48pt;margin-left:0;mso-position-horizontal-relative:page;mso-position-vertical-relative:page;position:absolute;z-index:251679744" o:allowincell="f" filled="t" fillcolor="#004a70" stroked="f"/>
      </w:pict>
    </w:r>
    <w:r>
      <w:pict>
        <v:shapetype id="_x0000_t202" coordsize="21600,21600" o:spt="202" path="m,l,21600r21600,l21600,xe">
          <v:stroke joinstyle="miter"/>
          <v:path gradientshapeok="t" o:connecttype="rect"/>
        </v:shapetype>
        <v:shape id="_x0000_s2080" type="#_x0000_t202" style="width:6.8pt;height:12.25pt;margin-top:825.07pt;margin-left:570.92pt;mso-position-horizontal-relative:page;mso-position-vertical-relative:page;position:absolute;z-index:251678720" o:allowincell="f" filled="f" stroked="f">
          <o:lock v:ext="edit" aspectratio="f"/>
          <v:textbox inset="0,0,0,0">
            <w:txbxContent>
              <w:p>
                <w:pPr>
                  <w:pStyle w:val="BodyText"/>
                  <w:spacing w:before="20" w:line="180" w:lineRule="auto"/>
                  <w:ind w:left="20"/>
                </w:pPr>
                <w:r>
                  <w:t>7</w:t>
                </w:r>
              </w:p>
            </w:txbxContent>
          </v:textbox>
        </v:shape>
      </w:pict>
    </w:r>
    <w:r>
      <w:rPr>
        <w:position w:val="-10"/>
      </w:rPr>
      <w:pict>
        <v:shape id="_x0000_i2081"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82" style="width:595.5pt;height:0.75pt;margin-top:817.48pt;margin-left:0;mso-position-horizontal-relative:page;mso-position-vertical-relative:page;position:absolute;z-index:251681792" o:allowincell="f" filled="t" fillcolor="#004a70" stroked="f"/>
      </w:pict>
    </w:r>
    <w:r>
      <w:pict>
        <v:shapetype id="_x0000_t202" coordsize="21600,21600" o:spt="202" path="m,l,21600r21600,l21600,xe">
          <v:stroke joinstyle="miter"/>
          <v:path gradientshapeok="t" o:connecttype="rect"/>
        </v:shapetype>
        <v:shape id="_x0000_s2083" type="#_x0000_t202" style="width:7pt;height:12.35pt;margin-top:824.95pt;margin-left:570.75pt;mso-position-horizontal-relative:page;mso-position-vertical-relative:page;position:absolute;z-index:251680768" o:allowincell="f" filled="f" stroked="f">
          <o:lock v:ext="edit" aspectratio="f"/>
          <v:textbox inset="0,0,0,0">
            <w:txbxContent>
              <w:p>
                <w:pPr>
                  <w:pStyle w:val="BodyText"/>
                  <w:spacing w:before="19" w:line="182" w:lineRule="auto"/>
                  <w:ind w:left="20"/>
                </w:pPr>
                <w:r>
                  <w:t>8</w:t>
                </w:r>
              </w:p>
            </w:txbxContent>
          </v:textbox>
        </v:shape>
      </w:pict>
    </w:r>
    <w:r>
      <w:rPr>
        <w:position w:val="-10"/>
      </w:rPr>
      <w:pict>
        <v:shape id="_x0000_i2084"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85" style="width:595.5pt;height:0.75pt;margin-top:817.48pt;margin-left:0;mso-position-horizontal-relative:page;mso-position-vertical-relative:page;position:absolute;z-index:251683840" o:allowincell="f" filled="t" fillcolor="#004a70" stroked="f"/>
      </w:pict>
    </w:r>
    <w:r>
      <w:pict>
        <v:shapetype id="_x0000_t202" coordsize="21600,21600" o:spt="202" path="m,l,21600r21600,l21600,xe">
          <v:stroke joinstyle="miter"/>
          <v:path gradientshapeok="t" o:connecttype="rect"/>
        </v:shapetype>
        <v:shape id="_x0000_s2086" type="#_x0000_t202" style="width:7pt;height:12.35pt;margin-top:824.95pt;margin-left:570.75pt;mso-position-horizontal-relative:page;mso-position-vertical-relative:page;position:absolute;z-index:251682816" o:allowincell="f" filled="f" stroked="f">
          <o:lock v:ext="edit" aspectratio="f"/>
          <v:textbox inset="0,0,0,0">
            <w:txbxContent>
              <w:p>
                <w:pPr>
                  <w:pStyle w:val="BodyText"/>
                  <w:spacing w:before="19" w:line="182" w:lineRule="auto"/>
                  <w:ind w:left="20"/>
                </w:pPr>
                <w:r>
                  <w:t>8</w:t>
                </w:r>
              </w:p>
            </w:txbxContent>
          </v:textbox>
        </v:shape>
      </w:pict>
    </w:r>
    <w:r>
      <w:rPr>
        <w:position w:val="-10"/>
      </w:rPr>
      <w:pict>
        <v:shape id="_x0000_i2087"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88" style="width:595.5pt;height:0.75pt;margin-top:817.48pt;margin-left:0;mso-position-horizontal-relative:page;mso-position-vertical-relative:page;position:absolute;z-index:251685888" o:allowincell="f" filled="t" fillcolor="#004a70" stroked="f"/>
      </w:pict>
    </w:r>
    <w:r>
      <w:pict>
        <v:shapetype id="_x0000_t202" coordsize="21600,21600" o:spt="202" path="m,l,21600r21600,l21600,xe">
          <v:stroke joinstyle="miter"/>
          <v:path gradientshapeok="t" o:connecttype="rect"/>
        </v:shapetype>
        <v:shape id="_x0000_s2089" type="#_x0000_t202" style="width:7pt;height:12.35pt;margin-top:824.95pt;margin-left:570.75pt;mso-position-horizontal-relative:page;mso-position-vertical-relative:page;position:absolute;z-index:251684864" o:allowincell="f" filled="f" stroked="f">
          <o:lock v:ext="edit" aspectratio="f"/>
          <v:textbox inset="0,0,0,0">
            <w:txbxContent>
              <w:p>
                <w:pPr>
                  <w:pStyle w:val="BodyText"/>
                  <w:spacing w:before="19" w:line="182" w:lineRule="auto"/>
                  <w:ind w:left="20"/>
                </w:pPr>
                <w:r>
                  <w:t>8</w:t>
                </w:r>
              </w:p>
            </w:txbxContent>
          </v:textbox>
        </v:shape>
      </w:pict>
    </w:r>
    <w:r>
      <w:rPr>
        <w:position w:val="-10"/>
      </w:rPr>
      <w:pict>
        <v:shape id="_x0000_i2090"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91" style="width:595.5pt;height:0.75pt;margin-top:817.48pt;margin-left:0;mso-position-horizontal-relative:page;mso-position-vertical-relative:page;position:absolute;z-index:251687936" o:allowincell="f" filled="t" fillcolor="#004a70" stroked="f"/>
      </w:pict>
    </w:r>
    <w:r>
      <w:pict>
        <v:shapetype id="_x0000_t202" coordsize="21600,21600" o:spt="202" path="m,l,21600r21600,l21600,xe">
          <v:stroke joinstyle="miter"/>
          <v:path gradientshapeok="t" o:connecttype="rect"/>
        </v:shapetype>
        <v:shape id="_x0000_s2092" type="#_x0000_t202" style="width:7.15pt;height:12.4pt;margin-top:824.91pt;margin-left:570.6pt;mso-position-horizontal-relative:page;mso-position-vertical-relative:page;position:absolute;z-index:251686912" o:allowincell="f" filled="f" stroked="f">
          <o:lock v:ext="edit" aspectratio="f"/>
          <v:textbox inset="0,0,0,0">
            <w:txbxContent>
              <w:p>
                <w:pPr>
                  <w:pStyle w:val="BodyText"/>
                  <w:spacing w:before="19" w:line="183" w:lineRule="auto"/>
                  <w:ind w:left="20"/>
                </w:pPr>
                <w:r>
                  <w:t>9</w:t>
                </w:r>
              </w:p>
            </w:txbxContent>
          </v:textbox>
        </v:shape>
      </w:pict>
    </w:r>
    <w:r>
      <w:rPr>
        <w:position w:val="-10"/>
      </w:rPr>
      <w:pict>
        <v:shape id="_x0000_i2093"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94" style="width:595.5pt;height:0.75pt;margin-top:817.48pt;margin-left:0;mso-position-horizontal-relative:page;mso-position-vertical-relative:page;position:absolute;z-index:251689984" o:allowincell="f" filled="t" fillcolor="#004a70" stroked="f"/>
      </w:pict>
    </w:r>
    <w:r>
      <w:pict>
        <v:shapetype id="_x0000_t202" coordsize="21600,21600" o:spt="202" path="m,l,21600r21600,l21600,xe">
          <v:stroke joinstyle="miter"/>
          <v:path gradientshapeok="t" o:connecttype="rect"/>
        </v:shapetype>
        <v:shape id="_x0000_s2095" type="#_x0000_t202" style="width:7.15pt;height:12.4pt;margin-top:824.91pt;margin-left:570.6pt;mso-position-horizontal-relative:page;mso-position-vertical-relative:page;position:absolute;z-index:251688960" o:allowincell="f" filled="f" stroked="f">
          <o:lock v:ext="edit" aspectratio="f"/>
          <v:textbox inset="0,0,0,0">
            <w:txbxContent>
              <w:p>
                <w:pPr>
                  <w:pStyle w:val="BodyText"/>
                  <w:spacing w:before="19" w:line="183" w:lineRule="auto"/>
                  <w:ind w:left="20"/>
                </w:pPr>
                <w:r>
                  <w:t>9</w:t>
                </w:r>
              </w:p>
            </w:txbxContent>
          </v:textbox>
        </v:shape>
      </w:pict>
    </w:r>
    <w:r>
      <w:rPr>
        <w:position w:val="-10"/>
      </w:rPr>
      <w:pict>
        <v:shape id="_x0000_i2096"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70" w:lineRule="exact"/>
    </w:pPr>
    <w:r>
      <w:pict>
        <v:rect id="_x0000_s2097" style="width:595.5pt;height:0.75pt;margin-top:817.48pt;margin-left:0;mso-position-horizontal-relative:page;mso-position-vertical-relative:page;position:absolute;z-index:251692032" o:allowincell="f" filled="t" fillcolor="#004a70" stroked="f"/>
      </w:pict>
    </w:r>
    <w:r>
      <w:pict>
        <v:shapetype id="_x0000_t202" coordsize="21600,21600" o:spt="202" path="m,l,21600r21600,l21600,xe">
          <v:stroke joinstyle="miter"/>
          <v:path gradientshapeok="t" o:connecttype="rect"/>
        </v:shapetype>
        <v:shape id="_x0000_s2098" type="#_x0000_t202" style="width:7.15pt;height:12.4pt;margin-top:824.91pt;margin-left:570.6pt;mso-position-horizontal-relative:page;mso-position-vertical-relative:page;position:absolute;z-index:251691008" o:allowincell="f" filled="f" stroked="f">
          <o:lock v:ext="edit" aspectratio="f"/>
          <v:textbox inset="0,0,0,0">
            <w:txbxContent>
              <w:p>
                <w:pPr>
                  <w:pStyle w:val="BodyText"/>
                  <w:spacing w:before="19" w:line="183" w:lineRule="auto"/>
                  <w:ind w:left="20"/>
                </w:pPr>
                <w:r>
                  <w:t>9</w:t>
                </w:r>
              </w:p>
            </w:txbxContent>
          </v:textbox>
        </v:shape>
      </w:pict>
    </w:r>
    <w:r>
      <w:rPr>
        <w:position w:val="-10"/>
      </w:rPr>
      <w:pict>
        <v:shape id="_x0000_i2099" type="#_x0000_t202" style="width:552pt;height:24.05pt;mso-position-horizontal-relative:char;mso-position-vertical-relative:line" filled="t" fillcolor="#004a70" stroked="f">
          <o:lock v:ext="edit" aspectratio="f"/>
          <v:textbox inset="0,0,0,0">
            <w:txbxContent>
              <w:p>
                <w:pPr>
                  <w:spacing w:before="156" w:line="214" w:lineRule="auto"/>
                  <w:ind w:left="4591"/>
                  <w:rPr>
                    <w:rFonts w:ascii="KaiTi" w:eastAsia="KaiTi" w:hAnsi="KaiTi" w:cs="KaiTi"/>
                    <w:sz w:val="15"/>
                    <w:szCs w:val="15"/>
                  </w:rPr>
                </w:pPr>
                <w:r>
                  <w:rPr>
                    <w:rFonts w:ascii="KaiTi" w:eastAsia="KaiTi" w:hAnsi="KaiTi" w:cs="KaiTi"/>
                    <w:color w:val="FFFFFF"/>
                    <w:spacing w:val="-1"/>
                    <w:sz w:val="15"/>
                    <w:szCs w:val="15"/>
                  </w:rPr>
                  <w:t>敬请参阅最后一页特别声明</w:t>
                </w:r>
              </w:p>
            </w:txbxContent>
          </v:textbox>
          <w10:wrap type="none"/>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308002636" name="IM 6"/>
          <wp:cNvGraphicFramePr/>
          <a:graphic xmlns:a="http://schemas.openxmlformats.org/drawingml/2006/main">
            <a:graphicData uri="http://schemas.openxmlformats.org/drawingml/2006/picture">
              <pic:pic xmlns:pic="http://schemas.openxmlformats.org/drawingml/2006/picture">
                <pic:nvPicPr>
                  <pic:cNvPr id="308002636"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932190770" name="IM 6"/>
          <wp:cNvGraphicFramePr/>
          <a:graphic xmlns:a="http://schemas.openxmlformats.org/drawingml/2006/main">
            <a:graphicData uri="http://schemas.openxmlformats.org/drawingml/2006/picture">
              <pic:pic xmlns:pic="http://schemas.openxmlformats.org/drawingml/2006/picture">
                <pic:nvPicPr>
                  <pic:cNvPr id="932190770"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20304633" name="IM 6"/>
          <wp:cNvGraphicFramePr/>
          <a:graphic xmlns:a="http://schemas.openxmlformats.org/drawingml/2006/main">
            <a:graphicData uri="http://schemas.openxmlformats.org/drawingml/2006/picture">
              <pic:pic xmlns:pic="http://schemas.openxmlformats.org/drawingml/2006/picture">
                <pic:nvPicPr>
                  <pic:cNvPr id="20304633"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299642559" name="IM 6"/>
          <wp:cNvGraphicFramePr/>
          <a:graphic xmlns:a="http://schemas.openxmlformats.org/drawingml/2006/main">
            <a:graphicData uri="http://schemas.openxmlformats.org/drawingml/2006/picture">
              <pic:pic xmlns:pic="http://schemas.openxmlformats.org/drawingml/2006/picture">
                <pic:nvPicPr>
                  <pic:cNvPr id="299642559"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1380833590" name="IM 6"/>
          <wp:cNvGraphicFramePr/>
          <a:graphic xmlns:a="http://schemas.openxmlformats.org/drawingml/2006/main">
            <a:graphicData uri="http://schemas.openxmlformats.org/drawingml/2006/picture">
              <pic:pic xmlns:pic="http://schemas.openxmlformats.org/drawingml/2006/picture">
                <pic:nvPicPr>
                  <pic:cNvPr id="1380833590"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498407670" name="IM 6"/>
          <wp:cNvGraphicFramePr/>
          <a:graphic xmlns:a="http://schemas.openxmlformats.org/drawingml/2006/main">
            <a:graphicData uri="http://schemas.openxmlformats.org/drawingml/2006/picture">
              <pic:pic xmlns:pic="http://schemas.openxmlformats.org/drawingml/2006/picture">
                <pic:nvPicPr>
                  <pic:cNvPr id="498407670"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446577795" name="IM 6"/>
          <wp:cNvGraphicFramePr/>
          <a:graphic xmlns:a="http://schemas.openxmlformats.org/drawingml/2006/main">
            <a:graphicData uri="http://schemas.openxmlformats.org/drawingml/2006/picture">
              <pic:pic xmlns:pic="http://schemas.openxmlformats.org/drawingml/2006/picture">
                <pic:nvPicPr>
                  <pic:cNvPr id="446577795"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8254030" name="IM 6"/>
          <wp:cNvGraphicFramePr/>
          <a:graphic xmlns:a="http://schemas.openxmlformats.org/drawingml/2006/main">
            <a:graphicData uri="http://schemas.openxmlformats.org/drawingml/2006/picture">
              <pic:pic xmlns:pic="http://schemas.openxmlformats.org/drawingml/2006/picture">
                <pic:nvPicPr>
                  <pic:cNvPr id="8254030"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828668927" name="IM 6"/>
          <wp:cNvGraphicFramePr/>
          <a:graphic xmlns:a="http://schemas.openxmlformats.org/drawingml/2006/main">
            <a:graphicData uri="http://schemas.openxmlformats.org/drawingml/2006/picture">
              <pic:pic xmlns:pic="http://schemas.openxmlformats.org/drawingml/2006/picture">
                <pic:nvPicPr>
                  <pic:cNvPr id="828668927"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466112751" name="IM 6"/>
          <wp:cNvGraphicFramePr/>
          <a:graphic xmlns:a="http://schemas.openxmlformats.org/drawingml/2006/main">
            <a:graphicData uri="http://schemas.openxmlformats.org/drawingml/2006/picture">
              <pic:pic xmlns:pic="http://schemas.openxmlformats.org/drawingml/2006/picture">
                <pic:nvPicPr>
                  <pic:cNvPr id="466112751"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851014527" name="IM 6"/>
          <wp:cNvGraphicFramePr/>
          <a:graphic xmlns:a="http://schemas.openxmlformats.org/drawingml/2006/main">
            <a:graphicData uri="http://schemas.openxmlformats.org/drawingml/2006/picture">
              <pic:pic xmlns:pic="http://schemas.openxmlformats.org/drawingml/2006/picture">
                <pic:nvPicPr>
                  <pic:cNvPr id="851014527"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1075660824" name="IM 6"/>
          <wp:cNvGraphicFramePr/>
          <a:graphic xmlns:a="http://schemas.openxmlformats.org/drawingml/2006/main">
            <a:graphicData uri="http://schemas.openxmlformats.org/drawingml/2006/picture">
              <pic:pic xmlns:pic="http://schemas.openxmlformats.org/drawingml/2006/picture">
                <pic:nvPicPr>
                  <pic:cNvPr id="1075660824"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75" w:lineRule="exact"/>
      <w:ind w:left="643"/>
    </w:pPr>
    <w:r>
      <w:rPr>
        <w:position w:val="-8"/>
      </w:rPr>
      <w:drawing>
        <wp:inline distT="0" distB="0" distL="0" distR="0">
          <wp:extent cx="1030321" cy="238732"/>
          <wp:effectExtent l="0" t="0" r="0" b="0"/>
          <wp:docPr id="975300122" name="IM 6"/>
          <wp:cNvGraphicFramePr/>
          <a:graphic xmlns:a="http://schemas.openxmlformats.org/drawingml/2006/main">
            <a:graphicData uri="http://schemas.openxmlformats.org/drawingml/2006/picture">
              <pic:pic xmlns:pic="http://schemas.openxmlformats.org/drawingml/2006/picture">
                <pic:nvPicPr>
                  <pic:cNvPr id="975300122" name="IM 6"/>
                  <pic:cNvPicPr/>
                </pic:nvPicPr>
                <pic:blipFill>
                  <a:blip xmlns:r="http://schemas.openxmlformats.org/officeDocument/2006/relationships" r:embed="rId1"/>
                  <a:stretch>
                    <a:fillRect/>
                  </a:stretch>
                </pic:blipFill>
                <pic:spPr>
                  <a:xfrm>
                    <a:off x="0" y="0"/>
                    <a:ext cx="1030321" cy="238732"/>
                  </a:xfrm>
                  <a:prstGeom prst="rect">
                    <a:avLst/>
                  </a:prstGeom>
                </pic:spPr>
              </pic:pic>
            </a:graphicData>
          </a:graphic>
        </wp:inline>
      </w:drawing>
    </w:r>
  </w:p>
  <w:p>
    <w:pPr>
      <w:pStyle w:val="BodyText"/>
      <w:tabs>
        <w:tab w:val="left" w:pos="9037"/>
      </w:tabs>
      <w:spacing w:before="3" w:line="187" w:lineRule="auto"/>
      <w:rPr>
        <w:rFonts w:ascii="Arial" w:eastAsia="Arial" w:hAnsi="Arial" w:cs="Arial"/>
        <w:sz w:val="18"/>
        <w:szCs w:val="18"/>
      </w:rPr>
    </w:pPr>
    <w:r>
      <w:rPr>
        <w:sz w:val="18"/>
        <w:szCs w:val="18"/>
        <w:u w:val="single" w:color="004A70"/>
      </w:rPr>
      <w:tab/>
    </w:r>
    <w:r>
      <w:rPr>
        <w:spacing w:val="-1"/>
        <w:sz w:val="18"/>
        <w:szCs w:val="18"/>
        <w:u w:val="single" w:color="004A70"/>
      </w:rPr>
      <w:t>私募基金投资策略报告</w:t>
    </w:r>
    <w:r>
      <w:rPr>
        <w:rFonts w:ascii="Arial" w:eastAsia="Arial" w:hAnsi="Arial" w:cs="Arial"/>
        <w:spacing w:val="-1"/>
        <w:sz w:val="18"/>
        <w:szCs w:val="18"/>
        <w:u w:val="single" w:color="004A70"/>
      </w:rPr>
      <w:t>(</w:t>
    </w:r>
    <w:r>
      <w:rPr>
        <w:spacing w:val="-1"/>
        <w:sz w:val="18"/>
        <w:szCs w:val="18"/>
        <w:u w:val="single" w:color="004A70"/>
      </w:rPr>
      <w:t>深度</w:t>
    </w:r>
    <w:r>
      <w:rPr>
        <w:rFonts w:ascii="Arial" w:eastAsia="Arial" w:hAnsi="Arial" w:cs="Arial"/>
        <w:spacing w:val="-1"/>
        <w:sz w:val="18"/>
        <w:szCs w:val="18"/>
        <w:u w:val="single" w:color="004A70"/>
      </w:rPr>
      <w:t>)</w:t>
    </w:r>
    <w:r>
      <w:rPr>
        <w:rFonts w:ascii="Arial" w:eastAsia="Arial" w:hAnsi="Arial" w:cs="Arial"/>
        <w:sz w:val="18"/>
        <w:szCs w:val="18"/>
        <w:u w:val="single" w:color="004A7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1"/>
      <w:szCs w:val="21"/>
      <w:lang w:val="en-US" w:eastAsia="en-US" w:bidi="ar-SA"/>
    </w:rPr>
  </w:style>
  <w:style w:type="paragraph" w:customStyle="1" w:styleId="TableText">
    <w:name w:val="Table Text"/>
    <w:basedOn w:val="Normal"/>
    <w:semiHidden/>
    <w:qFormat/>
    <w:rPr>
      <w:rFonts w:ascii="KaiTi" w:eastAsia="KaiTi" w:hAnsi="KaiTi" w:cs="KaiTi"/>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header" Target="header3.xml" /><Relationship Id="rId14" Type="http://schemas.openxmlformats.org/officeDocument/2006/relationships/footer" Target="footer6.xml" /><Relationship Id="rId15" Type="http://schemas.openxmlformats.org/officeDocument/2006/relationships/image" Target="media/image4.png" /><Relationship Id="rId16" Type="http://schemas.openxmlformats.org/officeDocument/2006/relationships/header" Target="header4.xml" /><Relationship Id="rId17" Type="http://schemas.openxmlformats.org/officeDocument/2006/relationships/footer" Target="footer7.xml" /><Relationship Id="rId18" Type="http://schemas.openxmlformats.org/officeDocument/2006/relationships/image" Target="media/image5.jpe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8.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header" Target="header6.xml" /><Relationship Id="rId25" Type="http://schemas.openxmlformats.org/officeDocument/2006/relationships/footer" Target="footer9.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eader" Target="header7.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11.xml" /><Relationship Id="rId32" Type="http://schemas.openxmlformats.org/officeDocument/2006/relationships/image" Target="media/image11.png" /><Relationship Id="rId33" Type="http://schemas.openxmlformats.org/officeDocument/2006/relationships/header" Target="header9.xml" /><Relationship Id="rId34" Type="http://schemas.openxmlformats.org/officeDocument/2006/relationships/footer" Target="footer12.xml" /><Relationship Id="rId35" Type="http://schemas.openxmlformats.org/officeDocument/2006/relationships/header" Target="header10.xml" /><Relationship Id="rId36" Type="http://schemas.openxmlformats.org/officeDocument/2006/relationships/footer" Target="footer13.xml" /><Relationship Id="rId37" Type="http://schemas.openxmlformats.org/officeDocument/2006/relationships/image" Target="media/image12.png" /><Relationship Id="rId38" Type="http://schemas.openxmlformats.org/officeDocument/2006/relationships/header" Target="header11.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header" Target="header12.xml" /><Relationship Id="rId43" Type="http://schemas.openxmlformats.org/officeDocument/2006/relationships/footer" Target="footer15.xml" /><Relationship Id="rId44" Type="http://schemas.openxmlformats.org/officeDocument/2006/relationships/header" Target="header13.xml" /><Relationship Id="rId45" Type="http://schemas.openxmlformats.org/officeDocument/2006/relationships/footer" Target="footer16.xml" /><Relationship Id="rId46" Type="http://schemas.openxmlformats.org/officeDocument/2006/relationships/hyperlink" Target="https://d.book118.com/298044046012006041" TargetMode="External" /><Relationship Id="rId47" Type="http://schemas.openxmlformats.org/officeDocument/2006/relationships/header" Target="header14.xml" /><Relationship Id="rId48" Type="http://schemas.openxmlformats.org/officeDocument/2006/relationships/footer" Target="footer17.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header" Target="header1.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国金证券-股票量化策略私募基金1月业绩回顾及投资前瞻：大强小弱分化极致，量化环境迎来至暗时刻-240226.pdf</dc:title>
  <cp:revision>0</cp:revision>
  <dcterms:created xsi:type="dcterms:W3CDTF">2024-02-28T21:36:52Z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2024-02-28T22:06:45Z</vt:filetime>
  </property>
  <property fmtid="{D5CDD505-2E9C-101B-9397-08002B2CF9AE}" pid="3" name="CRO">
    <vt:lpwstr>wqlLaW5nc29mdCBQREYgdG8gV1BTIDkw</vt:lpwstr>
  </property>
</Properties>
</file>