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复合微生物肥料相关行业公司成立报告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_Toc20638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_Toc14831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四、复合微生物肥料筹建公司基本信息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_Toc25061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(一)、复合微生物肥料项目选址原则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(五)、复合微生物肥料项目选址综合评价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(一)、复合微生物肥料项目背景分析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(二)、复合微生物肥料项目建设必要性分析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七、复合微生物肥料项目风险分析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2" w:history="1">
        <w:r>
          <w:rPr>
            <w:rFonts w:ascii="仿宋" w:eastAsia="仿宋" w:hAnsi="仿宋" w:cs="仿宋" w:hint="eastAsia"/>
            <w:lang w:eastAsia="zh-CN"/>
          </w:rPr>
          <w:t>(一)、复合微生物肥料项目风险分析</w:t>
        </w:r>
        <w:r>
          <w:tab/>
        </w:r>
        <w:r>
          <w:fldChar w:fldCharType="begin"/>
        </w:r>
        <w:r>
          <w:instrText xml:space="preserve"> PAGEREF _Toc5502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(二)、复合微生物肥料项目风险对策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(一)、复合微生物肥料项目进度安排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(二)、复合微生物肥料项目实施保障措施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_Toc612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(五)、复合微生物肥料项目总投资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_Toc19244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_Toc12579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(二)、合作复合微生物肥料项目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1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https://d.book118.com/298111004140006031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复合微生物肥料相关行业公司成立报告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复合微生物肥料相关行业公司成立报告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复合微生物肥料相关行业公司成立报告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复合微生物肥料相关行业公司成立报告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复合微生物肥料相关行业公司成立报告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811100414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2024-01-22T19:33:00Z</dcterms:created>
  <dcterms:modified xsi:type="dcterms:W3CDTF">2024-01-22T19:33:18Z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7279FF4B627749D8B82829F21D56A8DA_11</vt:lpwstr>
  </property>
  <property fmtid="{D5CDD505-2E9C-101B-9397-08002B2CF9AE}" pid="3" name="KSOProductBuildVer">
    <vt:lpwstr>2052-12.1.0.16120</vt:lpwstr>
  </property>
</Properties>
</file>