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塔吊项目建设总纲及方案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9246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_Toc9246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97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_Toc24097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00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_Toc3300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20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_Toc30120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09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_Toc31209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54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_Toc6254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71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_Toc17971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13" w:history="1">
        <w:r>
          <w:rPr>
            <w:rFonts w:ascii="仿宋" w:eastAsia="仿宋" w:hAnsi="仿宋" w:cs="仿宋" w:hint="eastAsia"/>
            <w:lang w:eastAsia="zh-CN"/>
          </w:rPr>
          <w:t>二、经济影响分析</w:t>
        </w:r>
        <w:r>
          <w:tab/>
        </w:r>
        <w:r>
          <w:fldChar w:fldCharType="begin"/>
        </w:r>
        <w:r>
          <w:instrText xml:space="preserve"> PAGEREF _Toc16213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19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_Toc12619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29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_Toc21829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2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_Toc1522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72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_Toc16272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40" w:history="1">
        <w:r>
          <w:rPr>
            <w:rFonts w:ascii="仿宋" w:eastAsia="仿宋" w:hAnsi="仿宋" w:cs="仿宋" w:hint="eastAsia"/>
            <w:lang w:eastAsia="zh-CN"/>
          </w:rPr>
          <w:t>三、建设风险评估分析</w:t>
        </w:r>
        <w:r>
          <w:tab/>
        </w:r>
        <w:r>
          <w:fldChar w:fldCharType="begin"/>
        </w:r>
        <w:r>
          <w:instrText xml:space="preserve"> PAGEREF _Toc2940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20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_Toc27220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65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_Toc16165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_Toc275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58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_Toc31958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49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_Toc15149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07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_Toc15507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61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_Toc23761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23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_Toc16823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64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_Toc26964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45" w:history="1">
        <w:r>
          <w:rPr>
            <w:rFonts w:ascii="仿宋" w:eastAsia="仿宋" w:hAnsi="仿宋" w:cs="仿宋" w:hint="eastAsia"/>
            <w:lang w:eastAsia="zh-CN"/>
          </w:rPr>
          <w:t>四、项目选址研究</w:t>
        </w:r>
        <w:r>
          <w:tab/>
        </w:r>
        <w:r>
          <w:fldChar w:fldCharType="begin"/>
        </w:r>
        <w:r>
          <w:instrText xml:space="preserve"> PAGEREF _Toc14845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41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_Toc21041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7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_Toc2297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23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_Toc19623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72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_Toc22272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50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_Toc20350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30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_Toc6230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48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_Toc31748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19" w:history="1">
        <w:r>
          <w:rPr>
            <w:rFonts w:ascii="仿宋" w:eastAsia="仿宋" w:hAnsi="仿宋" w:cs="仿宋" w:hint="eastAsia"/>
            <w:lang w:eastAsia="zh-CN"/>
          </w:rPr>
          <w:t>五、背景、必要性分析</w:t>
        </w:r>
        <w:r>
          <w:tab/>
        </w:r>
        <w:r>
          <w:fldChar w:fldCharType="begin"/>
        </w:r>
        <w:r>
          <w:instrText xml:space="preserve"> PAGEREF _Toc22219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37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_Toc13237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39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_Toc6439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39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_Toc26739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44" w:history="1">
        <w:r>
          <w:rPr>
            <w:rFonts w:ascii="仿宋" w:eastAsia="仿宋" w:hAnsi="仿宋" w:cs="仿宋" w:hint="eastAsia"/>
            <w:lang w:eastAsia="zh-CN"/>
          </w:rPr>
          <w:t>六、社会影响分析</w:t>
        </w:r>
        <w:r>
          <w:tab/>
        </w:r>
        <w:r>
          <w:fldChar w:fldCharType="begin"/>
        </w:r>
        <w:r>
          <w:instrText xml:space="preserve"> PAGEREF _Toc24344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05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_Toc25405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56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_Toc7556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93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_Toc23993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25" w:history="1">
        <w:r>
          <w:rPr>
            <w:rFonts w:ascii="仿宋" w:eastAsia="仿宋" w:hAnsi="仿宋" w:cs="仿宋" w:hint="eastAsia"/>
            <w:lang w:eastAsia="zh-CN"/>
          </w:rPr>
          <w:t>七、环境保护与绿色发展</w:t>
        </w:r>
        <w:r>
          <w:tab/>
        </w:r>
        <w:r>
          <w:fldChar w:fldCharType="begin"/>
        </w:r>
        <w:r>
          <w:instrText xml:space="preserve"> PAGEREF _Toc18025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32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_Toc27932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_Toc173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8971" w:history="1">
        <w:r>
          <w:rPr>
            <w:rFonts w:ascii="仿宋" w:eastAsia="仿宋" w:hAnsi="仿宋" w:cs="仿宋" w:hint="eastAsia"/>
            <w:lang w:eastAsia="zh-CN"/>
          </w:rPr>
          <w:t>八、资金管理与财务规划</w:t>
        </w:r>
        <w:r>
          <w:tab/>
        </w:r>
        <w:r>
          <w:fldChar w:fldCharType="begin"/>
        </w:r>
        <w:r>
          <w:instrText xml:space="preserve"> PAGEREF _Toc28971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33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_Toc6033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03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_Toc4203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96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_Toc9896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185" w:history="1">
        <w:r>
          <w:rPr>
            <w:rFonts w:ascii="仿宋" w:eastAsia="仿宋" w:hAnsi="仿宋" w:cs="仿宋" w:hint="eastAsia"/>
            <w:lang w:eastAsia="zh-CN"/>
          </w:rPr>
          <w:t>九、安全与应急管理</w:t>
        </w:r>
        <w:r>
          <w:tab/>
        </w:r>
        <w:r>
          <w:fldChar w:fldCharType="begin"/>
        </w:r>
        <w:r>
          <w:instrText xml:space="preserve"> PAGEREF _Toc21185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79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_Toc28279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31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_Toc13831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64" w:history="1">
        <w:r>
          <w:rPr>
            <w:rFonts w:ascii="仿宋" w:eastAsia="仿宋" w:hAnsi="仿宋" w:cs="仿宋" w:hint="eastAsia"/>
            <w:lang w:eastAsia="zh-CN"/>
          </w:rPr>
          <w:t>十、土地利用与规划方案</w:t>
        </w:r>
        <w:r>
          <w:tab/>
        </w:r>
        <w:r>
          <w:fldChar w:fldCharType="begin"/>
        </w:r>
        <w:r>
          <w:instrText xml:space="preserve"> PAGEREF _Toc24364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19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_Toc13419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31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_Toc4631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38" w:history="1">
        <w:r>
          <w:rPr>
            <w:rFonts w:ascii="仿宋" w:eastAsia="仿宋" w:hAnsi="仿宋" w:cs="仿宋" w:hint="eastAsia"/>
            <w:lang w:eastAsia="zh-CN"/>
          </w:rPr>
          <w:t>十一、环境保护与治理方案</w:t>
        </w:r>
        <w:r>
          <w:tab/>
        </w:r>
        <w:r>
          <w:fldChar w:fldCharType="begin"/>
        </w:r>
        <w:r>
          <w:instrText xml:space="preserve"> PAGEREF _Toc12938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06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_Toc28606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72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_Toc15272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17" w:history="1">
        <w:r>
          <w:rPr>
            <w:rFonts w:ascii="仿宋" w:eastAsia="仿宋" w:hAnsi="仿宋" w:cs="仿宋" w:hint="eastAsia"/>
            <w:lang w:eastAsia="zh-CN"/>
          </w:rPr>
          <w:t>十二、项目实施与管理方案</w:t>
        </w:r>
        <w:r>
          <w:tab/>
        </w:r>
        <w:r>
          <w:fldChar w:fldCharType="begin"/>
        </w:r>
        <w:r>
          <w:instrText xml:space="preserve"> PAGEREF _Toc28617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22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_Toc25722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0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_Toc2330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28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_Toc12628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94" w:history="1">
        <w:r>
          <w:rPr>
            <w:rFonts w:ascii="仿宋" w:eastAsia="仿宋" w:hAnsi="仿宋" w:cs="仿宋" w:hint="eastAsia"/>
            <w:lang w:eastAsia="zh-CN"/>
          </w:rPr>
          <w:t>十三、成果转化与推广应用</w:t>
        </w:r>
        <w:r>
          <w:tab/>
        </w:r>
        <w:r>
          <w:fldChar w:fldCharType="begin"/>
        </w:r>
        <w:r>
          <w:instrText xml:space="preserve"> PAGEREF _Toc23494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4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_Toc704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20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_Toc11220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537" w:history="1">
        <w:r>
          <w:rPr>
            <w:rFonts w:ascii="仿宋" w:eastAsia="仿宋" w:hAnsi="仿宋" w:cs="仿宋" w:hint="eastAsia"/>
            <w:lang w:eastAsia="zh-CN"/>
          </w:rPr>
          <w:t>十四、产业协同与集群发展</w:t>
        </w:r>
        <w:r>
          <w:tab/>
        </w:r>
        <w:r>
          <w:fldChar w:fldCharType="begin"/>
        </w:r>
        <w:r>
          <w:instrText xml:space="preserve"> PAGEREF _Toc25537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80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_Toc15080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23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_Toc12123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47" w:history="1">
        <w:r>
          <w:rPr>
            <w:rFonts w:ascii="仿宋" w:eastAsia="仿宋" w:hAnsi="仿宋" w:cs="仿宋" w:hint="eastAsia"/>
            <w:lang w:eastAsia="zh-CN"/>
          </w:rPr>
          <w:t>十五、质量管理与控制</w:t>
        </w:r>
        <w:r>
          <w:tab/>
        </w:r>
        <w:r>
          <w:fldChar w:fldCharType="begin"/>
        </w:r>
        <w:r>
          <w:instrText xml:space="preserve"> PAGEREF _Toc16447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26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_Toc28426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53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_Toc31153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789" w:history="1">
        <w:r>
          <w:rPr>
            <w:rFonts w:ascii="仿宋" w:eastAsia="仿宋" w:hAnsi="仿宋" w:cs="仿宋" w:hint="eastAsia"/>
            <w:lang w:eastAsia="zh-CN"/>
          </w:rPr>
          <w:t>十六、设施与设备管理</w:t>
        </w:r>
        <w:r>
          <w:tab/>
        </w:r>
        <w:r>
          <w:fldChar w:fldCharType="begin"/>
        </w:r>
        <w:r>
          <w:instrText xml:space="preserve"> PAGEREF _Toc8789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98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_Toc25998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84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_Toc24484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39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_Toc29839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" w:history="1">
        <w:r>
          <w:rPr>
            <w:rFonts w:ascii="仿宋" w:eastAsia="仿宋" w:hAnsi="仿宋" w:cs="仿宋" w:hint="eastAsia"/>
            <w:lang w:eastAsia="zh-CN"/>
          </w:rPr>
          <w:t>十七、项目施工方案</w:t>
        </w:r>
        <w:r>
          <w:tab/>
        </w:r>
        <w:r>
          <w:fldChar w:fldCharType="begin"/>
        </w:r>
        <w:r>
          <w:instrText xml:space="preserve"> PAGEREF _Toc246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17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_Toc15417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98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_Toc25398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62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_Toc13662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25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_Toc13625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95" w:history="1">
        <w:r>
          <w:rPr>
            <w:rFonts w:ascii="仿宋" w:eastAsia="仿宋" w:hAnsi="仿宋" w:cs="仿宋" w:hint="eastAsia"/>
            <w:lang w:eastAsia="zh-CN"/>
          </w:rPr>
          <w:t>十八、知识产权管理与保护</w:t>
        </w:r>
        <w:r>
          <w:tab/>
        </w:r>
        <w:r>
          <w:fldChar w:fldCharType="begin"/>
        </w:r>
        <w:r>
          <w:instrText xml:space="preserve"> PAGEREF _Toc12195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59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_Toc31659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99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_Toc10799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908" w:history="1">
        <w:r>
          <w:rPr>
            <w:rFonts w:ascii="仿宋" w:eastAsia="仿宋" w:hAnsi="仿宋" w:cs="仿宋" w:hint="eastAsia"/>
            <w:lang w:eastAsia="zh-CN"/>
          </w:rPr>
          <w:t>十九、法律法规与政策遵循</w:t>
        </w:r>
        <w:r>
          <w:tab/>
        </w:r>
        <w:r>
          <w:fldChar w:fldCharType="begin"/>
        </w:r>
        <w:r>
          <w:instrText xml:space="preserve"> PAGEREF _Toc22908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1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_Toc761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57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_Toc26757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9246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4097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300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塔吊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塔吊项目将进行详细的生态影响评估，确保不会对当地的动植物种群和自然栖息地造成负面影响。如果项目地点附近有重要的生物栖息地或生态敏感区，项目将重新考虑建设地点或采取相应的保护措施。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塔吊项目将积极采用可持续材料，如再生塑料和生物降解材料，以减少对环境的影响。项目还将推行废物减量和回收计划，例如通过再利用工业废料或建立回收系统。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塔吊项目还将参与当地的环保活动和计划，如资助当地的环境保护项目或与社区合作进行环保宣传活动。通过这些活动，项目不仅能够提高自身的环境表现，还能在当地社区中树立积极的环保形象。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0120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塔吊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塔吊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塔吊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1209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塔吊项目将采用绿色屋顶和生态墙等环境友好型建筑设计，这些设计不仅有助于改善空气质量，还能为城市野生动植物提供栖息地。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塔吊项目将建立高效的废水处理系统，确保所有工业废水在排放前都经过适当处理，达到或超过环保标准。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塔吊项目将致力于使用清洁能源，如太阳能和风能，减少对化石燃料的依赖。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塔吊项目将举办环保教育研讨会，向员工和当地社区普及环保知识，提升对环境保护重要性的认识。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6254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在塔吊项目启动前，将进行一系列深入的地质调查，包括钻探和土壤取样，以深入了解项目区域的地层结构和土壤组成。特别是对于土壤的承载能力和地下水位的深度进行详细评估。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塔吊项目将通过地下水位监测系统定期检测水位变化，以预测和预防由高地下水位可能引起的地基问题。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塔吊项目将进行详尽的水文和地形分析，以识别可能的洪水和泥石流风险区。基于这些分析，项目将设计防洪设施，如提高地基、构建防洪墙和排水沟。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塔吊项目还将考虑建设排水系统，以减少地表水对土壤稳定性的影响。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完成初始的地质风险评估后，塔吊项目将安装长期地质监测设备，如倾斜仪、裂缝计和地下水位计，以持续监测地质条件的变化。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7971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塔吊项目将通过这些措施来适应和尊重特殊环境条件，确保项目的可持续发展，同时减少对环境的负面影响。这不仅有助于保护自然和文化遗产，还能提升项目在社会责任方面的表现和形象。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6213"/>
      <w:r>
        <w:rPr>
          <w:rFonts w:ascii="仿宋" w:eastAsia="仿宋" w:hAnsi="仿宋" w:cs="仿宋" w:hint="eastAsia"/>
          <w:sz w:val="28"/>
          <w:lang w:eastAsia="zh-CN"/>
        </w:rPr>
        <w:t>二、经济影响分析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12619"/>
      <w:r>
        <w:rPr>
          <w:rFonts w:ascii="仿宋" w:eastAsia="仿宋" w:hAnsi="仿宋" w:cs="仿宋" w:hint="eastAsia"/>
          <w:lang w:eastAsia="zh-CN"/>
        </w:rPr>
        <w:t>(一)、经济费用效益或费用效果分析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项目总成本评估：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初始投资成本：假设土地购置成本为XX万元，建筑和基础设施建设成本为XX万元，设备采购和安装费用为XX万元。因此，项目的总初始投资成本估计为XX万元。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运营成本：每年的运营成本包括人力资源成本XX万元，原材料采购XX万元，能源消耗XX万元，维护和修理XX万元。因此，项目的年运营成本估计为XX万元。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环境和社会成本：环境保护措施预计年费用为XX万元，社区补偿和支持预算为XX万元，因此总计为XX万元。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预期收益分析：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直接收益：假设塔吊项目的产品或服务年销售收入为XX万元。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间接收益：包括提高品牌价值和市场份额，假设间接经济效益为XX万元。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  社会和环境效益：虽难以量化，但假设其长期价值估计为XX万元。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成本效果比较：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假设项目的总成本（初始投资成本加上预计五年的运营成本和环境社会成本）为XX万元。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预期收益（直接收益加上五年的间接收益和社会环境效益）为XX万元。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因此，项目的成本效果比为XX万元（总成本）对比XX万元（总收益）。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投资回收期分析：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假设项目的总初始投资为XX万元，年运营成本为XX万元，而年直接收益为XX万元。假定直接收益和运营成本保持恒定，则项目的投资回收期为：（总初始投资） / （年直接收益 年运营成本）= XX年。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净现值（NPV）和内部收益率（IRR）分析：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净现值（NPV）是评估项目总收益与总成本现值的差额。假设项目预计持续XX年，每年的净收益为（年直接收益 年运营成本），折现率假定为XX%，则NPV计算为：NPV = ∑ [（年净收益） / （1 + 折现率）^年份] 初始投资成本。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内部收益率（IRR）是使得NPV为零的折现率，这是项目盈利能力的一个重要指标。通过财务软件或手工计算可得出IRR值。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风险和灵敏度分析：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风险分析包括考虑市场波动、成本超支和收入不达预期等因素对项目经济效益的影响。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https://d.book118.com/305023024312011104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塔吊项目建设总纲及方案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塔吊项目建设总纲及方案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塔吊项目建设总纲及方案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塔吊项目建设总纲及方案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塔吊项目建设总纲及方案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塔吊项目建设总纲及方案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塔吊项目建设总纲及方案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塔吊项目建设总纲及方案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塔吊项目建设总纲及方案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塔吊项目建设总纲及方案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塔吊项目建设总纲及方案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塔吊项目建设总纲及方案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72AE2"/>
    <w:rsid w:val="03672AE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305023024312011104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2024-02-04T03:42:00Z</dcterms:created>
  <dcterms:modified xsi:type="dcterms:W3CDTF">2024-02-04T03:43:16Z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A65DDA1D833148E79A3F4D3DB454CF1B_11</vt:lpwstr>
  </property>
  <property fmtid="{D5CDD505-2E9C-101B-9397-08002B2CF9AE}" pid="3" name="KSOProductBuildVer">
    <vt:lpwstr>2052-12.1.0.16250</vt:lpwstr>
  </property>
</Properties>
</file>