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8" w:line="758" w:lineRule="exact"/>
        <w:ind w:left="0" w:right="2043" w:firstLine="0"/>
        <w:jc w:val="center"/>
        <w:rPr>
          <w:sz w:val="72"/>
        </w:rPr>
      </w:pPr>
      <w:r>
        <w:rPr>
          <w:sz w:val="72"/>
        </w:rPr>
        <w:t>金沙小学</w:t>
      </w:r>
    </w:p>
    <w:p>
      <w:pPr>
        <w:pStyle w:val="Title"/>
      </w:pPr>
      <w:r>
        <w:t>建设工程监理规划</w:t>
      </w:r>
    </w:p>
    <w:p>
      <w:pPr>
        <w:pStyle w:val="BodyText"/>
        <w:rPr>
          <w:sz w:val="126"/>
        </w:rPr>
      </w:pPr>
    </w:p>
    <w:p>
      <w:pPr>
        <w:pStyle w:val="BodyText"/>
        <w:rPr>
          <w:sz w:val="126"/>
        </w:rPr>
      </w:pPr>
    </w:p>
    <w:p>
      <w:pPr>
        <w:pStyle w:val="BodyText"/>
        <w:rPr>
          <w:sz w:val="126"/>
        </w:rPr>
      </w:pPr>
    </w:p>
    <w:p>
      <w:pPr>
        <w:pStyle w:val="BodyText"/>
        <w:rPr>
          <w:sz w:val="126"/>
        </w:rPr>
      </w:pPr>
    </w:p>
    <w:p>
      <w:pPr>
        <w:pStyle w:val="BodyText"/>
        <w:rPr>
          <w:sz w:val="126"/>
        </w:rPr>
      </w:pPr>
    </w:p>
    <w:p>
      <w:pPr>
        <w:pStyle w:val="BodyText"/>
        <w:spacing w:before="5"/>
        <w:rPr>
          <w:sz w:val="168"/>
        </w:rPr>
      </w:pPr>
    </w:p>
    <w:p>
      <w:pPr>
        <w:spacing w:before="1" w:line="650" w:lineRule="auto"/>
        <w:ind w:left="2277" w:right="10980" w:firstLine="0"/>
        <w:jc w:val="left"/>
        <w:rPr>
          <w:rFonts w:ascii="黑体" w:eastAsia="黑体" w:hint="eastAsia"/>
          <w:sz w:val="54"/>
        </w:rPr>
      </w:pPr>
      <w:r>
        <w:rPr>
          <w:rFonts w:ascii="黑体" w:eastAsia="黑体" w:hint="eastAsia"/>
          <w:sz w:val="54"/>
        </w:rPr>
        <w:t>编制： 审批：</w:t>
      </w:r>
    </w:p>
    <w:p>
      <w:pPr>
        <w:spacing w:before="0" w:line="650" w:lineRule="auto"/>
        <w:ind w:left="5517" w:right="3419" w:hanging="1620"/>
        <w:jc w:val="left"/>
        <w:rPr>
          <w:sz w:val="54"/>
        </w:rPr>
      </w:pPr>
      <w:r>
        <w:rPr>
          <w:spacing w:val="-2"/>
          <w:sz w:val="54"/>
        </w:rPr>
        <w:t>福建华泰工程建设监理有限公司</w:t>
      </w:r>
      <w:r>
        <w:rPr>
          <w:spacing w:val="-67"/>
          <w:sz w:val="54"/>
        </w:rPr>
        <w:t xml:space="preserve">二 </w:t>
      </w:r>
      <w:r>
        <w:rPr>
          <w:sz w:val="54"/>
        </w:rPr>
        <w:t>0</w:t>
      </w:r>
      <w:r>
        <w:rPr>
          <w:spacing w:val="-91"/>
          <w:sz w:val="54"/>
        </w:rPr>
        <w:t xml:space="preserve"> 一 </w:t>
      </w:r>
      <w:r>
        <w:rPr>
          <w:sz w:val="54"/>
        </w:rPr>
        <w:t>0</w:t>
      </w:r>
      <w:r>
        <w:rPr>
          <w:spacing w:val="-34"/>
          <w:sz w:val="54"/>
        </w:rPr>
        <w:t xml:space="preserve"> 年八月</w:t>
      </w:r>
    </w:p>
    <w:p>
      <w:pPr>
        <w:spacing w:after="0" w:line="650" w:lineRule="auto"/>
        <w:jc w:val="left"/>
        <w:rPr>
          <w:sz w:val="54"/>
        </w:rPr>
        <w:sectPr>
          <w:type w:val="continuous"/>
          <w:pgSz w:w="17860" w:h="25260"/>
          <w:pgMar w:top="2420" w:right="940" w:bottom="280" w:left="2040" w:header="708" w:footer="708"/>
          <w:cols w:space="708"/>
        </w:sectPr>
      </w:pPr>
    </w:p>
    <w:p>
      <w:pPr>
        <w:tabs>
          <w:tab w:val="left" w:pos="1800"/>
        </w:tabs>
        <w:spacing w:before="0" w:line="894" w:lineRule="exact"/>
        <w:ind w:left="0" w:right="781" w:firstLine="0"/>
        <w:jc w:val="center"/>
        <w:rPr>
          <w:rFonts w:ascii="黑体" w:eastAsia="黑体" w:hint="eastAsia"/>
          <w:sz w:val="72"/>
        </w:rPr>
      </w:pPr>
      <w:r>
        <w:rPr>
          <w:rFonts w:ascii="黑体" w:eastAsia="黑体" w:hint="eastAsia"/>
          <w:sz w:val="72"/>
        </w:rPr>
        <w:t>前</w:t>
        <w:tab/>
        <w:t>言</w:t>
      </w:r>
    </w:p>
    <w:p>
      <w:pPr>
        <w:pStyle w:val="BodyText"/>
        <w:spacing w:before="5"/>
        <w:rPr>
          <w:rFonts w:ascii="黑体"/>
          <w:sz w:val="90"/>
        </w:rPr>
      </w:pPr>
    </w:p>
    <w:p>
      <w:pPr>
        <w:spacing w:before="1" w:line="331" w:lineRule="auto"/>
        <w:ind w:left="390" w:right="810" w:firstLine="1468"/>
        <w:jc w:val="both"/>
        <w:rPr>
          <w:sz w:val="66"/>
        </w:rPr>
      </w:pPr>
      <w:r>
        <w:rPr>
          <w:spacing w:val="74"/>
          <w:sz w:val="66"/>
        </w:rPr>
        <w:t>本监理规划根据委托监理合同， 监理</w:t>
      </w:r>
      <w:r>
        <w:rPr>
          <w:spacing w:val="97"/>
          <w:w w:val="95"/>
          <w:sz w:val="66"/>
        </w:rPr>
        <w:t>规范、项目设计文件、省、市有关规定进</w:t>
      </w:r>
      <w:r>
        <w:rPr>
          <w:spacing w:val="72"/>
          <w:sz w:val="66"/>
        </w:rPr>
        <w:t>行编制。内容包括工程项目概况， 监理工</w:t>
      </w:r>
      <w:r>
        <w:rPr>
          <w:spacing w:val="97"/>
          <w:w w:val="95"/>
          <w:sz w:val="66"/>
        </w:rPr>
        <w:t>作范围、内容、目标、依据、项目监理机构的组织形式、人员配备计划、人员岗位职责以及监理工作程序、方法、措施、制</w:t>
      </w:r>
      <w:r>
        <w:rPr>
          <w:spacing w:val="71"/>
          <w:sz w:val="66"/>
        </w:rPr>
        <w:t>度和监理设施等内容； 力求使有关方面对</w:t>
      </w:r>
      <w:r>
        <w:rPr>
          <w:spacing w:val="72"/>
          <w:sz w:val="66"/>
        </w:rPr>
        <w:t>监理工作得到进一步了解， 并将成为指导</w:t>
      </w:r>
      <w:r>
        <w:rPr>
          <w:spacing w:val="97"/>
          <w:w w:val="95"/>
          <w:sz w:val="66"/>
        </w:rPr>
        <w:t>项目监理部全面开展监理工作的指导性文</w:t>
      </w:r>
      <w:r>
        <w:rPr>
          <w:spacing w:val="71"/>
          <w:sz w:val="66"/>
        </w:rPr>
        <w:t>件。随着工程的进展， 我们将结合分部、</w:t>
      </w:r>
      <w:r>
        <w:rPr>
          <w:spacing w:val="96"/>
          <w:w w:val="95"/>
          <w:sz w:val="66"/>
        </w:rPr>
        <w:t>分项工程专业特点编制较为详细、具体、</w:t>
      </w:r>
      <w:r>
        <w:rPr>
          <w:spacing w:val="82"/>
          <w:sz w:val="66"/>
        </w:rPr>
        <w:t>操作性较强的监理实施细则。</w:t>
      </w:r>
    </w:p>
    <w:p>
      <w:pPr>
        <w:spacing w:after="0" w:line="331" w:lineRule="auto"/>
        <w:jc w:val="both"/>
        <w:rPr>
          <w:sz w:val="66"/>
        </w:rPr>
        <w:sectPr>
          <w:pgSz w:w="17860" w:h="25260"/>
          <w:pgMar w:top="1560" w:right="940" w:bottom="280" w:left="2040" w:header="708" w:footer="708"/>
          <w:pgNumType w:start="2"/>
          <w:cols w:space="708"/>
        </w:sectPr>
      </w:pPr>
    </w:p>
    <w:p>
      <w:pPr>
        <w:spacing w:before="0" w:line="894" w:lineRule="exact"/>
        <w:ind w:left="2952" w:right="2861" w:firstLine="0"/>
        <w:jc w:val="center"/>
        <w:rPr>
          <w:b/>
          <w:sz w:val="72"/>
        </w:rPr>
      </w:pPr>
      <w:r>
        <w:rPr>
          <w:b/>
          <w:sz w:val="72"/>
        </w:rPr>
        <w:t>目 录</w:t>
      </w:r>
    </w:p>
    <w:sdt>
      <w:sdtPr>
        <w:id w:val="2018143427"/>
        <w:docPartObj>
          <w:docPartGallery w:val="Table of Contents"/>
          <w:docPartUnique/>
        </w:docPartObj>
      </w:sdtPr>
      <w:sdtContent>
        <w:p>
          <w:pPr>
            <w:pStyle w:val="TOC1"/>
            <w:tabs>
              <w:tab w:val="right" w:leader="dot" w:pos="13349"/>
            </w:tabs>
            <w:spacing w:before="575"/>
            <w:rPr>
              <w:rFonts w:ascii="Arial" w:eastAsia="Arial" w:hAnsi="Arial"/>
            </w:rPr>
          </w:pPr>
          <w:r>
            <w:t>一、工程项目概况…</w:t>
            <w:tab/>
          </w:r>
          <w:r>
            <w:rPr>
              <w:rFonts w:ascii="Arial" w:eastAsia="Arial" w:hAnsi="Arial"/>
            </w:rPr>
            <w:t>1</w:t>
          </w:r>
        </w:p>
        <w:p>
          <w:pPr>
            <w:pStyle w:val="TOC1"/>
            <w:tabs>
              <w:tab w:val="right" w:leader="dot" w:pos="13349"/>
            </w:tabs>
            <w:spacing w:before="827"/>
            <w:rPr>
              <w:rFonts w:ascii="Arial" w:eastAsia="Arial" w:hAnsi="Arial"/>
            </w:rPr>
          </w:pPr>
          <w:hyperlink w:anchor="_TOC_250011" w:history="1">
            <w:r>
              <w:t>二、监理工作范围…</w:t>
              <w:tab/>
            </w:r>
            <w:r>
              <w:rPr>
                <w:rFonts w:ascii="Arial" w:eastAsia="Arial" w:hAnsi="Arial"/>
              </w:rPr>
              <w:t>1</w:t>
            </w:r>
          </w:hyperlink>
        </w:p>
        <w:p>
          <w:pPr>
            <w:pStyle w:val="TOC1"/>
            <w:tabs>
              <w:tab w:val="right" w:leader="dot" w:pos="13349"/>
            </w:tabs>
            <w:rPr>
              <w:rFonts w:ascii="Arial" w:eastAsia="Arial" w:hAnsi="Arial"/>
            </w:rPr>
          </w:pPr>
          <w:hyperlink w:anchor="_TOC_250010" w:history="1">
            <w:r>
              <w:t>三、监理工作内容…</w:t>
              <w:tab/>
            </w:r>
            <w:r>
              <w:rPr>
                <w:rFonts w:ascii="Arial" w:eastAsia="Arial" w:hAnsi="Arial"/>
              </w:rPr>
              <w:t>1</w:t>
            </w:r>
          </w:hyperlink>
        </w:p>
        <w:p>
          <w:pPr>
            <w:pStyle w:val="TOC1"/>
            <w:tabs>
              <w:tab w:val="right" w:leader="dot" w:pos="13349"/>
            </w:tabs>
            <w:spacing w:before="828"/>
            <w:rPr>
              <w:rFonts w:ascii="Arial" w:eastAsia="Arial" w:hAnsi="Arial"/>
            </w:rPr>
          </w:pPr>
          <w:hyperlink w:anchor="_TOC_250009" w:history="1">
            <w:r>
              <w:t>四、监理工作目标…</w:t>
              <w:tab/>
            </w:r>
            <w:r>
              <w:rPr>
                <w:rFonts w:ascii="Arial" w:eastAsia="Arial" w:hAnsi="Arial"/>
              </w:rPr>
              <w:t>8</w:t>
            </w:r>
          </w:hyperlink>
        </w:p>
        <w:p>
          <w:pPr>
            <w:pStyle w:val="TOC1"/>
            <w:tabs>
              <w:tab w:val="right" w:leader="dot" w:pos="13349"/>
            </w:tabs>
            <w:rPr>
              <w:rFonts w:ascii="Arial" w:eastAsia="Arial" w:hAnsi="Arial"/>
            </w:rPr>
          </w:pPr>
          <w:hyperlink w:anchor="_TOC_250008" w:history="1">
            <w:r>
              <w:t>五、监理工作依据…</w:t>
              <w:tab/>
            </w:r>
            <w:r>
              <w:rPr>
                <w:rFonts w:ascii="Arial" w:eastAsia="Arial" w:hAnsi="Arial"/>
              </w:rPr>
              <w:t>9</w:t>
            </w:r>
          </w:hyperlink>
        </w:p>
        <w:p>
          <w:pPr>
            <w:pStyle w:val="TOC1"/>
            <w:tabs>
              <w:tab w:val="right" w:leader="dot" w:pos="13439"/>
            </w:tabs>
            <w:spacing w:before="827"/>
            <w:rPr>
              <w:rFonts w:ascii="Arial" w:eastAsia="Arial" w:hAnsi="Arial"/>
            </w:rPr>
          </w:pPr>
          <w:hyperlink w:anchor="_TOC_250007" w:history="1">
            <w:r>
              <w:t>六</w:t>
            </w:r>
            <w:r>
              <w:rPr>
                <w:spacing w:val="-180"/>
              </w:rPr>
              <w:t>、</w:t>
            </w:r>
            <w:r>
              <w:t>项目监理机构的组织形式…</w:t>
              <w:tab/>
            </w:r>
            <w:r>
              <w:rPr>
                <w:rFonts w:ascii="Arial" w:eastAsia="Arial" w:hAnsi="Arial"/>
              </w:rPr>
              <w:t>10</w:t>
            </w:r>
          </w:hyperlink>
        </w:p>
        <w:p>
          <w:pPr>
            <w:pStyle w:val="TOC1"/>
            <w:tabs>
              <w:tab w:val="right" w:leader="dot" w:pos="13460"/>
            </w:tabs>
            <w:rPr>
              <w:rFonts w:ascii="Arial" w:eastAsia="Arial" w:hAnsi="Arial"/>
            </w:rPr>
          </w:pPr>
          <w:hyperlink w:anchor="_TOC_250006" w:history="1">
            <w:r>
              <w:t>七</w:t>
            </w:r>
            <w:r>
              <w:rPr>
                <w:spacing w:val="-159"/>
              </w:rPr>
              <w:t>、</w:t>
            </w:r>
            <w:r>
              <w:t>项目监理机构的人员配备计划…</w:t>
              <w:tab/>
            </w:r>
            <w:r>
              <w:rPr>
                <w:rFonts w:ascii="Arial" w:eastAsia="Arial" w:hAnsi="Arial"/>
              </w:rPr>
              <w:t>11</w:t>
            </w:r>
          </w:hyperlink>
        </w:p>
        <w:p>
          <w:pPr>
            <w:pStyle w:val="TOC1"/>
            <w:tabs>
              <w:tab w:val="right" w:leader="dot" w:pos="13439"/>
            </w:tabs>
            <w:spacing w:before="828"/>
            <w:rPr>
              <w:rFonts w:ascii="Arial" w:eastAsia="Arial" w:hAnsi="Arial"/>
            </w:rPr>
          </w:pPr>
          <w:hyperlink w:anchor="_TOC_250005" w:history="1">
            <w:r>
              <w:t>八</w:t>
            </w:r>
            <w:r>
              <w:rPr>
                <w:spacing w:val="-180"/>
              </w:rPr>
              <w:t>、</w:t>
            </w:r>
            <w:r>
              <w:t>项目监理机构的人员岗位职责…</w:t>
              <w:tab/>
            </w:r>
            <w:r>
              <w:rPr>
                <w:rFonts w:ascii="Arial" w:eastAsia="Arial" w:hAnsi="Arial"/>
              </w:rPr>
              <w:t>12</w:t>
            </w:r>
          </w:hyperlink>
        </w:p>
        <w:p>
          <w:pPr>
            <w:pStyle w:val="TOC1"/>
            <w:tabs>
              <w:tab w:val="right" w:leader="dot" w:pos="13439"/>
            </w:tabs>
            <w:rPr>
              <w:rFonts w:ascii="Arial" w:eastAsia="Arial" w:hAnsi="Arial"/>
              <w:sz w:val="48"/>
            </w:rPr>
          </w:pPr>
          <w:hyperlink w:anchor="_TOC_250004" w:history="1">
            <w:r>
              <w:t>九</w:t>
            </w:r>
            <w:r>
              <w:rPr>
                <w:spacing w:val="-119"/>
              </w:rPr>
              <w:t>、</w:t>
            </w:r>
            <w:r>
              <w:t>监理工作程序…</w:t>
              <w:tab/>
            </w:r>
            <w:r>
              <w:rPr>
                <w:rFonts w:ascii="Arial" w:eastAsia="Arial" w:hAnsi="Arial"/>
                <w:position w:val="-4"/>
                <w:sz w:val="48"/>
              </w:rPr>
              <w:t>15</w:t>
            </w:r>
          </w:hyperlink>
        </w:p>
        <w:p>
          <w:pPr>
            <w:pStyle w:val="TOC1"/>
            <w:tabs>
              <w:tab w:val="right" w:leader="dot" w:pos="13439"/>
            </w:tabs>
            <w:spacing w:before="827"/>
            <w:rPr>
              <w:rFonts w:ascii="Arial" w:eastAsia="Arial" w:hAnsi="Arial"/>
              <w:sz w:val="48"/>
            </w:rPr>
          </w:pPr>
          <w:hyperlink w:anchor="_TOC_250003" w:history="1">
            <w:r>
              <w:t>十</w:t>
            </w:r>
            <w:r>
              <w:rPr>
                <w:spacing w:val="-119"/>
              </w:rPr>
              <w:t>、</w:t>
            </w:r>
            <w:r>
              <w:t>监理工作方法及措施…</w:t>
              <w:tab/>
            </w:r>
            <w:r>
              <w:rPr>
                <w:rFonts w:ascii="Arial" w:eastAsia="Arial" w:hAnsi="Arial"/>
                <w:position w:val="-4"/>
                <w:sz w:val="48"/>
              </w:rPr>
              <w:t>29</w:t>
            </w:r>
          </w:hyperlink>
        </w:p>
        <w:p>
          <w:pPr>
            <w:pStyle w:val="TOC1"/>
            <w:tabs>
              <w:tab w:val="right" w:leader="dot" w:pos="13439"/>
            </w:tabs>
            <w:spacing w:before="832"/>
            <w:rPr>
              <w:rFonts w:ascii="Arial" w:eastAsia="Arial" w:hAnsi="Arial"/>
              <w:sz w:val="48"/>
            </w:rPr>
          </w:pPr>
          <w:hyperlink w:anchor="_TOC_250002" w:history="1">
            <w:r>
              <w:t>十一</w:t>
            </w:r>
            <w:r>
              <w:rPr>
                <w:spacing w:val="-119"/>
              </w:rPr>
              <w:t>、</w:t>
            </w:r>
            <w:r>
              <w:t>监理工作制度…</w:t>
              <w:tab/>
            </w:r>
            <w:r>
              <w:rPr>
                <w:rFonts w:ascii="Arial" w:eastAsia="Arial" w:hAnsi="Arial"/>
                <w:position w:val="-4"/>
                <w:sz w:val="48"/>
              </w:rPr>
              <w:t>32</w:t>
            </w:r>
          </w:hyperlink>
        </w:p>
        <w:p>
          <w:pPr>
            <w:pStyle w:val="TOC1"/>
            <w:tabs>
              <w:tab w:val="right" w:leader="dot" w:pos="13439"/>
            </w:tabs>
            <w:spacing w:before="828"/>
            <w:rPr>
              <w:rFonts w:ascii="Arial" w:eastAsia="Arial" w:hAnsi="Arial"/>
              <w:sz w:val="48"/>
            </w:rPr>
          </w:pPr>
          <w:hyperlink w:anchor="_TOC_250001" w:history="1">
            <w:r>
              <w:t>十二</w:t>
            </w:r>
            <w:r>
              <w:rPr>
                <w:spacing w:val="-119"/>
              </w:rPr>
              <w:t>、</w:t>
            </w:r>
            <w:r>
              <w:t>监理设施…</w:t>
              <w:tab/>
            </w:r>
            <w:r>
              <w:rPr>
                <w:rFonts w:ascii="Arial" w:eastAsia="Arial" w:hAnsi="Arial"/>
                <w:position w:val="-4"/>
                <w:sz w:val="48"/>
              </w:rPr>
              <w:t>36</w:t>
            </w:r>
          </w:hyperlink>
        </w:p>
        <w:p>
          <w:pPr>
            <w:pStyle w:val="TOC1"/>
            <w:tabs>
              <w:tab w:val="right" w:leader="dot" w:pos="13439"/>
            </w:tabs>
            <w:spacing w:before="830"/>
            <w:rPr>
              <w:rFonts w:ascii="Arial" w:eastAsia="Arial" w:hAnsi="Arial"/>
              <w:sz w:val="48"/>
            </w:rPr>
          </w:pPr>
          <w:hyperlink w:anchor="_TOC_250000" w:history="1">
            <w:r>
              <w:t>十三</w:t>
            </w:r>
            <w:r>
              <w:rPr>
                <w:spacing w:val="-119"/>
              </w:rPr>
              <w:t>、</w:t>
            </w:r>
            <w:r>
              <w:t>资料与档案管理…</w:t>
              <w:tab/>
            </w:r>
            <w:r>
              <w:rPr>
                <w:rFonts w:ascii="Arial" w:eastAsia="Arial" w:hAnsi="Arial"/>
                <w:position w:val="-4"/>
                <w:sz w:val="48"/>
              </w:rPr>
              <w:t>36</w:t>
            </w:r>
          </w:hyperlink>
        </w:p>
      </w:sdtContent>
    </w:sdt>
    <w:p>
      <w:pPr>
        <w:spacing w:after="0"/>
        <w:rPr>
          <w:rFonts w:ascii="Arial" w:eastAsia="Arial" w:hAnsi="Arial"/>
          <w:sz w:val="48"/>
        </w:rPr>
        <w:sectPr>
          <w:pgSz w:w="17860" w:h="25260"/>
          <w:pgMar w:top="1560" w:right="940" w:bottom="280" w:left="2040" w:header="708" w:footer="708"/>
          <w:pgNumType w:start="3"/>
          <w:cols w:space="708"/>
        </w:sectPr>
      </w:pPr>
    </w:p>
    <w:p>
      <w:pPr>
        <w:spacing w:before="16"/>
        <w:ind w:left="657" w:right="0" w:firstLine="0"/>
        <w:jc w:val="left"/>
        <w:rPr>
          <w:rFonts w:ascii="黑体" w:eastAsia="黑体" w:hint="eastAsia"/>
          <w:sz w:val="45"/>
        </w:rPr>
      </w:pPr>
      <w:r>
        <w:rPr>
          <w:rFonts w:ascii="黑体" w:eastAsia="黑体" w:hint="eastAsia"/>
          <w:sz w:val="45"/>
        </w:rPr>
        <w:t>一、工程概况：</w:t>
      </w:r>
    </w:p>
    <w:p>
      <w:pPr>
        <w:pStyle w:val="BodyText"/>
        <w:spacing w:before="9"/>
        <w:rPr>
          <w:rFonts w:ascii="黑体"/>
          <w:sz w:val="35"/>
        </w:rPr>
      </w:pPr>
    </w:p>
    <w:p>
      <w:pPr>
        <w:pStyle w:val="BodyText"/>
        <w:spacing w:line="374" w:lineRule="auto"/>
        <w:ind w:left="657" w:right="1417" w:firstLine="838"/>
        <w:jc w:val="both"/>
      </w:pPr>
      <w:r>
        <w:rPr>
          <w:spacing w:val="-4"/>
        </w:rPr>
        <w:t xml:space="preserve">金沙小学位于三明高新区金沙园内，总建筑面积 </w:t>
      </w:r>
      <w:r>
        <w:rPr>
          <w:rFonts w:ascii="Arial" w:eastAsia="Arial"/>
        </w:rPr>
        <w:t>15995</w:t>
      </w:r>
      <w:r>
        <w:rPr>
          <w:rFonts w:ascii="Arial" w:eastAsia="Arial"/>
          <w:spacing w:val="34"/>
        </w:rPr>
        <w:t xml:space="preserve"> </w:t>
      </w:r>
      <w:r>
        <w:t>㎡，其中</w:t>
      </w:r>
      <w:r>
        <w:rPr>
          <w:spacing w:val="-25"/>
        </w:rPr>
        <w:t xml:space="preserve">宿舍楼 </w:t>
      </w:r>
      <w:r>
        <w:t>3052.3</w:t>
      </w:r>
      <w:r>
        <w:rPr>
          <w:spacing w:val="-33"/>
        </w:rPr>
        <w:t xml:space="preserve"> ㎡、综合楼 </w:t>
      </w:r>
      <w:r>
        <w:t>6428.7</w:t>
      </w:r>
      <w:r>
        <w:rPr>
          <w:spacing w:val="-33"/>
        </w:rPr>
        <w:t xml:space="preserve"> ㎡、教学楼 </w:t>
      </w:r>
      <w:r>
        <w:t>6514</w:t>
      </w:r>
      <w:r>
        <w:rPr>
          <w:spacing w:val="-15"/>
        </w:rPr>
        <w:t xml:space="preserve"> ㎡。本工程地基基</w:t>
      </w:r>
      <w:r>
        <w:t>础设计等级为丙级，采用冲钻孔桩和独立基础形式。</w:t>
      </w:r>
    </w:p>
    <w:p>
      <w:pPr>
        <w:pStyle w:val="BodyText"/>
        <w:spacing w:line="486" w:lineRule="exact"/>
        <w:ind w:left="657"/>
      </w:pPr>
      <w:r>
        <w:rPr>
          <w:rFonts w:ascii="Arial" w:eastAsia="Arial"/>
        </w:rPr>
        <w:t>1</w:t>
      </w:r>
      <w:r>
        <w:t>、建设单位：三明高新区金沙园建设发展有限公司</w:t>
      </w:r>
    </w:p>
    <w:p>
      <w:pPr>
        <w:pStyle w:val="BodyText"/>
        <w:spacing w:before="398"/>
        <w:ind w:left="657"/>
      </w:pPr>
      <w:r>
        <w:rPr>
          <w:rFonts w:ascii="Arial" w:eastAsia="Arial"/>
        </w:rPr>
        <w:t>2</w:t>
      </w:r>
      <w:r>
        <w:t>、设计单位：三明境景建筑设计有限公司</w:t>
      </w:r>
    </w:p>
    <w:p>
      <w:pPr>
        <w:pStyle w:val="BodyText"/>
        <w:tabs>
          <w:tab w:val="left" w:pos="10525"/>
        </w:tabs>
        <w:spacing w:before="399"/>
        <w:ind w:left="657"/>
      </w:pPr>
      <w:r>
        <w:rPr>
          <w:rFonts w:ascii="Arial" w:eastAsia="Arial"/>
        </w:rPr>
        <w:t>3</w:t>
      </w:r>
      <w:r>
        <w:t>、承包单位：福建省城建建设有限公司、</w:t>
        <w:tab/>
        <w:t>有限公司</w:t>
      </w:r>
    </w:p>
    <w:p>
      <w:pPr>
        <w:pStyle w:val="BodyText"/>
        <w:spacing w:before="398"/>
        <w:ind w:left="657"/>
      </w:pPr>
      <w:r>
        <w:rPr>
          <w:rFonts w:ascii="Arial" w:eastAsia="Arial"/>
        </w:rPr>
        <w:t>4</w:t>
      </w:r>
      <w:r>
        <w:t xml:space="preserve">、建筑层数：宿舍楼 </w:t>
      </w:r>
      <w:r>
        <w:rPr>
          <w:rFonts w:ascii="Arial" w:eastAsia="Arial"/>
        </w:rPr>
        <w:t xml:space="preserve">4 </w:t>
      </w:r>
      <w:r>
        <w:t xml:space="preserve">层；综合楼 </w:t>
      </w:r>
      <w:r>
        <w:rPr>
          <w:rFonts w:ascii="Arial" w:eastAsia="Arial"/>
        </w:rPr>
        <w:t xml:space="preserve">5 </w:t>
      </w:r>
      <w:r>
        <w:t xml:space="preserve">层；教学楼 </w:t>
      </w:r>
      <w:r>
        <w:rPr>
          <w:rFonts w:ascii="Arial" w:eastAsia="Arial"/>
        </w:rPr>
        <w:t xml:space="preserve">4 </w:t>
      </w:r>
      <w:r>
        <w:t>层</w:t>
      </w:r>
    </w:p>
    <w:p>
      <w:pPr>
        <w:pStyle w:val="BodyText"/>
        <w:spacing w:before="397"/>
        <w:ind w:left="657"/>
      </w:pPr>
      <w:r>
        <w:rPr>
          <w:rFonts w:ascii="Arial" w:eastAsia="Arial"/>
          <w:w w:val="95"/>
        </w:rPr>
        <w:t>5</w:t>
      </w:r>
      <w:r>
        <w:rPr>
          <w:w w:val="95"/>
        </w:rPr>
        <w:t>、结构形式：框架结构</w:t>
      </w:r>
    </w:p>
    <w:p>
      <w:pPr>
        <w:pStyle w:val="BodyText"/>
        <w:spacing w:before="398"/>
        <w:ind w:left="657"/>
      </w:pPr>
      <w:r>
        <w:rPr>
          <w:rFonts w:ascii="Arial" w:eastAsia="Arial"/>
          <w:w w:val="95"/>
        </w:rPr>
        <w:t>6</w:t>
      </w:r>
      <w:r>
        <w:rPr>
          <w:w w:val="95"/>
        </w:rPr>
        <w:t>、建筑结构类别：丙类</w:t>
      </w:r>
    </w:p>
    <w:p>
      <w:pPr>
        <w:pStyle w:val="BodyText"/>
        <w:spacing w:before="398"/>
        <w:ind w:left="657"/>
      </w:pPr>
      <w:r>
        <w:rPr>
          <w:rFonts w:ascii="Arial" w:eastAsia="Arial"/>
        </w:rPr>
        <w:t>7</w:t>
      </w:r>
      <w:r>
        <w:t>、抗震设防烈度：</w:t>
      </w:r>
      <w:r>
        <w:rPr>
          <w:rFonts w:ascii="Arial" w:eastAsia="Arial"/>
        </w:rPr>
        <w:t xml:space="preserve">6 </w:t>
      </w:r>
      <w:r>
        <w:t>度</w:t>
      </w:r>
    </w:p>
    <w:p>
      <w:pPr>
        <w:pStyle w:val="BodyText"/>
        <w:spacing w:before="398"/>
        <w:ind w:left="657"/>
      </w:pPr>
      <w:r>
        <w:rPr>
          <w:rFonts w:ascii="Arial" w:eastAsia="Arial"/>
          <w:w w:val="95"/>
        </w:rPr>
        <w:t>8</w:t>
      </w:r>
      <w:r>
        <w:rPr>
          <w:w w:val="95"/>
        </w:rPr>
        <w:t>、建筑抗震设防类别：乙类</w:t>
      </w:r>
    </w:p>
    <w:p>
      <w:pPr>
        <w:pStyle w:val="BodyText"/>
        <w:spacing w:before="398"/>
        <w:ind w:left="657"/>
      </w:pPr>
      <w:r>
        <w:rPr>
          <w:rFonts w:ascii="Arial" w:eastAsia="Arial"/>
          <w:w w:val="95"/>
        </w:rPr>
        <w:t>9</w:t>
      </w:r>
      <w:r>
        <w:rPr>
          <w:w w:val="95"/>
        </w:rPr>
        <w:t>、建筑结构安全等级：二级</w:t>
      </w:r>
    </w:p>
    <w:p>
      <w:pPr>
        <w:pStyle w:val="BodyText"/>
        <w:spacing w:before="398"/>
        <w:ind w:left="657"/>
      </w:pPr>
      <w:r>
        <w:rPr>
          <w:rFonts w:ascii="Arial" w:eastAsia="Arial"/>
        </w:rPr>
        <w:t>10</w:t>
      </w:r>
      <w:r>
        <w:t>、框架抗震等级：四级</w:t>
      </w:r>
    </w:p>
    <w:p>
      <w:pPr>
        <w:pStyle w:val="BodyText"/>
        <w:spacing w:before="398"/>
        <w:ind w:left="657"/>
      </w:pPr>
      <w:r>
        <w:rPr>
          <w:rFonts w:ascii="Arial" w:eastAsia="Arial"/>
        </w:rPr>
        <w:t>11</w:t>
      </w:r>
      <w:r>
        <w:t>、耐火等级：二级</w:t>
      </w:r>
    </w:p>
    <w:p>
      <w:pPr>
        <w:pStyle w:val="BodyText"/>
        <w:spacing w:before="3"/>
        <w:rPr>
          <w:sz w:val="35"/>
        </w:rPr>
      </w:pPr>
    </w:p>
    <w:p>
      <w:pPr>
        <w:pStyle w:val="BodyText"/>
        <w:spacing w:before="1"/>
        <w:ind w:left="657"/>
      </w:pPr>
      <w:r>
        <w:rPr>
          <w:rFonts w:ascii="Arial" w:eastAsia="Arial"/>
        </w:rPr>
        <w:t>12</w:t>
      </w:r>
      <w:r>
        <w:t>、施工工期：</w:t>
      </w:r>
      <w:r>
        <w:rPr>
          <w:rFonts w:ascii="Arial" w:eastAsia="Arial"/>
        </w:rPr>
        <w:t xml:space="preserve">300 </w:t>
      </w:r>
      <w:r>
        <w:t>日历天</w:t>
      </w:r>
    </w:p>
    <w:p>
      <w:pPr>
        <w:pStyle w:val="BodyText"/>
        <w:spacing w:before="246"/>
        <w:ind w:left="657"/>
      </w:pPr>
      <w:r>
        <w:rPr>
          <w:rFonts w:ascii="Arial" w:eastAsia="Arial"/>
        </w:rPr>
        <w:t>13</w:t>
      </w:r>
      <w:r>
        <w:t>、质量等级：符合现行建设工程有关标准，规范的合格标准。</w:t>
      </w:r>
    </w:p>
    <w:p>
      <w:pPr>
        <w:pStyle w:val="Heading1"/>
        <w:spacing w:before="398"/>
        <w:ind w:left="657"/>
        <w:rPr>
          <w:rFonts w:ascii="黑体" w:eastAsia="黑体" w:hint="eastAsia"/>
        </w:rPr>
      </w:pPr>
      <w:bookmarkStart w:id="0" w:name="_TOC_250011"/>
      <w:bookmarkEnd w:id="0"/>
      <w:r>
        <w:rPr>
          <w:rFonts w:ascii="黑体" w:eastAsia="黑体" w:hint="eastAsia"/>
        </w:rPr>
        <w:t>二、监理工作范围</w:t>
      </w:r>
    </w:p>
    <w:p>
      <w:pPr>
        <w:pStyle w:val="BodyText"/>
        <w:spacing w:before="321" w:line="374" w:lineRule="auto"/>
        <w:ind w:left="117" w:right="1216" w:firstLine="835"/>
      </w:pPr>
      <w:r>
        <w:rPr>
          <w:spacing w:val="-9"/>
        </w:rPr>
        <w:t>根据已签订的委托监理合同，本工程监理工作范围为：施工阶段全过</w:t>
      </w:r>
      <w:r>
        <w:rPr>
          <w:spacing w:val="-22"/>
        </w:rPr>
        <w:t>程监理，包括桩基工程、主体工程、屋面工程、装饰工程及水电安装工程。</w:t>
      </w:r>
    </w:p>
    <w:p>
      <w:pPr>
        <w:pStyle w:val="Heading1"/>
        <w:spacing w:line="520" w:lineRule="exact"/>
        <w:ind w:left="567"/>
        <w:rPr>
          <w:rFonts w:ascii="黑体" w:eastAsia="黑体" w:hint="eastAsia"/>
        </w:rPr>
      </w:pPr>
      <w:bookmarkStart w:id="1" w:name="_TOC_250010"/>
      <w:bookmarkEnd w:id="1"/>
      <w:r>
        <w:rPr>
          <w:rFonts w:ascii="黑体" w:eastAsia="黑体" w:hint="eastAsia"/>
        </w:rPr>
        <w:t>三、监理工作内容</w:t>
      </w:r>
    </w:p>
    <w:p>
      <w:pPr>
        <w:pStyle w:val="BodyText"/>
        <w:spacing w:before="321"/>
        <w:ind w:left="117"/>
      </w:pPr>
      <w:r>
        <w:t>（一）施工准备阶段监理工作</w:t>
      </w:r>
    </w:p>
    <w:p>
      <w:pPr>
        <w:pStyle w:val="BodyText"/>
        <w:spacing w:before="300"/>
        <w:ind w:left="959"/>
      </w:pPr>
      <w:r>
        <w:rPr>
          <w:rFonts w:ascii="Arial" w:eastAsia="Arial"/>
        </w:rPr>
        <w:t>1</w:t>
      </w:r>
      <w:r>
        <w:t>、参加施工图纸会审、交底，协助委托人对图纸进行经济、技术分</w:t>
      </w:r>
    </w:p>
    <w:p>
      <w:pPr>
        <w:spacing w:after="0"/>
        <w:sectPr>
          <w:pgSz w:w="17860" w:h="25260"/>
          <w:pgMar w:top="1920" w:right="940" w:bottom="280" w:left="2040" w:header="708" w:footer="708"/>
          <w:pgNumType w:start="4"/>
          <w:cols w:space="708"/>
        </w:sectPr>
      </w:pPr>
    </w:p>
    <w:p>
      <w:pPr>
        <w:pStyle w:val="BodyText"/>
        <w:spacing w:before="14" w:line="374" w:lineRule="auto"/>
        <w:ind w:left="747" w:right="1494" w:hanging="630"/>
      </w:pPr>
      <w:r>
        <w:t xml:space="preserve">析 ， 提 出 优 化 设 计 方 案 ； </w:t>
      </w:r>
      <w:r>
        <w:rPr>
          <w:w w:val="100"/>
        </w:rPr>
        <w:t>２、审查承包单位编写的施工组织设计（方案</w:t>
      </w:r>
      <w:r>
        <w:rPr>
          <w:spacing w:val="-236"/>
          <w:w w:val="100"/>
        </w:rPr>
        <w:t>）</w:t>
      </w:r>
      <w:r>
        <w:rPr>
          <w:w w:val="100"/>
        </w:rPr>
        <w:t xml:space="preserve">，提出审查意见；  </w:t>
      </w:r>
      <w:r>
        <w:t>３、审查承包单位现场项目管理机</w:t>
      </w:r>
      <w:r>
        <w:rPr>
          <w:spacing w:val="-2"/>
        </w:rPr>
        <w:t>构的质量管理体系，技术管理体系</w:t>
      </w:r>
    </w:p>
    <w:p>
      <w:pPr>
        <w:pStyle w:val="BodyText"/>
        <w:spacing w:before="2" w:line="374" w:lineRule="auto"/>
        <w:ind w:left="747" w:right="1494" w:hanging="630"/>
      </w:pPr>
      <w:r>
        <w:t xml:space="preserve">和质量保证体系；                                              </w:t>
      </w:r>
      <w:r>
        <w:rPr>
          <w:spacing w:val="-1"/>
        </w:rPr>
        <w:t>４、审查承包单位报送的分包单位资格报审表和有关资质资料，提出</w:t>
      </w:r>
    </w:p>
    <w:p>
      <w:pPr>
        <w:pStyle w:val="BodyText"/>
        <w:spacing w:before="2" w:line="374" w:lineRule="auto"/>
        <w:ind w:left="747" w:right="1494" w:hanging="630"/>
      </w:pPr>
      <w:r>
        <w:t xml:space="preserve">审查意见；                                                    </w:t>
      </w:r>
      <w:r>
        <w:rPr>
          <w:spacing w:val="-1"/>
        </w:rPr>
        <w:t>５、检查承包单位报送的测量放线控制成果及控制桩保护措施，符合</w:t>
      </w:r>
    </w:p>
    <w:p>
      <w:pPr>
        <w:pStyle w:val="BodyText"/>
        <w:spacing w:line="376" w:lineRule="auto"/>
        <w:ind w:left="747" w:right="1494" w:hanging="630"/>
      </w:pPr>
      <w:r>
        <w:t xml:space="preserve">有关要求后进行签认；                                          </w:t>
      </w:r>
      <w:r>
        <w:rPr>
          <w:spacing w:val="-1"/>
        </w:rPr>
        <w:t>６、审查承包单位报送的工程开工报告及相关资料，检查落实施工现</w:t>
      </w:r>
    </w:p>
    <w:p>
      <w:pPr>
        <w:pStyle w:val="BodyText"/>
        <w:spacing w:line="374" w:lineRule="auto"/>
        <w:ind w:left="747" w:right="1494" w:hanging="630"/>
      </w:pPr>
      <w:r>
        <w:t xml:space="preserve">场各项准备工作是否满足开工要求；                              </w:t>
      </w:r>
      <w:r>
        <w:rPr>
          <w:spacing w:val="-1"/>
        </w:rPr>
        <w:t>７、参加由建设单位主持召开的第一次工地会议，并对会议纪要进行</w:t>
      </w:r>
    </w:p>
    <w:p>
      <w:pPr>
        <w:pStyle w:val="BodyText"/>
        <w:ind w:left="117"/>
      </w:pPr>
      <w:r>
        <w:t>会签。</w:t>
      </w:r>
    </w:p>
    <w:p>
      <w:pPr>
        <w:pStyle w:val="BodyText"/>
        <w:spacing w:before="294" w:line="374" w:lineRule="auto"/>
        <w:ind w:left="747" w:right="1073" w:hanging="630"/>
      </w:pPr>
      <w:r>
        <w:t xml:space="preserve">（二）工程质量控制工作                                          </w:t>
      </w:r>
      <w:r>
        <w:rPr>
          <w:spacing w:val="-1"/>
        </w:rPr>
        <w:t>１、监督承包单位严格按设计施工图纸、规范、标准和操作程序施工，</w:t>
      </w:r>
    </w:p>
    <w:p>
      <w:pPr>
        <w:pStyle w:val="BodyText"/>
        <w:spacing w:before="3" w:line="374" w:lineRule="auto"/>
        <w:ind w:left="747" w:right="6548" w:hanging="630"/>
      </w:pPr>
      <w:r>
        <w:t xml:space="preserve">控制工程质量；                        </w:t>
      </w:r>
      <w:r>
        <w:rPr>
          <w:spacing w:val="-1"/>
        </w:rPr>
        <w:t>２、核查技术变更和签认设计变更文件；</w:t>
      </w:r>
    </w:p>
    <w:p>
      <w:pPr>
        <w:pStyle w:val="BodyText"/>
        <w:spacing w:line="376" w:lineRule="auto"/>
        <w:ind w:left="117" w:right="1494" w:firstLine="630"/>
      </w:pPr>
      <w:r>
        <w:t>３、要求承包单位报送重点部位，关键工序的施工工艺和确保工程质量的措施并进行审核签认；</w:t>
      </w:r>
    </w:p>
    <w:p>
      <w:pPr>
        <w:pStyle w:val="BodyText"/>
        <w:spacing w:line="374" w:lineRule="auto"/>
        <w:ind w:left="117" w:right="1494" w:firstLine="630"/>
      </w:pPr>
      <w:r>
        <w:t>４、对重要的分项、分部工程施工过程进行巡视和检查，对隐蔽工程的隐蔽过程进行旁站；</w:t>
      </w:r>
    </w:p>
    <w:p>
      <w:pPr>
        <w:pStyle w:val="BodyText"/>
        <w:spacing w:line="374" w:lineRule="auto"/>
        <w:ind w:left="117" w:right="1283" w:firstLine="842"/>
      </w:pPr>
      <w:r>
        <w:t>５、对承包单位报送的拟进场工程材料、构配件、主要设备的质保资料进行审核、核定其品牌、型号、性能是否满足规范和设计要求；</w:t>
      </w:r>
    </w:p>
    <w:p>
      <w:pPr>
        <w:pStyle w:val="BodyText"/>
        <w:spacing w:line="376" w:lineRule="auto"/>
        <w:ind w:left="117" w:right="1283" w:firstLine="842"/>
      </w:pPr>
      <w:r>
        <w:t>６、对未经监理人员验收或验收不合格的工程材料，构配件、设备、书面通知承包单位限期退出施工现场；</w:t>
      </w:r>
    </w:p>
    <w:p>
      <w:pPr>
        <w:spacing w:after="0" w:line="376" w:lineRule="auto"/>
        <w:sectPr>
          <w:pgSz w:w="17860" w:h="25260"/>
          <w:pgMar w:top="2020" w:right="940" w:bottom="280" w:left="2040" w:header="708" w:footer="708"/>
          <w:pgNumType w:start="5"/>
          <w:cols w:space="708"/>
        </w:sectPr>
      </w:pPr>
    </w:p>
    <w:p>
      <w:pPr>
        <w:pStyle w:val="BodyText"/>
        <w:spacing w:before="14" w:line="374" w:lineRule="auto"/>
        <w:ind w:left="117" w:right="1283" w:firstLine="842"/>
      </w:pPr>
      <w:r>
        <w:t>７、对各分部、分项隐蔽工程进行验收签证；对未经验收或验收不合格的工序，严禁进入下一道工序施工；</w:t>
      </w:r>
    </w:p>
    <w:p>
      <w:pPr>
        <w:pStyle w:val="BodyText"/>
        <w:spacing w:before="2" w:line="374" w:lineRule="auto"/>
        <w:ind w:left="117" w:right="1283" w:firstLine="842"/>
      </w:pPr>
      <w:r>
        <w:t>８、对完成的分项、分部工程质量验评资料进行审核和现场检查，并按相应的质量评定标准和办法进行评定；</w:t>
      </w:r>
    </w:p>
    <w:p>
      <w:pPr>
        <w:pStyle w:val="BodyText"/>
        <w:spacing w:line="376" w:lineRule="auto"/>
        <w:ind w:left="117" w:right="1430" w:firstLine="842"/>
      </w:pPr>
      <w:r>
        <w:rPr>
          <w:spacing w:val="-13"/>
        </w:rPr>
        <w:t>９、对施工过程中出现的质量缺陷及时下达监理通知，要求承包单位</w:t>
      </w:r>
      <w:r>
        <w:t>整改，并检查整改结果；</w:t>
      </w:r>
    </w:p>
    <w:p>
      <w:pPr>
        <w:pStyle w:val="BodyText"/>
        <w:spacing w:line="374" w:lineRule="auto"/>
        <w:ind w:left="117" w:right="1218" w:firstLine="720"/>
      </w:pPr>
      <w:r>
        <w:rPr>
          <w:spacing w:val="-12"/>
        </w:rPr>
        <w:t>１０、发现施工存在重大质量隐患，可能造成质量事故或已经造成质</w:t>
      </w:r>
      <w:r>
        <w:rPr>
          <w:spacing w:val="-24"/>
        </w:rPr>
        <w:t xml:space="preserve">量事故时下达工程暂停令，要求承包单位停工整改，整改完毕后进行复查， </w:t>
      </w:r>
      <w:r>
        <w:t>符合规定要求后签署工程复工报审表。</w:t>
      </w:r>
    </w:p>
    <w:p>
      <w:pPr>
        <w:pStyle w:val="BodyText"/>
        <w:spacing w:line="374" w:lineRule="auto"/>
        <w:ind w:left="959" w:right="6757" w:hanging="843"/>
      </w:pPr>
      <w:r>
        <w:t xml:space="preserve">（三）工程造价控制工作               </w:t>
      </w:r>
      <w:r>
        <w:rPr>
          <w:spacing w:val="-1"/>
        </w:rPr>
        <w:t>１、审查资金使用的时间和使用计划；</w:t>
      </w:r>
    </w:p>
    <w:p>
      <w:pPr>
        <w:pStyle w:val="BodyText"/>
        <w:spacing w:line="374" w:lineRule="auto"/>
        <w:ind w:left="117" w:right="1283" w:firstLine="842"/>
      </w:pPr>
      <w:r>
        <w:t>２、进行现场工程计量，审核工程量清单和工程款支付申请表，签署工程款支付证书；</w:t>
      </w:r>
    </w:p>
    <w:p>
      <w:pPr>
        <w:pStyle w:val="BodyText"/>
        <w:spacing w:line="376" w:lineRule="auto"/>
        <w:ind w:left="117" w:right="1423" w:firstLine="842"/>
      </w:pPr>
      <w:r>
        <w:rPr>
          <w:spacing w:val="-13"/>
        </w:rPr>
        <w:t>３、建立月完成工程量和工作量统计表，对实际完成量与计划完成量</w:t>
      </w:r>
      <w:r>
        <w:t>进行比较分析、制定调整措施；</w:t>
      </w:r>
    </w:p>
    <w:p>
      <w:pPr>
        <w:pStyle w:val="BodyText"/>
        <w:spacing w:line="374" w:lineRule="auto"/>
        <w:ind w:left="117" w:right="1283" w:firstLine="842"/>
      </w:pPr>
      <w:r>
        <w:t>４、根据造价、项目的功能、质量和工期等方面要求审查工程变更方案与建设单位、承包单位协商确定工程变更的价款；</w:t>
      </w:r>
    </w:p>
    <w:p>
      <w:pPr>
        <w:pStyle w:val="BodyText"/>
        <w:spacing w:line="374" w:lineRule="auto"/>
        <w:ind w:left="959" w:right="1214"/>
      </w:pPr>
      <w:r>
        <w:rPr>
          <w:spacing w:val="-21"/>
        </w:rPr>
        <w:t xml:space="preserve">５、及时收集、整理有关施工和监理资料，为处理费用索赔提供证据； </w:t>
      </w:r>
      <w:r>
        <w:t>６、及时按施工合同的有关规定进行竣工结算、审核、审定竣工结算</w:t>
      </w:r>
    </w:p>
    <w:p>
      <w:pPr>
        <w:pStyle w:val="BodyText"/>
        <w:spacing w:line="376" w:lineRule="auto"/>
        <w:ind w:left="117" w:right="1283"/>
      </w:pPr>
      <w:r>
        <w:t>报表，与建设单位、承包单位协商一致后，签发竣工结算文件和最终的工程款支付证书。</w:t>
      </w:r>
    </w:p>
    <w:p>
      <w:pPr>
        <w:pStyle w:val="BodyText"/>
        <w:spacing w:line="374" w:lineRule="auto"/>
        <w:ind w:left="750" w:right="4019" w:hanging="634"/>
      </w:pPr>
      <w:r>
        <w:t xml:space="preserve">（四）工程进度控制工作                            １、审批承包单位报送的施工总进度计划；         </w:t>
      </w:r>
      <w:r>
        <w:rPr>
          <w:spacing w:val="-1"/>
        </w:rPr>
        <w:t>２、审批承包单位编制的年、季、月度施工进度计划；</w:t>
      </w:r>
    </w:p>
    <w:p>
      <w:pPr>
        <w:spacing w:after="0" w:line="374" w:lineRule="auto"/>
        <w:sectPr>
          <w:pgSz w:w="17860" w:h="25260"/>
          <w:pgMar w:top="2020" w:right="940" w:bottom="280" w:left="2040" w:header="708" w:footer="708"/>
          <w:pgNumType w:start="6"/>
          <w:cols w:space="708"/>
        </w:sectPr>
      </w:pPr>
    </w:p>
    <w:p>
      <w:pPr>
        <w:pStyle w:val="BodyText"/>
        <w:spacing w:before="14" w:line="374" w:lineRule="auto"/>
        <w:ind w:left="120" w:right="1069" w:firstLine="630"/>
      </w:pPr>
      <w:r>
        <w:rPr>
          <w:spacing w:val="-1"/>
        </w:rPr>
        <w:t xml:space="preserve">３、对进度计划，实施情况检查、分析，并记录实际进度及相关情况； </w:t>
      </w:r>
      <w:r>
        <w:rPr>
          <w:spacing w:val="-9"/>
        </w:rPr>
        <w:t>当实际进度符合计划进度时，要求承包单位编制下一期进度计划；当实际进度滞后于计划进度时，要求承包单位采取措施，并监督实施；</w:t>
      </w:r>
    </w:p>
    <w:p>
      <w:pPr>
        <w:pStyle w:val="BodyText"/>
        <w:spacing w:before="2" w:line="374" w:lineRule="auto"/>
        <w:ind w:left="120" w:right="1490" w:firstLine="630"/>
      </w:pPr>
      <w:r>
        <w:t>４、根据施工合同有关条款，施工图和施工组织设计制定进度控制方案及防范性对策。</w:t>
      </w:r>
    </w:p>
    <w:p>
      <w:pPr>
        <w:pStyle w:val="BodyText"/>
        <w:spacing w:before="2"/>
        <w:ind w:left="117"/>
      </w:pPr>
      <w:r>
        <w:t>（五</w:t>
      </w:r>
      <w:r>
        <w:rPr>
          <w:spacing w:val="-213"/>
        </w:rPr>
        <w:t>）</w:t>
      </w:r>
      <w:r>
        <w:t>、安全控制工作</w:t>
      </w:r>
    </w:p>
    <w:p>
      <w:pPr>
        <w:pStyle w:val="BodyText"/>
        <w:spacing w:before="301"/>
        <w:ind w:left="750"/>
      </w:pPr>
      <w:r>
        <w:rPr>
          <w:rFonts w:ascii="Times New Roman" w:eastAsia="Times New Roman"/>
        </w:rPr>
        <w:t>1</w:t>
      </w:r>
      <w:r>
        <w:t>、施工准备阶段：</w:t>
      </w:r>
    </w:p>
    <w:p>
      <w:pPr>
        <w:pStyle w:val="ListParagraph"/>
        <w:numPr>
          <w:ilvl w:val="0"/>
          <w:numId w:val="10"/>
        </w:numPr>
        <w:tabs>
          <w:tab w:val="left" w:pos="1389"/>
        </w:tabs>
        <w:spacing w:before="301" w:after="0" w:line="376" w:lineRule="auto"/>
        <w:ind w:left="120" w:right="1402" w:firstLine="212"/>
        <w:jc w:val="left"/>
        <w:rPr>
          <w:sz w:val="42"/>
        </w:rPr>
      </w:pPr>
      <w:r>
        <w:rPr>
          <w:sz w:val="42"/>
        </w:rPr>
        <w:t>审查施工组织设计中的安全技术措施及专项施工方案是否符合工</w:t>
      </w:r>
      <w:r>
        <w:rPr>
          <w:spacing w:val="-5"/>
          <w:sz w:val="42"/>
        </w:rPr>
        <w:t>程建设强制性标准，施工组织设计安全方面审查的主要内容：</w:t>
      </w:r>
    </w:p>
    <w:p>
      <w:pPr>
        <w:pStyle w:val="ListParagraph"/>
        <w:numPr>
          <w:ilvl w:val="1"/>
          <w:numId w:val="10"/>
        </w:numPr>
        <w:tabs>
          <w:tab w:val="left" w:pos="1176"/>
        </w:tabs>
        <w:spacing w:before="0" w:after="0" w:line="374" w:lineRule="auto"/>
        <w:ind w:left="120" w:right="1487" w:firstLine="630"/>
        <w:jc w:val="left"/>
        <w:rPr>
          <w:sz w:val="42"/>
        </w:rPr>
      </w:pPr>
      <w:r>
        <w:rPr>
          <w:spacing w:val="-1"/>
          <w:sz w:val="42"/>
        </w:rPr>
        <w:t>施工组织设计中有无安全措施，安全措施是否全面，安全措施是否</w:t>
      </w:r>
      <w:r>
        <w:rPr>
          <w:sz w:val="42"/>
        </w:rPr>
        <w:t>具有针对性；</w:t>
      </w:r>
    </w:p>
    <w:p>
      <w:pPr>
        <w:pStyle w:val="ListParagraph"/>
        <w:numPr>
          <w:ilvl w:val="1"/>
          <w:numId w:val="10"/>
        </w:numPr>
        <w:tabs>
          <w:tab w:val="left" w:pos="1173"/>
        </w:tabs>
        <w:spacing w:before="0" w:after="0" w:line="374" w:lineRule="auto"/>
        <w:ind w:left="750" w:right="1492" w:firstLine="0"/>
        <w:jc w:val="left"/>
        <w:rPr>
          <w:sz w:val="42"/>
        </w:rPr>
      </w:pPr>
      <w:r>
        <w:rPr>
          <w:sz w:val="42"/>
        </w:rPr>
        <w:t>施工单位是否按施工组织设计的要求进行书面的安全技术交底； c</w:t>
      </w:r>
      <w:r>
        <w:rPr>
          <w:spacing w:val="-1"/>
          <w:sz w:val="42"/>
        </w:rPr>
        <w:t>)施工现场安全措施的落实情况是否与施工组织设计的要求相吻合。</w:t>
      </w:r>
    </w:p>
    <w:p>
      <w:pPr>
        <w:pStyle w:val="ListParagraph"/>
        <w:numPr>
          <w:ilvl w:val="0"/>
          <w:numId w:val="10"/>
        </w:numPr>
        <w:tabs>
          <w:tab w:val="left" w:pos="1389"/>
        </w:tabs>
        <w:spacing w:before="0" w:after="0" w:line="374" w:lineRule="auto"/>
        <w:ind w:left="120" w:right="1419" w:firstLine="212"/>
        <w:jc w:val="both"/>
        <w:rPr>
          <w:sz w:val="42"/>
        </w:rPr>
      </w:pPr>
      <w:r>
        <w:rPr>
          <w:spacing w:val="-5"/>
          <w:sz w:val="42"/>
        </w:rPr>
        <w:t>审查施工现场临时用电方案是否符合《施工现场临时用电安全技</w:t>
      </w:r>
      <w:r>
        <w:rPr>
          <w:spacing w:val="-54"/>
          <w:sz w:val="42"/>
        </w:rPr>
        <w:t>术规范》</w:t>
      </w:r>
      <w:r>
        <w:rPr>
          <w:sz w:val="42"/>
        </w:rPr>
        <w:t>（</w:t>
      </w:r>
      <w:r>
        <w:rPr>
          <w:rFonts w:ascii="Times New Roman" w:eastAsia="Times New Roman" w:hAnsi="Times New Roman"/>
          <w:sz w:val="42"/>
        </w:rPr>
        <w:t>JGJ46-2005</w:t>
      </w:r>
      <w:r>
        <w:rPr>
          <w:sz w:val="42"/>
        </w:rPr>
        <w:t>）的有关规定；并对电气设备进行检查，每台用电</w:t>
      </w:r>
      <w:r>
        <w:rPr>
          <w:spacing w:val="-8"/>
          <w:w w:val="100"/>
          <w:sz w:val="42"/>
        </w:rPr>
        <w:t>设备应有各自专用的开关箱，必须实行“一机一闸制”，做到三级用电、</w:t>
      </w:r>
      <w:r>
        <w:rPr>
          <w:spacing w:val="-8"/>
          <w:sz w:val="42"/>
        </w:rPr>
        <w:t>二级保护。</w:t>
      </w:r>
    </w:p>
    <w:p>
      <w:pPr>
        <w:pStyle w:val="ListParagraph"/>
        <w:numPr>
          <w:ilvl w:val="0"/>
          <w:numId w:val="10"/>
        </w:numPr>
        <w:tabs>
          <w:tab w:val="left" w:pos="1389"/>
        </w:tabs>
        <w:spacing w:before="0" w:after="0" w:line="374" w:lineRule="auto"/>
        <w:ind w:left="120" w:right="1402" w:firstLine="212"/>
        <w:jc w:val="left"/>
        <w:rPr>
          <w:sz w:val="42"/>
        </w:rPr>
      </w:pPr>
      <w:r>
        <w:rPr>
          <w:sz w:val="42"/>
        </w:rPr>
        <w:t>审查承包单位达到一定规模的危险性较大的分部分项工程编制专</w:t>
      </w:r>
      <w:r>
        <w:rPr>
          <w:spacing w:val="-5"/>
          <w:sz w:val="42"/>
        </w:rPr>
        <w:t>项施工方案的情况。</w:t>
      </w:r>
    </w:p>
    <w:p>
      <w:pPr>
        <w:pStyle w:val="ListParagraph"/>
        <w:numPr>
          <w:ilvl w:val="0"/>
          <w:numId w:val="10"/>
        </w:numPr>
        <w:tabs>
          <w:tab w:val="left" w:pos="1389"/>
        </w:tabs>
        <w:spacing w:before="0" w:after="0" w:line="538" w:lineRule="exact"/>
        <w:ind w:left="1388" w:right="0" w:hanging="1056"/>
        <w:jc w:val="left"/>
        <w:rPr>
          <w:sz w:val="42"/>
        </w:rPr>
      </w:pPr>
      <w:r>
        <w:rPr>
          <w:sz w:val="42"/>
        </w:rPr>
        <w:t>审查承包单位资质和安全许可证的有效性。</w:t>
      </w:r>
    </w:p>
    <w:p>
      <w:pPr>
        <w:pStyle w:val="ListParagraph"/>
        <w:numPr>
          <w:ilvl w:val="0"/>
          <w:numId w:val="10"/>
        </w:numPr>
        <w:tabs>
          <w:tab w:val="left" w:pos="1386"/>
        </w:tabs>
        <w:spacing w:before="302" w:after="0" w:line="374" w:lineRule="auto"/>
        <w:ind w:left="120" w:right="1278" w:firstLine="212"/>
        <w:jc w:val="left"/>
        <w:rPr>
          <w:sz w:val="42"/>
        </w:rPr>
      </w:pPr>
      <w:r>
        <w:rPr>
          <w:spacing w:val="-1"/>
          <w:sz w:val="42"/>
        </w:rPr>
        <w:t>审查项目经理、专职安全员的资格合法有效性，且与投标文件是否</w:t>
      </w:r>
      <w:r>
        <w:rPr>
          <w:sz w:val="42"/>
        </w:rPr>
        <w:t>一致。</w:t>
      </w:r>
    </w:p>
    <w:p>
      <w:pPr>
        <w:pStyle w:val="ListParagraph"/>
        <w:numPr>
          <w:ilvl w:val="0"/>
          <w:numId w:val="10"/>
        </w:numPr>
        <w:tabs>
          <w:tab w:val="left" w:pos="1389"/>
        </w:tabs>
        <w:spacing w:before="0" w:after="0" w:line="537" w:lineRule="exact"/>
        <w:ind w:left="1388" w:right="0" w:hanging="1056"/>
        <w:jc w:val="left"/>
        <w:rPr>
          <w:sz w:val="42"/>
        </w:rPr>
      </w:pPr>
      <w:r>
        <w:rPr>
          <w:sz w:val="42"/>
        </w:rPr>
        <w:t>审核持证作业人员的资格证书是否合法有效。</w:t>
      </w:r>
    </w:p>
    <w:p>
      <w:pPr>
        <w:pStyle w:val="ListParagraph"/>
        <w:numPr>
          <w:ilvl w:val="0"/>
          <w:numId w:val="10"/>
        </w:numPr>
        <w:tabs>
          <w:tab w:val="left" w:pos="1389"/>
        </w:tabs>
        <w:spacing w:before="304" w:after="0" w:line="240" w:lineRule="auto"/>
        <w:ind w:left="1388" w:right="0" w:hanging="1056"/>
        <w:jc w:val="left"/>
        <w:rPr>
          <w:sz w:val="42"/>
        </w:rPr>
      </w:pPr>
      <w:r>
        <w:rPr>
          <w:sz w:val="42"/>
        </w:rPr>
        <w:t>审核承包单位应急预案和安全措施费使用计划。</w:t>
      </w:r>
    </w:p>
    <w:p>
      <w:pPr>
        <w:spacing w:after="0" w:line="240" w:lineRule="auto"/>
        <w:jc w:val="left"/>
        <w:rPr>
          <w:sz w:val="42"/>
        </w:rPr>
        <w:sectPr>
          <w:pgSz w:w="17860" w:h="25260"/>
          <w:pgMar w:top="2020" w:right="940" w:bottom="280" w:left="2040" w:header="708" w:footer="708"/>
          <w:pgNumType w:start="7"/>
          <w:cols w:space="708"/>
        </w:sectPr>
      </w:pPr>
    </w:p>
    <w:p>
      <w:pPr>
        <w:pStyle w:val="BodyText"/>
        <w:spacing w:before="74"/>
        <w:ind w:left="750"/>
      </w:pPr>
      <w:r>
        <w:rPr>
          <w:rFonts w:ascii="Arial" w:eastAsia="Arial"/>
        </w:rPr>
        <w:t>2</w:t>
      </w:r>
      <w:r>
        <w:t>、施工阶段</w:t>
      </w:r>
    </w:p>
    <w:p>
      <w:pPr>
        <w:pStyle w:val="ListParagraph"/>
        <w:numPr>
          <w:ilvl w:val="0"/>
          <w:numId w:val="9"/>
        </w:numPr>
        <w:tabs>
          <w:tab w:val="left" w:pos="1393"/>
        </w:tabs>
        <w:spacing w:before="301" w:after="0" w:line="376" w:lineRule="auto"/>
        <w:ind w:left="120" w:right="1175" w:firstLine="212"/>
        <w:jc w:val="left"/>
        <w:rPr>
          <w:sz w:val="42"/>
        </w:rPr>
      </w:pPr>
      <w:r>
        <w:rPr>
          <w:sz w:val="42"/>
        </w:rPr>
        <w:t>督促承包单位认真贯彻执行安全方针（安全第一、预防为主</w:t>
      </w:r>
      <w:r>
        <w:rPr>
          <w:spacing w:val="-166"/>
          <w:sz w:val="42"/>
        </w:rPr>
        <w:t>）</w:t>
      </w:r>
      <w:r>
        <w:rPr>
          <w:sz w:val="42"/>
        </w:rPr>
        <w:t>、原</w:t>
      </w:r>
      <w:r>
        <w:rPr>
          <w:w w:val="100"/>
          <w:sz w:val="42"/>
        </w:rPr>
        <w:t>则（管生产必须抓安全，实行安全一票否决制</w:t>
      </w:r>
      <w:r>
        <w:rPr>
          <w:spacing w:val="-318"/>
          <w:w w:val="100"/>
          <w:sz w:val="42"/>
        </w:rPr>
        <w:t>）</w:t>
      </w:r>
      <w:r>
        <w:rPr>
          <w:spacing w:val="-2"/>
          <w:w w:val="100"/>
          <w:sz w:val="42"/>
        </w:rPr>
        <w:t>，努力确保安全生产目标。</w:t>
      </w:r>
    </w:p>
    <w:p>
      <w:pPr>
        <w:pStyle w:val="ListParagraph"/>
        <w:numPr>
          <w:ilvl w:val="0"/>
          <w:numId w:val="9"/>
        </w:numPr>
        <w:tabs>
          <w:tab w:val="left" w:pos="1386"/>
        </w:tabs>
        <w:spacing w:before="0" w:after="0" w:line="374" w:lineRule="auto"/>
        <w:ind w:left="120" w:right="1427" w:firstLine="212"/>
        <w:jc w:val="left"/>
        <w:rPr>
          <w:sz w:val="42"/>
        </w:rPr>
      </w:pPr>
      <w:r>
        <w:rPr>
          <w:sz w:val="42"/>
        </w:rPr>
        <w:t>督促认真执行《中华人民共和国安全生产法</w:t>
      </w:r>
      <w:r>
        <w:rPr>
          <w:spacing w:val="-56"/>
          <w:sz w:val="42"/>
        </w:rPr>
        <w:t>》、《建设工程安全生产</w:t>
      </w:r>
      <w:r>
        <w:rPr>
          <w:spacing w:val="-23"/>
          <w:sz w:val="42"/>
        </w:rPr>
        <w:t>管理条例》、《建设项目环境保护管理条理》等等相关法规标准。</w:t>
      </w:r>
    </w:p>
    <w:p>
      <w:pPr>
        <w:pStyle w:val="ListParagraph"/>
        <w:numPr>
          <w:ilvl w:val="0"/>
          <w:numId w:val="9"/>
        </w:numPr>
        <w:tabs>
          <w:tab w:val="left" w:pos="1389"/>
        </w:tabs>
        <w:spacing w:before="0" w:after="0" w:line="374" w:lineRule="auto"/>
        <w:ind w:left="120" w:right="1432" w:firstLine="212"/>
        <w:jc w:val="both"/>
        <w:rPr>
          <w:sz w:val="42"/>
        </w:rPr>
      </w:pPr>
      <w:r>
        <w:rPr>
          <w:spacing w:val="-4"/>
          <w:sz w:val="42"/>
        </w:rPr>
        <w:t>检查现场是否按模板工程设计方案和安全技术措施实施施工，检</w:t>
      </w:r>
      <w:r>
        <w:rPr>
          <w:spacing w:val="-12"/>
          <w:sz w:val="42"/>
        </w:rPr>
        <w:t>查模板及其支架是否有足够的承载力，刚度和稳定性，模板未固定前不得</w:t>
      </w:r>
      <w:r>
        <w:rPr>
          <w:spacing w:val="-5"/>
          <w:sz w:val="42"/>
        </w:rPr>
        <w:t>进入下道工序施工。</w:t>
      </w:r>
    </w:p>
    <w:p>
      <w:pPr>
        <w:pStyle w:val="ListParagraph"/>
        <w:numPr>
          <w:ilvl w:val="0"/>
          <w:numId w:val="9"/>
        </w:numPr>
        <w:tabs>
          <w:tab w:val="left" w:pos="1389"/>
        </w:tabs>
        <w:spacing w:before="0" w:after="0" w:line="374" w:lineRule="auto"/>
        <w:ind w:left="120" w:right="1207" w:firstLine="212"/>
        <w:jc w:val="left"/>
        <w:rPr>
          <w:sz w:val="42"/>
        </w:rPr>
      </w:pPr>
      <w:r>
        <w:rPr>
          <w:spacing w:val="-5"/>
          <w:sz w:val="42"/>
        </w:rPr>
        <w:t>检查现场是否按脚手架工程施工方案施工，监理人员应按照各类脚</w:t>
      </w:r>
      <w:r>
        <w:rPr>
          <w:spacing w:val="-21"/>
          <w:sz w:val="42"/>
        </w:rPr>
        <w:t xml:space="preserve">手架安全技术规范、规程进行检查，不符合要求的及时通知施工单位整改， </w:t>
      </w:r>
      <w:r>
        <w:rPr>
          <w:sz w:val="42"/>
        </w:rPr>
        <w:t>保证作业安全。</w:t>
      </w:r>
    </w:p>
    <w:p>
      <w:pPr>
        <w:pStyle w:val="ListParagraph"/>
        <w:numPr>
          <w:ilvl w:val="0"/>
          <w:numId w:val="9"/>
        </w:numPr>
        <w:tabs>
          <w:tab w:val="left" w:pos="1389"/>
        </w:tabs>
        <w:spacing w:before="0" w:after="0" w:line="374" w:lineRule="auto"/>
        <w:ind w:left="120" w:right="1276" w:firstLine="212"/>
        <w:jc w:val="left"/>
        <w:rPr>
          <w:sz w:val="42"/>
        </w:rPr>
      </w:pPr>
      <w:r>
        <w:rPr>
          <w:spacing w:val="-1"/>
          <w:sz w:val="42"/>
        </w:rPr>
        <w:t>巡视检查预留洞口、楼梯口、电梯井口、通道口的安全防护设施与</w:t>
      </w:r>
      <w:r>
        <w:rPr>
          <w:sz w:val="42"/>
        </w:rPr>
        <w:t>安全标志，如存在安全隐患应及时通知施工单位整改。</w:t>
      </w:r>
    </w:p>
    <w:p>
      <w:pPr>
        <w:pStyle w:val="ListParagraph"/>
        <w:numPr>
          <w:ilvl w:val="0"/>
          <w:numId w:val="9"/>
        </w:numPr>
        <w:tabs>
          <w:tab w:val="left" w:pos="1389"/>
        </w:tabs>
        <w:spacing w:before="0" w:after="0" w:line="374" w:lineRule="auto"/>
        <w:ind w:left="120" w:right="1278" w:firstLine="212"/>
        <w:jc w:val="left"/>
        <w:rPr>
          <w:sz w:val="42"/>
        </w:rPr>
      </w:pPr>
      <w:r>
        <w:rPr>
          <w:spacing w:val="-4"/>
          <w:sz w:val="42"/>
        </w:rPr>
        <w:t>检查施工现场安全警示标志和高处作业中的安全标志，对高处作业</w:t>
      </w:r>
      <w:r>
        <w:rPr>
          <w:spacing w:val="-5"/>
          <w:sz w:val="42"/>
        </w:rPr>
        <w:t>的安全技术设施，发现有缺陷和隐患时，必须及时解决或停止作业，特种</w:t>
      </w:r>
      <w:r>
        <w:rPr>
          <w:sz w:val="42"/>
        </w:rPr>
        <w:t>作业人员必须持证上岗。</w:t>
      </w:r>
    </w:p>
    <w:p>
      <w:pPr>
        <w:pStyle w:val="ListParagraph"/>
        <w:numPr>
          <w:ilvl w:val="0"/>
          <w:numId w:val="9"/>
        </w:numPr>
        <w:tabs>
          <w:tab w:val="left" w:pos="1389"/>
        </w:tabs>
        <w:spacing w:before="0" w:after="0" w:line="376" w:lineRule="auto"/>
        <w:ind w:left="120" w:right="1431" w:firstLine="212"/>
        <w:jc w:val="left"/>
        <w:rPr>
          <w:sz w:val="42"/>
        </w:rPr>
      </w:pPr>
      <w:r>
        <w:rPr>
          <w:spacing w:val="-4"/>
          <w:sz w:val="42"/>
        </w:rPr>
        <w:t>检查施工现场的消防安全措施和消防安全管理制度，督促施工单位做好防火工作。</w:t>
      </w:r>
    </w:p>
    <w:p>
      <w:pPr>
        <w:pStyle w:val="ListParagraph"/>
        <w:numPr>
          <w:ilvl w:val="0"/>
          <w:numId w:val="9"/>
        </w:numPr>
        <w:tabs>
          <w:tab w:val="left" w:pos="1389"/>
        </w:tabs>
        <w:spacing w:before="0" w:after="0" w:line="374" w:lineRule="auto"/>
        <w:ind w:left="120" w:right="1276" w:firstLine="212"/>
        <w:jc w:val="left"/>
        <w:rPr>
          <w:sz w:val="42"/>
        </w:rPr>
      </w:pPr>
      <w:r>
        <w:rPr>
          <w:sz w:val="42"/>
        </w:rPr>
        <w:t>督促承包单位建立安全生产保证体系：项目经理部（</w:t>
      </w:r>
      <w:r>
        <w:rPr>
          <w:spacing w:val="-4"/>
          <w:sz w:val="42"/>
        </w:rPr>
        <w:t>安全员、施工</w:t>
      </w:r>
      <w:r>
        <w:rPr>
          <w:sz w:val="42"/>
        </w:rPr>
        <w:t>工长、材料员）→</w:t>
      </w:r>
      <w:r>
        <w:rPr>
          <w:spacing w:val="-3"/>
          <w:sz w:val="42"/>
        </w:rPr>
        <w:t xml:space="preserve"> 班组长→工人</w:t>
      </w:r>
    </w:p>
    <w:p>
      <w:pPr>
        <w:pStyle w:val="ListParagraph"/>
        <w:numPr>
          <w:ilvl w:val="0"/>
          <w:numId w:val="9"/>
        </w:numPr>
        <w:tabs>
          <w:tab w:val="left" w:pos="1389"/>
        </w:tabs>
        <w:spacing w:before="0" w:after="0" w:line="240" w:lineRule="auto"/>
        <w:ind w:left="1388" w:right="0" w:hanging="1056"/>
        <w:jc w:val="left"/>
        <w:rPr>
          <w:sz w:val="42"/>
        </w:rPr>
      </w:pPr>
      <w:r>
        <w:rPr>
          <w:spacing w:val="-2"/>
          <w:sz w:val="42"/>
        </w:rPr>
        <w:t>督促建立各级安全生产责任制,做到各司其职，各负其责。</w:t>
      </w:r>
    </w:p>
    <w:p>
      <w:pPr>
        <w:pStyle w:val="ListParagraph"/>
        <w:numPr>
          <w:ilvl w:val="0"/>
          <w:numId w:val="9"/>
        </w:numPr>
        <w:tabs>
          <w:tab w:val="left" w:pos="1602"/>
        </w:tabs>
        <w:spacing w:before="294" w:after="0" w:line="374" w:lineRule="auto"/>
        <w:ind w:left="120" w:right="1483" w:firstLine="212"/>
        <w:jc w:val="left"/>
        <w:rPr>
          <w:sz w:val="42"/>
        </w:rPr>
      </w:pPr>
      <w:r>
        <w:rPr>
          <w:sz w:val="42"/>
        </w:rPr>
        <w:t>督促做好工人三级教育、安全技术交底、持证上岗（</w:t>
      </w:r>
      <w:r>
        <w:rPr>
          <w:spacing w:val="-3"/>
          <w:sz w:val="42"/>
        </w:rPr>
        <w:t>特种作业人</w:t>
      </w:r>
      <w:r>
        <w:rPr>
          <w:sz w:val="42"/>
        </w:rPr>
        <w:t>员）等工作，并建立班前安全活动制度。</w:t>
      </w:r>
    </w:p>
    <w:p>
      <w:pPr>
        <w:pStyle w:val="ListParagraph"/>
        <w:numPr>
          <w:ilvl w:val="0"/>
          <w:numId w:val="9"/>
        </w:numPr>
        <w:tabs>
          <w:tab w:val="left" w:pos="1598"/>
        </w:tabs>
        <w:spacing w:before="2" w:after="0" w:line="240" w:lineRule="auto"/>
        <w:ind w:left="1597" w:right="0" w:hanging="1265"/>
        <w:jc w:val="left"/>
        <w:rPr>
          <w:sz w:val="42"/>
        </w:rPr>
      </w:pPr>
      <w:r>
        <w:rPr>
          <w:sz w:val="42"/>
        </w:rPr>
        <w:t>督促建立周检、旬检、月检、不定期检查及安全验收制度。</w:t>
      </w:r>
    </w:p>
    <w:p>
      <w:pPr>
        <w:spacing w:after="0" w:line="240" w:lineRule="auto"/>
        <w:jc w:val="left"/>
        <w:rPr>
          <w:sz w:val="42"/>
        </w:rPr>
        <w:sectPr>
          <w:pgSz w:w="17860" w:h="25260"/>
          <w:pgMar w:top="1960" w:right="940" w:bottom="280" w:left="2040" w:header="708" w:footer="708"/>
          <w:pgNumType w:start="8"/>
          <w:cols w:space="708"/>
        </w:sectPr>
      </w:pPr>
    </w:p>
    <w:p>
      <w:pPr>
        <w:pStyle w:val="ListParagraph"/>
        <w:numPr>
          <w:ilvl w:val="0"/>
          <w:numId w:val="9"/>
        </w:numPr>
        <w:tabs>
          <w:tab w:val="left" w:pos="1598"/>
        </w:tabs>
        <w:spacing w:before="14" w:after="0" w:line="240" w:lineRule="auto"/>
        <w:ind w:left="1597" w:right="0" w:hanging="1265"/>
        <w:jc w:val="left"/>
        <w:rPr>
          <w:sz w:val="42"/>
        </w:rPr>
      </w:pPr>
      <w:r>
        <w:rPr>
          <w:sz w:val="42"/>
        </w:rPr>
        <w:t>督促建立建全各种安全管理内业资料档案。</w:t>
      </w:r>
    </w:p>
    <w:p>
      <w:pPr>
        <w:pStyle w:val="ListParagraph"/>
        <w:numPr>
          <w:ilvl w:val="0"/>
          <w:numId w:val="9"/>
        </w:numPr>
        <w:tabs>
          <w:tab w:val="left" w:pos="1602"/>
        </w:tabs>
        <w:spacing w:before="301" w:after="0" w:line="374" w:lineRule="auto"/>
        <w:ind w:left="120" w:right="1278" w:firstLine="212"/>
        <w:jc w:val="left"/>
        <w:rPr>
          <w:sz w:val="42"/>
        </w:rPr>
      </w:pPr>
      <w:r>
        <w:rPr>
          <w:sz w:val="42"/>
        </w:rPr>
        <w:t>督促现场成立安全生产领导小组、义务消防队，并执行值日值班</w:t>
      </w:r>
      <w:r>
        <w:rPr>
          <w:spacing w:val="-1"/>
          <w:sz w:val="42"/>
        </w:rPr>
        <w:t>制度，设专职和兼职安全员负责安全生产、文明施工，作到人人都有权、</w:t>
      </w:r>
      <w:r>
        <w:rPr>
          <w:sz w:val="42"/>
        </w:rPr>
        <w:t>有义务管安全。</w:t>
      </w:r>
    </w:p>
    <w:p>
      <w:pPr>
        <w:pStyle w:val="ListParagraph"/>
        <w:numPr>
          <w:ilvl w:val="0"/>
          <w:numId w:val="9"/>
        </w:numPr>
        <w:tabs>
          <w:tab w:val="left" w:pos="1598"/>
        </w:tabs>
        <w:spacing w:before="1" w:after="0" w:line="240" w:lineRule="auto"/>
        <w:ind w:left="1597" w:right="0" w:hanging="1265"/>
        <w:jc w:val="left"/>
        <w:rPr>
          <w:sz w:val="42"/>
        </w:rPr>
      </w:pPr>
      <w:r>
        <w:rPr>
          <w:sz w:val="42"/>
        </w:rPr>
        <w:t>督促配置安全防护用品、安全围护设施及其保护制度、移交制度。</w:t>
      </w:r>
    </w:p>
    <w:p>
      <w:pPr>
        <w:pStyle w:val="ListParagraph"/>
        <w:numPr>
          <w:ilvl w:val="0"/>
          <w:numId w:val="9"/>
        </w:numPr>
        <w:tabs>
          <w:tab w:val="left" w:pos="1598"/>
        </w:tabs>
        <w:spacing w:before="305" w:after="0" w:line="240" w:lineRule="auto"/>
        <w:ind w:left="1597" w:right="0" w:hanging="1265"/>
        <w:jc w:val="left"/>
        <w:rPr>
          <w:sz w:val="42"/>
        </w:rPr>
      </w:pPr>
      <w:r>
        <w:rPr>
          <w:sz w:val="42"/>
        </w:rPr>
        <w:t>督促建立安全技术措施费专款专用制度。</w:t>
      </w:r>
    </w:p>
    <w:p>
      <w:pPr>
        <w:pStyle w:val="ListParagraph"/>
        <w:numPr>
          <w:ilvl w:val="0"/>
          <w:numId w:val="9"/>
        </w:numPr>
        <w:tabs>
          <w:tab w:val="left" w:pos="1598"/>
        </w:tabs>
        <w:spacing w:before="300" w:after="0" w:line="240" w:lineRule="auto"/>
        <w:ind w:left="1597" w:right="0" w:hanging="1265"/>
        <w:jc w:val="left"/>
        <w:rPr>
          <w:sz w:val="42"/>
        </w:rPr>
      </w:pPr>
      <w:r>
        <w:rPr>
          <w:sz w:val="42"/>
        </w:rPr>
        <w:t>督促制订严格的奖罚制度，并监督其严格执行，作到奖罚分明。</w:t>
      </w:r>
    </w:p>
    <w:p>
      <w:pPr>
        <w:pStyle w:val="ListParagraph"/>
        <w:numPr>
          <w:ilvl w:val="0"/>
          <w:numId w:val="9"/>
        </w:numPr>
        <w:tabs>
          <w:tab w:val="left" w:pos="1602"/>
        </w:tabs>
        <w:spacing w:before="302" w:after="0" w:line="376" w:lineRule="auto"/>
        <w:ind w:left="120" w:right="1218" w:firstLine="212"/>
        <w:jc w:val="left"/>
        <w:rPr>
          <w:sz w:val="42"/>
        </w:rPr>
      </w:pPr>
      <w:r>
        <w:rPr>
          <w:sz w:val="42"/>
        </w:rPr>
        <w:t>在实施监理过程中，发现存在安全事故隐患的，应通知施工单位</w:t>
      </w:r>
      <w:r>
        <w:rPr>
          <w:spacing w:val="-22"/>
          <w:sz w:val="42"/>
        </w:rPr>
        <w:t>整改；情况严重的应当要求施工单位暂时停止施工，并及时报告建设单位。</w:t>
      </w:r>
    </w:p>
    <w:p>
      <w:pPr>
        <w:pStyle w:val="ListParagraph"/>
        <w:numPr>
          <w:ilvl w:val="0"/>
          <w:numId w:val="9"/>
        </w:numPr>
        <w:tabs>
          <w:tab w:val="left" w:pos="1602"/>
        </w:tabs>
        <w:spacing w:before="0" w:after="0" w:line="374" w:lineRule="auto"/>
        <w:ind w:left="120" w:right="1483" w:firstLine="212"/>
        <w:jc w:val="left"/>
        <w:rPr>
          <w:sz w:val="42"/>
        </w:rPr>
      </w:pPr>
      <w:r>
        <w:rPr>
          <w:spacing w:val="-1"/>
          <w:sz w:val="42"/>
        </w:rPr>
        <w:t>施工单位拒不整改或者不停止施工的，监理单位应当及时向有关</w:t>
      </w:r>
      <w:r>
        <w:rPr>
          <w:sz w:val="42"/>
        </w:rPr>
        <w:t>主管部门报告。</w:t>
      </w:r>
    </w:p>
    <w:p>
      <w:pPr>
        <w:pStyle w:val="BodyText"/>
        <w:ind w:left="117"/>
      </w:pPr>
      <w:r>
        <w:t>（六</w:t>
      </w:r>
      <w:r>
        <w:rPr>
          <w:spacing w:val="-213"/>
        </w:rPr>
        <w:t>）</w:t>
      </w:r>
      <w:r>
        <w:t>、建筑节能控制工作</w:t>
      </w:r>
    </w:p>
    <w:p>
      <w:pPr>
        <w:pStyle w:val="BodyText"/>
        <w:spacing w:before="294"/>
        <w:ind w:left="750"/>
      </w:pPr>
      <w:r>
        <w:rPr>
          <w:rFonts w:ascii="Arial" w:eastAsia="Arial"/>
        </w:rPr>
        <w:t>1</w:t>
      </w:r>
      <w:r>
        <w:t>、主要依据：</w:t>
      </w:r>
    </w:p>
    <w:p>
      <w:pPr>
        <w:pStyle w:val="ListParagraph"/>
        <w:numPr>
          <w:ilvl w:val="0"/>
          <w:numId w:val="8"/>
        </w:numPr>
        <w:tabs>
          <w:tab w:val="left" w:pos="1386"/>
        </w:tabs>
        <w:spacing w:before="301" w:after="0" w:line="240" w:lineRule="auto"/>
        <w:ind w:left="1385" w:right="0" w:hanging="1053"/>
        <w:jc w:val="left"/>
        <w:rPr>
          <w:sz w:val="42"/>
        </w:rPr>
      </w:pPr>
      <w:r>
        <w:rPr>
          <w:sz w:val="42"/>
        </w:rPr>
        <w:t>《建设工程质量管理条例》</w:t>
      </w:r>
    </w:p>
    <w:p>
      <w:pPr>
        <w:pStyle w:val="ListParagraph"/>
        <w:numPr>
          <w:ilvl w:val="0"/>
          <w:numId w:val="8"/>
        </w:numPr>
        <w:tabs>
          <w:tab w:val="left" w:pos="1386"/>
        </w:tabs>
        <w:spacing w:before="305" w:after="0" w:line="240" w:lineRule="auto"/>
        <w:ind w:left="1385" w:right="0" w:hanging="1053"/>
        <w:jc w:val="left"/>
        <w:rPr>
          <w:sz w:val="42"/>
        </w:rPr>
      </w:pPr>
      <w:r>
        <w:rPr>
          <w:spacing w:val="-20"/>
          <w:sz w:val="42"/>
        </w:rPr>
        <w:t>《民用建筑节能管理规定》</w:t>
      </w:r>
      <w:r>
        <w:rPr>
          <w:sz w:val="42"/>
        </w:rPr>
        <w:t>（</w:t>
      </w:r>
      <w:r>
        <w:rPr>
          <w:spacing w:val="-18"/>
          <w:sz w:val="42"/>
        </w:rPr>
        <w:t xml:space="preserve">建设部令第 </w:t>
      </w:r>
      <w:r>
        <w:rPr>
          <w:sz w:val="42"/>
        </w:rPr>
        <w:t>143</w:t>
      </w:r>
      <w:r>
        <w:rPr>
          <w:spacing w:val="-54"/>
          <w:sz w:val="42"/>
        </w:rPr>
        <w:t xml:space="preserve"> 号</w:t>
      </w:r>
      <w:r>
        <w:rPr>
          <w:sz w:val="42"/>
        </w:rPr>
        <w:t>）</w:t>
      </w:r>
    </w:p>
    <w:p>
      <w:pPr>
        <w:pStyle w:val="ListParagraph"/>
        <w:numPr>
          <w:ilvl w:val="0"/>
          <w:numId w:val="8"/>
        </w:numPr>
        <w:tabs>
          <w:tab w:val="left" w:pos="1386"/>
        </w:tabs>
        <w:spacing w:before="300" w:after="0" w:line="240" w:lineRule="auto"/>
        <w:ind w:left="1385" w:right="0" w:hanging="1053"/>
        <w:jc w:val="left"/>
        <w:rPr>
          <w:sz w:val="42"/>
        </w:rPr>
      </w:pPr>
      <w:r>
        <w:rPr>
          <w:sz w:val="42"/>
        </w:rPr>
        <w:t>《民用建筑节能工程质量监督工作导则</w:t>
      </w:r>
      <w:r>
        <w:rPr>
          <w:spacing w:val="-236"/>
          <w:sz w:val="42"/>
        </w:rPr>
        <w:t>》</w:t>
      </w:r>
      <w:r>
        <w:rPr>
          <w:sz w:val="42"/>
        </w:rPr>
        <w:t>（</w:t>
      </w:r>
      <w:r>
        <w:rPr>
          <w:spacing w:val="-2"/>
          <w:sz w:val="42"/>
        </w:rPr>
        <w:t>建质〔</w:t>
      </w:r>
      <w:r>
        <w:rPr>
          <w:sz w:val="42"/>
        </w:rPr>
        <w:t>2008〕19</w:t>
      </w:r>
      <w:r>
        <w:rPr>
          <w:spacing w:val="-53"/>
          <w:sz w:val="42"/>
        </w:rPr>
        <w:t xml:space="preserve"> 号</w:t>
      </w:r>
      <w:r>
        <w:rPr>
          <w:sz w:val="42"/>
        </w:rPr>
        <w:t>）</w:t>
      </w:r>
    </w:p>
    <w:p>
      <w:pPr>
        <w:pStyle w:val="ListParagraph"/>
        <w:numPr>
          <w:ilvl w:val="0"/>
          <w:numId w:val="8"/>
        </w:numPr>
        <w:tabs>
          <w:tab w:val="left" w:pos="1386"/>
        </w:tabs>
        <w:spacing w:before="301" w:after="0" w:line="240" w:lineRule="auto"/>
        <w:ind w:left="1385" w:right="0" w:hanging="1053"/>
        <w:jc w:val="left"/>
        <w:rPr>
          <w:sz w:val="42"/>
        </w:rPr>
      </w:pPr>
      <w:r>
        <w:rPr>
          <w:sz w:val="42"/>
        </w:rPr>
        <w:t>《民用建筑工程节能质量监督管理办法</w:t>
      </w:r>
      <w:r>
        <w:rPr>
          <w:spacing w:val="-236"/>
          <w:sz w:val="42"/>
        </w:rPr>
        <w:t>》</w:t>
      </w:r>
      <w:r>
        <w:rPr>
          <w:sz w:val="42"/>
        </w:rPr>
        <w:t>（</w:t>
      </w:r>
      <w:r>
        <w:rPr>
          <w:spacing w:val="-2"/>
          <w:sz w:val="42"/>
        </w:rPr>
        <w:t>建质〔</w:t>
      </w:r>
      <w:r>
        <w:rPr>
          <w:sz w:val="42"/>
        </w:rPr>
        <w:t>2006〕192</w:t>
      </w:r>
      <w:r>
        <w:rPr>
          <w:spacing w:val="-53"/>
          <w:sz w:val="42"/>
        </w:rPr>
        <w:t xml:space="preserve"> 号</w:t>
      </w:r>
      <w:r>
        <w:rPr>
          <w:sz w:val="42"/>
        </w:rPr>
        <w:t>）</w:t>
      </w:r>
    </w:p>
    <w:p>
      <w:pPr>
        <w:pStyle w:val="ListParagraph"/>
        <w:numPr>
          <w:ilvl w:val="0"/>
          <w:numId w:val="8"/>
        </w:numPr>
        <w:tabs>
          <w:tab w:val="left" w:pos="1386"/>
        </w:tabs>
        <w:spacing w:before="304" w:after="0" w:line="240" w:lineRule="auto"/>
        <w:ind w:left="1385" w:right="0" w:hanging="1053"/>
        <w:jc w:val="left"/>
        <w:rPr>
          <w:sz w:val="42"/>
        </w:rPr>
      </w:pPr>
      <w:r>
        <w:rPr>
          <w:sz w:val="42"/>
        </w:rPr>
        <w:t>《建筑节能工程施工质量验收规范</w:t>
      </w:r>
      <w:r>
        <w:rPr>
          <w:spacing w:val="-232"/>
          <w:sz w:val="42"/>
        </w:rPr>
        <w:t>》</w:t>
      </w:r>
      <w:r>
        <w:rPr>
          <w:sz w:val="42"/>
        </w:rPr>
        <w:t>（GB—50411—2007）</w:t>
      </w:r>
    </w:p>
    <w:p>
      <w:pPr>
        <w:pStyle w:val="BodyText"/>
        <w:spacing w:before="301"/>
        <w:ind w:left="747"/>
      </w:pPr>
      <w:r>
        <w:rPr>
          <w:rFonts w:ascii="Arial" w:eastAsia="Arial"/>
        </w:rPr>
        <w:t>2</w:t>
      </w:r>
      <w:r>
        <w:t>、墙体节能工程</w:t>
      </w:r>
    </w:p>
    <w:p>
      <w:pPr>
        <w:pStyle w:val="BodyText"/>
        <w:spacing w:before="302" w:line="376" w:lineRule="auto"/>
        <w:ind w:left="120" w:right="1490" w:firstLine="630"/>
      </w:pPr>
      <w:r>
        <w:t>①检查保温隔热材料其导热系数、密度、抗压强度或压缩强度、燃烧性能是否符合设计要求；</w:t>
      </w:r>
    </w:p>
    <w:p>
      <w:pPr>
        <w:pStyle w:val="BodyText"/>
        <w:spacing w:line="530" w:lineRule="exact"/>
        <w:ind w:left="750"/>
      </w:pPr>
      <w:r>
        <w:t>②检查保温层厚度、施工是否符合设计与有关规范的规定；</w:t>
      </w:r>
    </w:p>
    <w:p>
      <w:pPr>
        <w:pStyle w:val="BodyText"/>
        <w:spacing w:before="300"/>
        <w:ind w:left="750"/>
      </w:pPr>
      <w:r>
        <w:t>③检查门窗洞口等易产生热桥部位的保温措施；</w:t>
      </w:r>
    </w:p>
    <w:p>
      <w:pPr>
        <w:pStyle w:val="BodyText"/>
        <w:spacing w:before="305"/>
        <w:ind w:left="750"/>
      </w:pPr>
      <w:r>
        <w:t>④检查不同材料基体交接处、门窗洞口转角处的保温层防止开裂和破</w:t>
      </w:r>
    </w:p>
    <w:p>
      <w:pPr>
        <w:spacing w:after="0"/>
        <w:sectPr>
          <w:pgSz w:w="17860" w:h="25260"/>
          <w:pgMar w:top="2020" w:right="940" w:bottom="280" w:left="2040" w:header="708" w:footer="708"/>
          <w:pgNumType w:start="9"/>
          <w:cols w:space="708"/>
        </w:sectPr>
      </w:pPr>
    </w:p>
    <w:p>
      <w:pPr>
        <w:pStyle w:val="BodyText"/>
        <w:spacing w:before="14"/>
        <w:ind w:left="120"/>
      </w:pPr>
      <w:r>
        <w:t>损的加强措施；</w:t>
      </w:r>
    </w:p>
    <w:p>
      <w:pPr>
        <w:pStyle w:val="BodyText"/>
        <w:spacing w:before="301" w:line="376" w:lineRule="auto"/>
        <w:ind w:left="120" w:right="1490" w:firstLine="630"/>
      </w:pPr>
      <w:r>
        <w:t>⑤检查保温板材与基层及各构造层之间的粘结或连接是否牢固，保温板材与基层的粘结强度应做现场拉拔试验；</w:t>
      </w:r>
    </w:p>
    <w:p>
      <w:pPr>
        <w:pStyle w:val="BodyText"/>
        <w:spacing w:line="374" w:lineRule="auto"/>
        <w:ind w:left="120" w:right="1229" w:firstLine="630"/>
      </w:pPr>
      <w:r>
        <w:rPr>
          <w:spacing w:val="-9"/>
        </w:rPr>
        <w:t>⑥与保温层采用预埋或后置锚固件固定时，应检查锚固件数量、位置、锚固深度和拉拔力是否符合设计要求。后置锚固件应进行锚固件现场拉拔试验；</w:t>
      </w:r>
    </w:p>
    <w:p>
      <w:pPr>
        <w:pStyle w:val="BodyText"/>
        <w:spacing w:line="374" w:lineRule="auto"/>
        <w:ind w:left="120" w:right="1226" w:firstLine="630"/>
      </w:pPr>
      <w:r>
        <w:rPr>
          <w:spacing w:val="-7"/>
        </w:rPr>
        <w:t>⑦检查保温砌块砌筑的墙体是否采用具有保温功能的砂浆</w:t>
      </w:r>
      <w:r>
        <w:t>（专用砂浆</w:t>
      </w:r>
      <w:r>
        <w:rPr>
          <w:spacing w:val="-17"/>
        </w:rPr>
        <w:t xml:space="preserve">） </w:t>
      </w:r>
      <w:r>
        <w:t>砌筑，其砂浆强度等级是否符合设计要求。</w:t>
      </w:r>
    </w:p>
    <w:p>
      <w:pPr>
        <w:pStyle w:val="BodyText"/>
        <w:ind w:left="747"/>
      </w:pPr>
      <w:r>
        <w:rPr>
          <w:rFonts w:ascii="Arial" w:eastAsia="Arial"/>
        </w:rPr>
        <w:t>3</w:t>
      </w:r>
      <w:r>
        <w:t>、门窗节能工程</w:t>
      </w:r>
    </w:p>
    <w:p>
      <w:pPr>
        <w:pStyle w:val="BodyText"/>
        <w:spacing w:before="297" w:line="374" w:lineRule="auto"/>
        <w:ind w:left="120" w:right="1490" w:firstLine="630"/>
      </w:pPr>
      <w:r>
        <w:t>①检查建筑外窗的气密性，保温性能、中空玻璃露点、玻璃遮阳系数和可见光透射比是否符合设计要求；</w:t>
      </w:r>
    </w:p>
    <w:p>
      <w:pPr>
        <w:pStyle w:val="BodyText"/>
        <w:spacing w:before="2"/>
        <w:ind w:left="750"/>
      </w:pPr>
      <w:r>
        <w:t>②金属外门窗及金属副框隔断热桥措施是否符合设计要求；</w:t>
      </w:r>
    </w:p>
    <w:p>
      <w:pPr>
        <w:pStyle w:val="BodyText"/>
        <w:spacing w:before="300" w:line="374" w:lineRule="auto"/>
        <w:ind w:left="120" w:right="1490" w:firstLine="630"/>
      </w:pPr>
      <w:r>
        <w:t>③在夏热冬冷地区的建筑外窗，应对其气密性做现场实体检验，检查检验结果是否满足设计要求；</w:t>
      </w:r>
    </w:p>
    <w:p>
      <w:pPr>
        <w:pStyle w:val="BodyText"/>
        <w:spacing w:before="3" w:line="374" w:lineRule="auto"/>
        <w:ind w:left="120" w:right="1487" w:firstLine="633"/>
      </w:pPr>
      <w:r>
        <w:t>④检查外窗遮阳设施的性能、尺寸是否符合设计和产品标准要求，其安装位置是否正确、牢固、满足安全和使用功能的要求；</w:t>
      </w:r>
    </w:p>
    <w:p>
      <w:pPr>
        <w:pStyle w:val="BodyText"/>
        <w:spacing w:line="376" w:lineRule="auto"/>
        <w:ind w:left="120" w:right="1490" w:firstLine="630"/>
      </w:pPr>
      <w:r>
        <w:t>⑤检查门窗扇密封条和玻璃镶嵌的密封条是否牢固，关闭门窗时密封条是否接触严密；</w:t>
      </w:r>
    </w:p>
    <w:p>
      <w:pPr>
        <w:pStyle w:val="BodyText"/>
        <w:spacing w:line="374" w:lineRule="auto"/>
        <w:ind w:left="120" w:right="1487" w:firstLine="633"/>
      </w:pPr>
      <w:r>
        <w:t>⑥检查天窗安装位置、坡度是否正确，封闭是否严密，嵌缝处不得有渗漏现象。</w:t>
      </w:r>
    </w:p>
    <w:p>
      <w:pPr>
        <w:pStyle w:val="BodyText"/>
        <w:ind w:left="747"/>
      </w:pPr>
      <w:r>
        <w:t>4、屋面节能工程</w:t>
      </w:r>
    </w:p>
    <w:p>
      <w:pPr>
        <w:pStyle w:val="BodyText"/>
        <w:spacing w:before="294" w:line="374" w:lineRule="auto"/>
        <w:ind w:left="120" w:right="1490" w:firstLine="630"/>
      </w:pPr>
      <w:r>
        <w:t>①检查屋面使用保温隔热材料，其导热系数、密度、抗压强度或压缩强度、燃烧性能是否符合设计要求；</w:t>
      </w:r>
    </w:p>
    <w:p>
      <w:pPr>
        <w:pStyle w:val="BodyText"/>
        <w:spacing w:before="3"/>
        <w:ind w:left="750"/>
      </w:pPr>
      <w:r>
        <w:t>②检查屋面保温隔热的敷设、厚度、缝隙填充质量及屋面热桥部位的</w:t>
      </w:r>
    </w:p>
    <w:p>
      <w:pPr>
        <w:spacing w:after="0"/>
        <w:sectPr>
          <w:pgSz w:w="17860" w:h="25260"/>
          <w:pgMar w:top="2020" w:right="940" w:bottom="280" w:left="2040" w:header="708" w:footer="708"/>
          <w:pgNumType w:start="10"/>
          <w:cols w:space="708"/>
        </w:sectPr>
      </w:pPr>
    </w:p>
    <w:p>
      <w:pPr>
        <w:pStyle w:val="BodyText"/>
        <w:spacing w:before="14"/>
        <w:ind w:left="120"/>
      </w:pPr>
      <w:r>
        <w:t>保温隔热做法是否符合设计要求和有关标准的规定；</w:t>
      </w:r>
    </w:p>
    <w:p>
      <w:pPr>
        <w:pStyle w:val="BodyText"/>
        <w:spacing w:before="301"/>
        <w:ind w:left="750"/>
      </w:pPr>
      <w:r>
        <w:t>③检查屋面隔汽层位置是否符合设计要求，隔汽层是否完整严密；</w:t>
      </w:r>
    </w:p>
    <w:p>
      <w:pPr>
        <w:pStyle w:val="BodyText"/>
        <w:spacing w:before="304" w:line="374" w:lineRule="auto"/>
        <w:ind w:left="120" w:right="1490" w:firstLine="630"/>
      </w:pPr>
      <w:r>
        <w:t>④检查采光屋面的传热系数、遮阳系数、可见光透射比、气密性是否符合设计要求。</w:t>
      </w:r>
    </w:p>
    <w:p>
      <w:pPr>
        <w:pStyle w:val="BodyText"/>
        <w:spacing w:line="537" w:lineRule="exact"/>
        <w:ind w:left="749"/>
      </w:pPr>
      <w:r>
        <w:t>5、地面节能工程</w:t>
      </w:r>
    </w:p>
    <w:p>
      <w:pPr>
        <w:pStyle w:val="BodyText"/>
        <w:spacing w:before="304" w:line="374" w:lineRule="auto"/>
        <w:ind w:left="120" w:right="1069" w:firstLine="630"/>
      </w:pPr>
      <w:r>
        <w:t>①检查地面使用保温材料，其导热系数、密度、抗压强度或压缩强度、燃烧性能是否符合设计要求；</w:t>
      </w:r>
    </w:p>
    <w:p>
      <w:pPr>
        <w:pStyle w:val="BodyText"/>
        <w:spacing w:line="538" w:lineRule="exact"/>
        <w:ind w:left="750"/>
      </w:pPr>
      <w:r>
        <w:t>②检查地面基层是否进行处理，是否达到设计和施工方案的要求；</w:t>
      </w:r>
    </w:p>
    <w:p>
      <w:pPr>
        <w:pStyle w:val="BodyText"/>
        <w:spacing w:before="305" w:line="374" w:lineRule="auto"/>
        <w:ind w:left="120" w:right="1490" w:firstLine="630"/>
      </w:pPr>
      <w:r>
        <w:t>③检查地面保温层、隔离层、防潮层、保护层等各层的设置和构造做法以及保温层的厚度是否符合设计要求；</w:t>
      </w:r>
    </w:p>
    <w:p>
      <w:pPr>
        <w:pStyle w:val="BodyText"/>
        <w:spacing w:line="376" w:lineRule="auto"/>
        <w:ind w:left="120" w:right="1490" w:firstLine="630"/>
      </w:pPr>
      <w:r>
        <w:rPr>
          <w:spacing w:val="-1"/>
        </w:rPr>
        <w:t xml:space="preserve">④检查穿越地面直接接触室外空气的各种金属管道是否按设计要求， </w:t>
      </w:r>
      <w:r>
        <w:t>采取隔断热桥的保温措施。</w:t>
      </w:r>
    </w:p>
    <w:p>
      <w:pPr>
        <w:pStyle w:val="BodyText"/>
        <w:spacing w:line="530" w:lineRule="exact"/>
        <w:ind w:left="749"/>
      </w:pPr>
      <w:r>
        <w:t>6、配电与照明节能工程</w:t>
      </w:r>
    </w:p>
    <w:p>
      <w:pPr>
        <w:pStyle w:val="BodyText"/>
        <w:spacing w:before="300" w:line="376" w:lineRule="auto"/>
        <w:ind w:left="120" w:right="1434" w:firstLine="842"/>
      </w:pPr>
      <w:r>
        <w:rPr>
          <w:spacing w:val="-12"/>
        </w:rPr>
        <w:t>⑴检查低压配电系统电缆、电线截面是否低于设计值，对其截面和每</w:t>
      </w:r>
      <w:r>
        <w:t>芯导体电阻值应取样送检；</w:t>
      </w:r>
    </w:p>
    <w:p>
      <w:pPr>
        <w:pStyle w:val="BodyText"/>
        <w:spacing w:line="530" w:lineRule="exact"/>
        <w:ind w:left="959"/>
      </w:pPr>
      <w:r>
        <w:t>⑵检查照明光源、灯具及其附属装置是否符合设计要求；</w:t>
      </w:r>
    </w:p>
    <w:p>
      <w:pPr>
        <w:pStyle w:val="BodyText"/>
        <w:spacing w:before="300" w:line="376" w:lineRule="auto"/>
        <w:ind w:left="120" w:right="1412" w:firstLine="842"/>
      </w:pPr>
      <w:r>
        <w:rPr>
          <w:spacing w:val="-13"/>
        </w:rPr>
        <w:t>⑶检查在通电试运行中，是否测试并记录照明系统的照度和功率密度</w:t>
      </w:r>
      <w:r>
        <w:t>值并应符合《建筑照明设计标准</w:t>
      </w:r>
      <w:r>
        <w:rPr>
          <w:spacing w:val="-228"/>
        </w:rPr>
        <w:t>》</w:t>
      </w:r>
      <w:r>
        <w:t>（GB50034）中的有关规定。</w:t>
      </w:r>
    </w:p>
    <w:p>
      <w:pPr>
        <w:pStyle w:val="BodyText"/>
        <w:spacing w:line="374" w:lineRule="auto"/>
        <w:ind w:left="750" w:right="1490" w:hanging="634"/>
      </w:pPr>
      <w:r>
        <w:t xml:space="preserve">（七）其他方面工作                                            </w:t>
      </w:r>
      <w:r>
        <w:rPr>
          <w:spacing w:val="-1"/>
        </w:rPr>
        <w:t>１、定期主持召开工地例会并形成会议纪要；同时根据需要及时组织</w:t>
      </w:r>
    </w:p>
    <w:p>
      <w:pPr>
        <w:pStyle w:val="BodyText"/>
        <w:spacing w:line="374" w:lineRule="auto"/>
        <w:ind w:left="750" w:right="1490" w:hanging="630"/>
      </w:pPr>
      <w:r>
        <w:t xml:space="preserve">专题会议解决施工过程中的各种专题问题；                        </w:t>
      </w:r>
      <w:r>
        <w:rPr>
          <w:spacing w:val="-1"/>
        </w:rPr>
        <w:t>２、编写工程监理月报，向建设单位报告工程质量、投资、进度的执</w:t>
      </w:r>
    </w:p>
    <w:p>
      <w:pPr>
        <w:pStyle w:val="BodyText"/>
        <w:spacing w:line="537" w:lineRule="exact"/>
        <w:ind w:left="120"/>
      </w:pPr>
      <w:r>
        <w:t>行情况；</w:t>
      </w:r>
    </w:p>
    <w:p>
      <w:pPr>
        <w:pStyle w:val="BodyText"/>
        <w:spacing w:before="299"/>
        <w:ind w:left="750"/>
      </w:pPr>
      <w:r>
        <w:t>３、定期与建设单位或建设单位现场代表联系，研究本工程建设有关</w:t>
      </w:r>
    </w:p>
    <w:p>
      <w:pPr>
        <w:spacing w:after="0"/>
        <w:sectPr>
          <w:pgSz w:w="17860" w:h="25260"/>
          <w:pgMar w:top="2020" w:right="940" w:bottom="280" w:left="2040" w:header="708" w:footer="708"/>
          <w:pgNumType w:start="11"/>
          <w:cols w:space="708"/>
        </w:sectPr>
      </w:pPr>
    </w:p>
    <w:p>
      <w:pPr>
        <w:pStyle w:val="BodyText"/>
        <w:spacing w:before="14"/>
        <w:ind w:left="120"/>
      </w:pPr>
      <w:r>
        <w:t>事宜；</w:t>
      </w:r>
    </w:p>
    <w:p>
      <w:pPr>
        <w:pStyle w:val="BodyText"/>
        <w:spacing w:before="301" w:line="376" w:lineRule="auto"/>
        <w:ind w:left="120" w:right="1577" w:firstLine="745"/>
      </w:pPr>
      <w:r>
        <w:rPr>
          <w:rFonts w:ascii="Arial" w:eastAsia="Arial"/>
        </w:rPr>
        <w:t>4</w:t>
      </w:r>
      <w:r>
        <w:t>、组织阶段验收，根据设计文件，施工合同有关法律、法规对承包单位报送的竣工资料进行审查，并对工程质量进行竣工初验；</w:t>
      </w:r>
    </w:p>
    <w:p>
      <w:pPr>
        <w:pStyle w:val="BodyText"/>
        <w:spacing w:line="374" w:lineRule="auto"/>
        <w:ind w:left="120" w:right="1278" w:firstLine="745"/>
      </w:pPr>
      <w:r>
        <w:rPr>
          <w:rFonts w:ascii="Arial" w:eastAsia="Arial"/>
        </w:rPr>
        <w:t>5</w:t>
      </w:r>
      <w:r>
        <w:t>、在初验基础上编写工程质量评估报告，参加由建设单位组织的竣工验收，并提供相关监理资料，会同参加验收的各方签署竣工验收报告；</w:t>
      </w:r>
    </w:p>
    <w:p>
      <w:pPr>
        <w:pStyle w:val="BodyText"/>
        <w:spacing w:line="374" w:lineRule="auto"/>
        <w:ind w:left="120" w:right="1577" w:firstLine="745"/>
      </w:pPr>
      <w:r>
        <w:rPr>
          <w:rFonts w:ascii="Arial" w:eastAsia="Arial"/>
        </w:rPr>
        <w:t>6</w:t>
      </w:r>
      <w:r>
        <w:t>、建立工程档案，及时整理监理资料，施工阶段监理工作结束时， 向建设单位提交监理工作总结。</w:t>
      </w:r>
    </w:p>
    <w:p>
      <w:pPr>
        <w:pStyle w:val="Heading1"/>
        <w:spacing w:line="521" w:lineRule="exact"/>
        <w:rPr>
          <w:rFonts w:ascii="黑体" w:eastAsia="黑体" w:hint="eastAsia"/>
        </w:rPr>
      </w:pPr>
      <w:bookmarkStart w:id="2" w:name="_TOC_250009"/>
      <w:bookmarkEnd w:id="2"/>
      <w:r>
        <w:rPr>
          <w:rFonts w:ascii="黑体" w:eastAsia="黑体" w:hint="eastAsia"/>
        </w:rPr>
        <w:t>四、监理工作目标</w:t>
      </w:r>
    </w:p>
    <w:p>
      <w:pPr>
        <w:pStyle w:val="BodyText"/>
        <w:spacing w:before="314"/>
        <w:ind w:left="750"/>
      </w:pPr>
      <w:r>
        <w:rPr>
          <w:rFonts w:ascii="Arial" w:eastAsia="Arial"/>
        </w:rPr>
        <w:t>1</w:t>
      </w:r>
      <w:r>
        <w:t>、工程质量控制目标：</w:t>
      </w:r>
    </w:p>
    <w:p>
      <w:pPr>
        <w:pStyle w:val="BodyText"/>
        <w:spacing w:before="301"/>
        <w:ind w:left="1373"/>
      </w:pPr>
      <w:r>
        <w:t>本工程质量等级为合格工程。</w:t>
      </w:r>
    </w:p>
    <w:p>
      <w:pPr>
        <w:pStyle w:val="BodyText"/>
        <w:spacing w:before="300"/>
        <w:ind w:left="750"/>
      </w:pPr>
      <w:r>
        <w:rPr>
          <w:rFonts w:ascii="Arial" w:eastAsia="Arial"/>
        </w:rPr>
        <w:t>2</w:t>
      </w:r>
      <w:r>
        <w:t>、工程投资控制目标：</w:t>
      </w:r>
    </w:p>
    <w:p>
      <w:pPr>
        <w:pStyle w:val="BodyText"/>
        <w:spacing w:before="305"/>
        <w:ind w:left="1380"/>
      </w:pPr>
      <w:r>
        <w:t>力争工程造价目标控制在本工程概算之内。</w:t>
      </w:r>
    </w:p>
    <w:p>
      <w:pPr>
        <w:pStyle w:val="BodyText"/>
        <w:spacing w:before="300"/>
        <w:ind w:left="750"/>
      </w:pPr>
      <w:r>
        <w:rPr>
          <w:rFonts w:ascii="Arial" w:eastAsia="Arial"/>
        </w:rPr>
        <w:t>3</w:t>
      </w:r>
      <w:r>
        <w:t>、工程进度控制目标：</w:t>
      </w:r>
    </w:p>
    <w:p>
      <w:pPr>
        <w:pStyle w:val="BodyText"/>
        <w:spacing w:before="302"/>
        <w:ind w:left="1380"/>
      </w:pPr>
      <w:r>
        <w:t xml:space="preserve">根据本工程施工合同，总工期为 </w:t>
      </w:r>
      <w:r>
        <w:rPr>
          <w:rFonts w:ascii="Arial" w:eastAsia="Arial"/>
        </w:rPr>
        <w:t xml:space="preserve">300 </w:t>
      </w:r>
      <w:r>
        <w:t>日历天。</w:t>
      </w:r>
    </w:p>
    <w:p>
      <w:pPr>
        <w:pStyle w:val="BodyText"/>
        <w:spacing w:before="304"/>
        <w:ind w:left="750"/>
      </w:pPr>
      <w:r>
        <w:rPr>
          <w:rFonts w:ascii="Arial" w:eastAsia="Arial"/>
        </w:rPr>
        <w:t>4</w:t>
      </w:r>
      <w:r>
        <w:t>、工程安全控制目标：</w:t>
      </w:r>
    </w:p>
    <w:p>
      <w:pPr>
        <w:pStyle w:val="BodyText"/>
        <w:spacing w:before="300"/>
        <w:ind w:left="1380"/>
      </w:pPr>
      <w:r>
        <w:t>工程施工无重大伤亡事故，施工安全隐患降到最低。</w:t>
      </w:r>
    </w:p>
    <w:p>
      <w:pPr>
        <w:pStyle w:val="BodyText"/>
        <w:spacing w:before="301"/>
        <w:ind w:left="750"/>
      </w:pPr>
      <w:r>
        <w:rPr>
          <w:rFonts w:ascii="Arial" w:eastAsia="Arial"/>
        </w:rPr>
        <w:t>5</w:t>
      </w:r>
      <w:r>
        <w:t>、节能管理目标：</w:t>
      </w:r>
    </w:p>
    <w:p>
      <w:pPr>
        <w:pStyle w:val="BodyText"/>
        <w:spacing w:before="304" w:line="374" w:lineRule="auto"/>
        <w:ind w:left="120" w:right="1412" w:firstLine="842"/>
        <w:jc w:val="both"/>
      </w:pPr>
      <w:r>
        <w:rPr>
          <w:spacing w:val="-9"/>
        </w:rPr>
        <w:t>通过对建筑节能工程使用的材料、设备的严格控制，使得建筑物达到</w:t>
      </w:r>
      <w:r>
        <w:rPr>
          <w:spacing w:val="-16"/>
        </w:rPr>
        <w:t>设计要求的隔热性能，使得各类建筑设备产品都要在满足使用功能要求的</w:t>
      </w:r>
      <w:r>
        <w:t>前提下，额定能源利用率达到设计节能目标。</w:t>
      </w:r>
    </w:p>
    <w:p>
      <w:pPr>
        <w:pStyle w:val="Heading1"/>
        <w:spacing w:line="524" w:lineRule="exact"/>
        <w:rPr>
          <w:rFonts w:ascii="黑体" w:eastAsia="黑体" w:hint="eastAsia"/>
        </w:rPr>
      </w:pPr>
      <w:bookmarkStart w:id="3" w:name="_TOC_250008"/>
      <w:bookmarkEnd w:id="3"/>
      <w:r>
        <w:rPr>
          <w:rFonts w:ascii="黑体" w:eastAsia="黑体" w:hint="eastAsia"/>
        </w:rPr>
        <w:t>五、监理工作依据</w:t>
      </w:r>
    </w:p>
    <w:p>
      <w:pPr>
        <w:pStyle w:val="BodyText"/>
        <w:spacing w:before="317" w:line="374" w:lineRule="auto"/>
        <w:ind w:left="657" w:right="2426"/>
        <w:jc w:val="both"/>
      </w:pPr>
      <w:r>
        <w:t>１、施工合同、委托监理合同及与本工程项目相关的合同文件； ２、与本工程项目有关标准，设计文件、施工图纸、技术资料； ３、政府批准的本工程项目审批文件及相关的法律、法规；</w:t>
      </w:r>
    </w:p>
    <w:p>
      <w:pPr>
        <w:spacing w:after="0" w:line="374" w:lineRule="auto"/>
        <w:jc w:val="both"/>
        <w:sectPr>
          <w:pgSz w:w="17860" w:h="25260"/>
          <w:pgMar w:top="2020" w:right="940" w:bottom="280" w:left="2040" w:header="708" w:footer="708"/>
          <w:pgNumType w:start="12"/>
          <w:cols w:space="708"/>
        </w:sectPr>
      </w:pPr>
    </w:p>
    <w:p>
      <w:pPr>
        <w:pStyle w:val="BodyText"/>
        <w:spacing w:before="14" w:line="374" w:lineRule="auto"/>
        <w:ind w:left="657" w:right="1584"/>
      </w:pPr>
      <w:r>
        <w:t xml:space="preserve">４、建设单位提供的本项目的工程地质勘察报告；               </w:t>
      </w:r>
      <w:r>
        <w:rPr>
          <w:spacing w:val="-1"/>
        </w:rPr>
        <w:t>５、工程建设现行有关的规范，标准和规定以及国家现行的工程建设</w:t>
      </w:r>
    </w:p>
    <w:p>
      <w:pPr>
        <w:pStyle w:val="BodyText"/>
        <w:spacing w:before="2"/>
        <w:ind w:left="117"/>
      </w:pPr>
      <w:r>
        <w:t>强制性标准、条文。</w:t>
      </w: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56"/>
        </w:rPr>
      </w:pPr>
    </w:p>
    <w:p>
      <w:pPr>
        <w:pStyle w:val="Heading1"/>
      </w:pPr>
      <w:bookmarkStart w:id="4" w:name="_TOC_250007"/>
      <w:bookmarkEnd w:id="4"/>
      <w:r>
        <w:t>六、项目监理机构的组织形式</w:t>
      </w:r>
    </w:p>
    <w:p>
      <w:pPr>
        <w:pStyle w:val="BodyText"/>
        <w:spacing w:before="6"/>
        <w:rPr>
          <w:rFonts w:ascii="幼圆"/>
          <w:sz w:val="31"/>
        </w:rPr>
      </w:pPr>
    </w:p>
    <w:p>
      <w:pPr>
        <w:pStyle w:val="BodyText"/>
        <w:ind w:left="657"/>
      </w:pPr>
      <w:r>
        <w:t>１、 项目组织结构图</w:t>
      </w:r>
    </w:p>
    <w:p>
      <w:pPr>
        <w:pStyle w:val="BodyText"/>
        <w:spacing w:before="12"/>
        <w:rPr>
          <w:sz w:val="15"/>
        </w:rPr>
      </w:pPr>
      <w:r>
        <w:pict>
          <v:group id="_x0000_s1025" style="width:371.9pt;height:564pt;margin-top:12.16pt;margin-left:239.61pt;mso-position-horizontal-relative:page;mso-wrap-distance-left:0;mso-wrap-distance-right:0;position:absolute;z-index:-251658240" coordorigin="4792,243" coordsize="7438,11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060;height:11280;left:5120;position:absolute;top:243" stroked="f">
              <v:imagedata r:id="rId4" o:title=""/>
            </v:shape>
            <v:shapetype id="_x0000_t202" coordsize="21600,21600" o:spt="202" path="m,l,21600r21600,l21600,xe">
              <v:stroke joinstyle="miter"/>
              <v:path gradientshapeok="t" o:connecttype="rect"/>
            </v:shapetype>
            <v:shape id="_x0000_s1027" type="#_x0000_t202" style="width:3081;height:360;left:6971;position:absolute;top:424" filled="f" stroked="f">
              <v:textbox inset="0,0,0,0">
                <w:txbxContent>
                  <w:p>
                    <w:pPr>
                      <w:spacing w:before="0" w:line="360" w:lineRule="exact"/>
                      <w:ind w:left="0" w:right="0" w:firstLine="0"/>
                      <w:jc w:val="left"/>
                      <w:rPr>
                        <w:sz w:val="36"/>
                      </w:rPr>
                    </w:pPr>
                    <w:r>
                      <w:rPr>
                        <w:sz w:val="36"/>
                      </w:rPr>
                      <w:t>建 设 主 管 部 门</w:t>
                    </w:r>
                  </w:p>
                </w:txbxContent>
              </v:textbox>
            </v:shape>
            <v:shape id="_x0000_s1028" type="#_x0000_t202" style="width:1288;height:317;left:8792;position:absolute;top:1535" filled="f" stroked="f">
              <v:textbox inset="0,0,0,0">
                <w:txbxContent>
                  <w:p>
                    <w:pPr>
                      <w:spacing w:before="0" w:line="317" w:lineRule="exact"/>
                      <w:ind w:left="0" w:right="0" w:firstLine="0"/>
                      <w:jc w:val="left"/>
                      <w:rPr>
                        <w:sz w:val="31"/>
                      </w:rPr>
                    </w:pPr>
                    <w:r>
                      <w:rPr>
                        <w:sz w:val="31"/>
                      </w:rPr>
                      <w:t>监督管理</w:t>
                    </w:r>
                  </w:p>
                </w:txbxContent>
              </v:textbox>
            </v:shape>
            <v:shape id="_x0000_s1029" type="#_x0000_t202" style="width:442;height:422;left:4792;position:absolute;top:3264" filled="f" stroked="f">
              <v:textbox inset="0,0,0,0">
                <w:txbxContent>
                  <w:p>
                    <w:pPr>
                      <w:spacing w:before="0" w:line="421" w:lineRule="exact"/>
                      <w:ind w:left="0" w:right="0" w:firstLine="0"/>
                      <w:jc w:val="left"/>
                      <w:rPr>
                        <w:sz w:val="42"/>
                      </w:rPr>
                    </w:pPr>
                    <w:r>
                      <w:rPr>
                        <w:w w:val="100"/>
                        <w:sz w:val="42"/>
                      </w:rPr>
                      <w:t>监</w:t>
                    </w:r>
                  </w:p>
                </w:txbxContent>
              </v:textbox>
            </v:shape>
            <v:shape id="_x0000_s1030" type="#_x0000_t202" style="width:442;height:422;left:11727;position:absolute;top:3264" filled="f" stroked="f">
              <v:textbox inset="0,0,0,0">
                <w:txbxContent>
                  <w:p>
                    <w:pPr>
                      <w:spacing w:before="0" w:line="421" w:lineRule="exact"/>
                      <w:ind w:left="0" w:right="0" w:firstLine="0"/>
                      <w:jc w:val="left"/>
                      <w:rPr>
                        <w:sz w:val="42"/>
                      </w:rPr>
                    </w:pPr>
                    <w:r>
                      <w:rPr>
                        <w:w w:val="100"/>
                        <w:sz w:val="42"/>
                      </w:rPr>
                      <w:t>监</w:t>
                    </w:r>
                  </w:p>
                </w:txbxContent>
              </v:textbox>
            </v:shape>
            <v:shape id="_x0000_s1031" type="#_x0000_t202" style="width:442;height:422;left:4853;position:absolute;top:4200" filled="f" stroked="f">
              <v:textbox inset="0,0,0,0">
                <w:txbxContent>
                  <w:p>
                    <w:pPr>
                      <w:spacing w:before="0" w:line="421" w:lineRule="exact"/>
                      <w:ind w:left="0" w:right="0" w:firstLine="0"/>
                      <w:jc w:val="left"/>
                      <w:rPr>
                        <w:sz w:val="42"/>
                      </w:rPr>
                    </w:pPr>
                    <w:r>
                      <w:rPr>
                        <w:w w:val="100"/>
                        <w:sz w:val="42"/>
                      </w:rPr>
                      <w:t>督</w:t>
                    </w:r>
                  </w:p>
                </w:txbxContent>
              </v:textbox>
            </v:shape>
            <v:shape id="_x0000_s1032" type="#_x0000_t202" style="width:2000;height:360;left:7647;position:absolute;top:3935" filled="f" stroked="f">
              <v:textbox inset="0,0,0,0">
                <w:txbxContent>
                  <w:p>
                    <w:pPr>
                      <w:spacing w:before="0" w:line="360" w:lineRule="exact"/>
                      <w:ind w:left="0" w:right="0" w:firstLine="0"/>
                      <w:jc w:val="left"/>
                      <w:rPr>
                        <w:sz w:val="36"/>
                      </w:rPr>
                    </w:pPr>
                    <w:r>
                      <w:rPr>
                        <w:sz w:val="36"/>
                      </w:rPr>
                      <w:t>建 设 单 位</w:t>
                    </w:r>
                  </w:p>
                </w:txbxContent>
              </v:textbox>
            </v:shape>
            <v:shape id="_x0000_s1033" type="#_x0000_t202" style="width:442;height:422;left:11788;position:absolute;top:4200" filled="f" stroked="f">
              <v:textbox inset="0,0,0,0">
                <w:txbxContent>
                  <w:p>
                    <w:pPr>
                      <w:spacing w:before="0" w:line="421" w:lineRule="exact"/>
                      <w:ind w:left="0" w:right="0" w:firstLine="0"/>
                      <w:jc w:val="left"/>
                      <w:rPr>
                        <w:sz w:val="42"/>
                      </w:rPr>
                    </w:pPr>
                    <w:r>
                      <w:rPr>
                        <w:w w:val="100"/>
                        <w:sz w:val="42"/>
                      </w:rPr>
                      <w:t>督</w:t>
                    </w:r>
                  </w:p>
                </w:txbxContent>
              </v:textbox>
            </v:shape>
            <v:shape id="_x0000_s1034" type="#_x0000_t202" style="width:442;height:422;left:4795;position:absolute;top:5136" filled="f" stroked="f">
              <v:textbox inset="0,0,0,0">
                <w:txbxContent>
                  <w:p>
                    <w:pPr>
                      <w:spacing w:before="0" w:line="421" w:lineRule="exact"/>
                      <w:ind w:left="0" w:right="0" w:firstLine="0"/>
                      <w:jc w:val="left"/>
                      <w:rPr>
                        <w:sz w:val="42"/>
                      </w:rPr>
                    </w:pPr>
                    <w:r>
                      <w:rPr>
                        <w:w w:val="100"/>
                        <w:sz w:val="42"/>
                      </w:rPr>
                      <w:t>管</w:t>
                    </w:r>
                  </w:p>
                </w:txbxContent>
              </v:textbox>
            </v:shape>
            <v:shape id="_x0000_s1035" type="#_x0000_t202" style="width:442;height:422;left:6261;position:absolute;top:5136" filled="f" stroked="f">
              <v:textbox inset="0,0,0,0">
                <w:txbxContent>
                  <w:p>
                    <w:pPr>
                      <w:spacing w:before="0" w:line="421" w:lineRule="exact"/>
                      <w:ind w:left="0" w:right="0" w:firstLine="0"/>
                      <w:jc w:val="left"/>
                      <w:rPr>
                        <w:sz w:val="42"/>
                      </w:rPr>
                    </w:pPr>
                    <w:r>
                      <w:rPr>
                        <w:w w:val="100"/>
                        <w:sz w:val="42"/>
                      </w:rPr>
                      <w:t>合</w:t>
                    </w:r>
                  </w:p>
                </w:txbxContent>
              </v:textbox>
            </v:shape>
            <v:shape id="_x0000_s1036" type="#_x0000_t202" style="width:442;height:422;left:10254;position:absolute;top:5136" filled="f" stroked="f">
              <v:textbox inset="0,0,0,0">
                <w:txbxContent>
                  <w:p>
                    <w:pPr>
                      <w:spacing w:before="0" w:line="421" w:lineRule="exact"/>
                      <w:ind w:left="0" w:right="0" w:firstLine="0"/>
                      <w:jc w:val="left"/>
                      <w:rPr>
                        <w:sz w:val="42"/>
                      </w:rPr>
                    </w:pPr>
                    <w:r>
                      <w:rPr>
                        <w:w w:val="100"/>
                        <w:sz w:val="42"/>
                      </w:rPr>
                      <w:t>合</w:t>
                    </w:r>
                  </w:p>
                </w:txbxContent>
              </v:textbox>
            </v:shape>
            <v:shape id="_x0000_s1037" type="#_x0000_t202" style="width:442;height:422;left:11727;position:absolute;top:5136" filled="f" stroked="f">
              <v:textbox inset="0,0,0,0">
                <w:txbxContent>
                  <w:p>
                    <w:pPr>
                      <w:spacing w:before="0" w:line="421" w:lineRule="exact"/>
                      <w:ind w:left="0" w:right="0" w:firstLine="0"/>
                      <w:jc w:val="left"/>
                      <w:rPr>
                        <w:sz w:val="42"/>
                      </w:rPr>
                    </w:pPr>
                    <w:r>
                      <w:rPr>
                        <w:w w:val="100"/>
                        <w:sz w:val="42"/>
                      </w:rPr>
                      <w:t>管</w:t>
                    </w:r>
                  </w:p>
                </w:txbxContent>
              </v:textbox>
            </v:shape>
            <v:shape id="_x0000_s1038" type="#_x0000_t202" style="width:442;height:422;left:4795;position:absolute;top:6072" filled="f" stroked="f">
              <v:textbox inset="0,0,0,0">
                <w:txbxContent>
                  <w:p>
                    <w:pPr>
                      <w:spacing w:before="0" w:line="421" w:lineRule="exact"/>
                      <w:ind w:left="0" w:right="0" w:firstLine="0"/>
                      <w:jc w:val="left"/>
                      <w:rPr>
                        <w:sz w:val="42"/>
                      </w:rPr>
                    </w:pPr>
                    <w:r>
                      <w:rPr>
                        <w:w w:val="100"/>
                        <w:sz w:val="42"/>
                      </w:rPr>
                      <w:t>理</w:t>
                    </w:r>
                  </w:p>
                </w:txbxContent>
              </v:textbox>
            </v:shape>
            <v:shape id="_x0000_s1039" type="#_x0000_t202" style="width:442;height:422;left:6261;position:absolute;top:6072" filled="f" stroked="f">
              <v:textbox inset="0,0,0,0">
                <w:txbxContent>
                  <w:p>
                    <w:pPr>
                      <w:spacing w:before="0" w:line="421" w:lineRule="exact"/>
                      <w:ind w:left="0" w:right="0" w:firstLine="0"/>
                      <w:jc w:val="left"/>
                      <w:rPr>
                        <w:sz w:val="42"/>
                      </w:rPr>
                    </w:pPr>
                    <w:r>
                      <w:rPr>
                        <w:w w:val="100"/>
                        <w:sz w:val="42"/>
                      </w:rPr>
                      <w:t>同</w:t>
                    </w:r>
                  </w:p>
                </w:txbxContent>
              </v:textbox>
            </v:shape>
            <v:shape id="_x0000_s1040" type="#_x0000_t202" style="width:442;height:422;left:10254;position:absolute;top:6072" filled="f" stroked="f">
              <v:textbox inset="0,0,0,0">
                <w:txbxContent>
                  <w:p>
                    <w:pPr>
                      <w:spacing w:before="0" w:line="421" w:lineRule="exact"/>
                      <w:ind w:left="0" w:right="0" w:firstLine="0"/>
                      <w:jc w:val="left"/>
                      <w:rPr>
                        <w:sz w:val="42"/>
                      </w:rPr>
                    </w:pPr>
                    <w:r>
                      <w:rPr>
                        <w:w w:val="100"/>
                        <w:sz w:val="42"/>
                      </w:rPr>
                      <w:t>同</w:t>
                    </w:r>
                  </w:p>
                </w:txbxContent>
              </v:textbox>
            </v:shape>
            <v:shape id="_x0000_s1041" type="#_x0000_t202" style="width:442;height:422;left:11727;position:absolute;top:6072" filled="f" stroked="f">
              <v:textbox inset="0,0,0,0">
                <w:txbxContent>
                  <w:p>
                    <w:pPr>
                      <w:spacing w:before="0" w:line="421" w:lineRule="exact"/>
                      <w:ind w:left="0" w:right="0" w:firstLine="0"/>
                      <w:jc w:val="left"/>
                      <w:rPr>
                        <w:sz w:val="42"/>
                      </w:rPr>
                    </w:pPr>
                    <w:r>
                      <w:rPr>
                        <w:w w:val="100"/>
                        <w:sz w:val="42"/>
                      </w:rPr>
                      <w:t>理</w:t>
                    </w:r>
                  </w:p>
                </w:txbxContent>
              </v:textbox>
            </v:shape>
            <v:shape id="_x0000_s1042" type="#_x0000_t202" style="width:380;height:360;left:5714;position:absolute;top:7445" filled="f" stroked="f">
              <v:textbox inset="0,0,0,0">
                <w:txbxContent>
                  <w:p>
                    <w:pPr>
                      <w:spacing w:before="0" w:line="360" w:lineRule="exact"/>
                      <w:ind w:left="0" w:right="0" w:firstLine="0"/>
                      <w:jc w:val="left"/>
                      <w:rPr>
                        <w:sz w:val="36"/>
                      </w:rPr>
                    </w:pPr>
                    <w:r>
                      <w:rPr>
                        <w:sz w:val="36"/>
                      </w:rPr>
                      <w:t>承</w:t>
                    </w:r>
                  </w:p>
                </w:txbxContent>
              </v:textbox>
            </v:shape>
            <v:shape id="_x0000_s1043" type="#_x0000_t202" style="width:380;height:360;left:11363;position:absolute;top:7445" filled="f" stroked="f">
              <v:textbox inset="0,0,0,0">
                <w:txbxContent>
                  <w:p>
                    <w:pPr>
                      <w:spacing w:before="0" w:line="360" w:lineRule="exact"/>
                      <w:ind w:left="0" w:right="0" w:firstLine="0"/>
                      <w:jc w:val="left"/>
                      <w:rPr>
                        <w:sz w:val="36"/>
                      </w:rPr>
                    </w:pPr>
                    <w:r>
                      <w:rPr>
                        <w:sz w:val="36"/>
                      </w:rPr>
                      <w:t>监</w:t>
                    </w:r>
                  </w:p>
                </w:txbxContent>
              </v:textbox>
            </v:shape>
            <v:shape id="_x0000_s1044" type="#_x0000_t202" style="width:380;height:360;left:5714;position:absolute;top:8382" filled="f" stroked="f">
              <v:textbox inset="0,0,0,0">
                <w:txbxContent>
                  <w:p>
                    <w:pPr>
                      <w:spacing w:before="0" w:line="360" w:lineRule="exact"/>
                      <w:ind w:left="0" w:right="0" w:firstLine="0"/>
                      <w:jc w:val="left"/>
                      <w:rPr>
                        <w:sz w:val="36"/>
                      </w:rPr>
                    </w:pPr>
                    <w:r>
                      <w:rPr>
                        <w:sz w:val="36"/>
                      </w:rPr>
                      <w:t>包</w:t>
                    </w:r>
                  </w:p>
                </w:txbxContent>
              </v:textbox>
            </v:shape>
            <v:shape id="_x0000_s1045" type="#_x0000_t202" style="width:2000;height:360;left:7647;position:absolute;top:8382" filled="f" stroked="f">
              <v:textbox inset="0,0,0,0">
                <w:txbxContent>
                  <w:p>
                    <w:pPr>
                      <w:spacing w:before="0" w:line="360" w:lineRule="exact"/>
                      <w:ind w:left="0" w:right="0" w:firstLine="0"/>
                      <w:jc w:val="left"/>
                      <w:rPr>
                        <w:sz w:val="36"/>
                      </w:rPr>
                    </w:pPr>
                    <w:r>
                      <w:rPr>
                        <w:sz w:val="36"/>
                      </w:rPr>
                      <w:t>工 程 项 目</w:t>
                    </w:r>
                  </w:p>
                </w:txbxContent>
              </v:textbox>
            </v:shape>
            <v:shape id="_x0000_s1046" type="#_x0000_t202" style="width:380;height:360;left:11385;position:absolute;top:8382" filled="f" stroked="f">
              <v:textbox inset="0,0,0,0">
                <w:txbxContent>
                  <w:p>
                    <w:pPr>
                      <w:spacing w:before="0" w:line="360" w:lineRule="exact"/>
                      <w:ind w:left="0" w:right="0" w:firstLine="0"/>
                      <w:jc w:val="left"/>
                      <w:rPr>
                        <w:sz w:val="36"/>
                      </w:rPr>
                    </w:pPr>
                    <w:r>
                      <w:rPr>
                        <w:sz w:val="36"/>
                      </w:rPr>
                      <w:t>理</w:t>
                    </w:r>
                  </w:p>
                </w:txbxContent>
              </v:textbox>
            </v:shape>
            <v:shape id="_x0000_s1047" type="#_x0000_t202" style="width:380;height:360;left:5714;position:absolute;top:9318" filled="f" stroked="f">
              <v:textbox inset="0,0,0,0">
                <w:txbxContent>
                  <w:p>
                    <w:pPr>
                      <w:spacing w:before="0" w:line="360" w:lineRule="exact"/>
                      <w:ind w:left="0" w:right="0" w:firstLine="0"/>
                      <w:jc w:val="left"/>
                      <w:rPr>
                        <w:sz w:val="36"/>
                      </w:rPr>
                    </w:pPr>
                    <w:r>
                      <w:rPr>
                        <w:sz w:val="36"/>
                      </w:rPr>
                      <w:t>单</w:t>
                    </w:r>
                  </w:p>
                </w:txbxContent>
              </v:textbox>
            </v:shape>
            <v:shape id="_x0000_s1048" type="#_x0000_t202" style="width:380;height:360;left:11385;position:absolute;top:9318" filled="f" stroked="f">
              <v:textbox inset="0,0,0,0">
                <w:txbxContent>
                  <w:p>
                    <w:pPr>
                      <w:spacing w:before="0" w:line="360" w:lineRule="exact"/>
                      <w:ind w:left="0" w:right="0" w:firstLine="0"/>
                      <w:jc w:val="left"/>
                      <w:rPr>
                        <w:sz w:val="36"/>
                      </w:rPr>
                    </w:pPr>
                    <w:r>
                      <w:rPr>
                        <w:sz w:val="36"/>
                      </w:rPr>
                      <w:t>单</w:t>
                    </w:r>
                  </w:p>
                </w:txbxContent>
              </v:textbox>
            </v:shape>
            <v:shape id="_x0000_s1049" type="#_x0000_t202" style="width:1072;height:422;left:8155;position:absolute;top:9817" filled="f" stroked="f">
              <v:textbox inset="0,0,0,0">
                <w:txbxContent>
                  <w:p>
                    <w:pPr>
                      <w:spacing w:before="0" w:line="421" w:lineRule="exact"/>
                      <w:ind w:left="0" w:right="0" w:firstLine="0"/>
                      <w:jc w:val="left"/>
                      <w:rPr>
                        <w:sz w:val="42"/>
                      </w:rPr>
                    </w:pPr>
                    <w:r>
                      <w:rPr>
                        <w:sz w:val="42"/>
                      </w:rPr>
                      <w:t>监 理</w:t>
                    </w:r>
                  </w:p>
                </w:txbxContent>
              </v:textbox>
            </v:shape>
            <v:shape id="_x0000_s1050" type="#_x0000_t202" style="width:380;height:360;left:5714;position:absolute;top:10254" filled="f" stroked="f">
              <v:textbox inset="0,0,0,0">
                <w:txbxContent>
                  <w:p>
                    <w:pPr>
                      <w:spacing w:before="0" w:line="360" w:lineRule="exact"/>
                      <w:ind w:left="0" w:right="0" w:firstLine="0"/>
                      <w:jc w:val="left"/>
                      <w:rPr>
                        <w:sz w:val="36"/>
                      </w:rPr>
                    </w:pPr>
                    <w:r>
                      <w:rPr>
                        <w:sz w:val="36"/>
                      </w:rPr>
                      <w:t>位</w:t>
                    </w:r>
                  </w:p>
                </w:txbxContent>
              </v:textbox>
            </v:shape>
            <v:shape id="_x0000_s1051" type="#_x0000_t202" style="width:380;height:360;left:11385;position:absolute;top:10254" filled="f" stroked="f">
              <v:textbox inset="0,0,0,0">
                <w:txbxContent>
                  <w:p>
                    <w:pPr>
                      <w:spacing w:before="0" w:line="360" w:lineRule="exact"/>
                      <w:ind w:left="0" w:right="0" w:firstLine="0"/>
                      <w:jc w:val="left"/>
                      <w:rPr>
                        <w:sz w:val="36"/>
                      </w:rPr>
                    </w:pPr>
                    <w:r>
                      <w:rPr>
                        <w:sz w:val="36"/>
                      </w:rPr>
                      <w:t>位</w:t>
                    </w:r>
                  </w:p>
                </w:txbxContent>
              </v:textbox>
            </v:shape>
            <w10:wrap type="topAndBottom"/>
          </v:group>
        </w:pict>
      </w:r>
    </w:p>
    <w:p>
      <w:pPr>
        <w:spacing w:after="0"/>
        <w:rPr>
          <w:sz w:val="15"/>
        </w:rPr>
        <w:sectPr>
          <w:pgSz w:w="17860" w:h="25260"/>
          <w:pgMar w:top="2020" w:right="940" w:bottom="280" w:left="2040" w:header="708" w:footer="708"/>
          <w:pgNumType w:start="13"/>
          <w:cols w:space="708"/>
        </w:sectPr>
      </w:pPr>
    </w:p>
    <w:p>
      <w:pPr>
        <w:pStyle w:val="BodyText"/>
        <w:rPr>
          <w:sz w:val="20"/>
        </w:rPr>
      </w:pPr>
    </w:p>
    <w:p>
      <w:pPr>
        <w:pStyle w:val="BodyText"/>
        <w:spacing w:before="6"/>
        <w:rPr>
          <w:sz w:val="15"/>
        </w:rPr>
      </w:pPr>
    </w:p>
    <w:p>
      <w:pPr>
        <w:pStyle w:val="BodyText"/>
        <w:spacing w:before="42"/>
        <w:ind w:left="657"/>
      </w:pPr>
      <w:r>
        <w:pict>
          <v:group id="_x0000_s1052" style="width:610.75pt;height:527.8pt;margin-top:53.4pt;margin-left:161pt;mso-position-horizontal-relative:page;position:absolute;z-index:-251657216" coordorigin="3220,1068" coordsize="12215,10556">
            <v:shape id="_x0000_s1053" type="#_x0000_t75" style="width:12215;height:10556;left:3220;position:absolute;top:1068" stroked="f">
              <v:imagedata r:id="rId5" o:title=""/>
            </v:shape>
            <v:shape id="_x0000_s1054" type="#_x0000_t202" style="width:2231;height:317;left:8749;position:absolute;top:1298" filled="f" stroked="f">
              <v:textbox inset="0,0,0,0">
                <w:txbxContent>
                  <w:p>
                    <w:pPr>
                      <w:tabs>
                        <w:tab w:val="left" w:pos="633"/>
                        <w:tab w:val="left" w:pos="1263"/>
                        <w:tab w:val="left" w:pos="1893"/>
                      </w:tabs>
                      <w:spacing w:before="0" w:line="317" w:lineRule="exact"/>
                      <w:ind w:left="0" w:right="0" w:firstLine="0"/>
                      <w:jc w:val="left"/>
                      <w:rPr>
                        <w:sz w:val="31"/>
                      </w:rPr>
                    </w:pPr>
                    <w:r>
                      <w:rPr>
                        <w:sz w:val="31"/>
                      </w:rPr>
                      <w:t>项</w:t>
                      <w:tab/>
                      <w:t>目</w:t>
                      <w:tab/>
                      <w:t>总</w:t>
                      <w:tab/>
                      <w:t>监</w:t>
                    </w:r>
                  </w:p>
                </w:txbxContent>
              </v:textbox>
            </v:shape>
            <v:shape id="_x0000_s1055" type="#_x0000_t202" style="width:6040;height:317;left:3888;position:absolute;top:4816" filled="f" stroked="f">
              <v:textbox inset="0,0,0,0">
                <w:txbxContent>
                  <w:p>
                    <w:pPr>
                      <w:spacing w:before="0" w:line="317" w:lineRule="exact"/>
                      <w:ind w:left="0" w:right="0" w:firstLine="0"/>
                      <w:jc w:val="left"/>
                      <w:rPr>
                        <w:sz w:val="31"/>
                      </w:rPr>
                    </w:pPr>
                    <w:r>
                      <w:rPr>
                        <w:sz w:val="31"/>
                      </w:rPr>
                      <w:t>质量控制、进度控制、投资控制、安全控制</w:t>
                    </w:r>
                  </w:p>
                </w:txbxContent>
              </v:textbox>
            </v:shape>
            <v:shape id="_x0000_s1056" type="#_x0000_t202" style="width:2238;height:317;left:12530;position:absolute;top:4816" filled="f" stroked="f">
              <v:textbox inset="0,0,0,0">
                <w:txbxContent>
                  <w:p>
                    <w:pPr>
                      <w:spacing w:before="0" w:line="317" w:lineRule="exact"/>
                      <w:ind w:left="0" w:right="0" w:firstLine="0"/>
                      <w:jc w:val="left"/>
                      <w:rPr>
                        <w:sz w:val="31"/>
                      </w:rPr>
                    </w:pPr>
                    <w:r>
                      <w:rPr>
                        <w:sz w:val="31"/>
                      </w:rPr>
                      <w:t>合同、档案管理</w:t>
                    </w:r>
                  </w:p>
                </w:txbxContent>
              </v:textbox>
            </v:shape>
            <v:shape id="_x0000_s1057" type="#_x0000_t202" style="width:337;height:1894;left:13688;position:absolute;top:6855" filled="f" stroked="f">
              <v:textbox inset="0,0,0,0">
                <w:txbxContent>
                  <w:p>
                    <w:pPr>
                      <w:spacing w:before="24" w:line="192" w:lineRule="auto"/>
                      <w:ind w:left="0" w:right="18" w:firstLine="0"/>
                      <w:jc w:val="both"/>
                      <w:rPr>
                        <w:sz w:val="31"/>
                      </w:rPr>
                    </w:pPr>
                    <w:r>
                      <w:rPr>
                        <w:sz w:val="31"/>
                      </w:rPr>
                      <w:t>资料员</w:t>
                    </w:r>
                  </w:p>
                  <w:p>
                    <w:pPr>
                      <w:spacing w:before="0" w:line="192" w:lineRule="auto"/>
                      <w:ind w:left="0" w:right="18" w:firstLine="0"/>
                      <w:jc w:val="left"/>
                      <w:rPr>
                        <w:sz w:val="31"/>
                      </w:rPr>
                    </w:pPr>
                    <w:r>
                      <w:rPr>
                        <w:sz w:val="31"/>
                      </w:rPr>
                      <w:t>︵兼</w:t>
                    </w:r>
                  </w:p>
                  <w:p>
                    <w:pPr>
                      <w:spacing w:before="0" w:line="287" w:lineRule="exact"/>
                      <w:ind w:left="0" w:right="0" w:firstLine="0"/>
                      <w:jc w:val="left"/>
                      <w:rPr>
                        <w:sz w:val="31"/>
                      </w:rPr>
                    </w:pPr>
                    <w:r>
                      <w:rPr>
                        <w:w w:val="102"/>
                        <w:sz w:val="31"/>
                      </w:rPr>
                      <w:t>︶</w:t>
                    </w:r>
                  </w:p>
                </w:txbxContent>
              </v:textbox>
            </v:shape>
            <v:shape id="_x0000_s1058" type="#_x0000_t202" style="width:1288;height:317;left:6139;position:absolute;top:11116" filled="f" stroked="f">
              <v:textbox inset="0,0,0,0">
                <w:txbxContent>
                  <w:p>
                    <w:pPr>
                      <w:spacing w:before="0" w:line="317" w:lineRule="exact"/>
                      <w:ind w:left="0" w:right="0" w:firstLine="0"/>
                      <w:jc w:val="left"/>
                      <w:rPr>
                        <w:sz w:val="31"/>
                      </w:rPr>
                    </w:pPr>
                    <w:r>
                      <w:rPr>
                        <w:sz w:val="31"/>
                      </w:rPr>
                      <w:t>施工单位</w:t>
                    </w:r>
                  </w:p>
                </w:txbxContent>
              </v:textbox>
            </v:shape>
          </v:group>
        </w:pict>
      </w:r>
      <w:r>
        <w:t>２、 监理组织机构图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4"/>
        </w:rPr>
      </w:pPr>
    </w:p>
    <w:tbl>
      <w:tblPr>
        <w:tblStyle w:val="TableNormal0"/>
        <w:tblW w:w="0" w:type="auto"/>
        <w:jc w:val="left"/>
        <w:tblInd w:w="1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9"/>
        <w:gridCol w:w="2566"/>
        <w:gridCol w:w="1424"/>
      </w:tblGrid>
      <w:tr>
        <w:tblPrEx>
          <w:tblW w:w="0" w:type="auto"/>
          <w:jc w:val="left"/>
          <w:tblInd w:w="1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41"/>
          <w:jc w:val="left"/>
        </w:trPr>
        <w:tc>
          <w:tcPr>
            <w:tcW w:w="1559" w:type="dxa"/>
          </w:tcPr>
          <w:p>
            <w:pPr>
              <w:pStyle w:val="TableParagraph"/>
              <w:spacing w:before="12" w:line="309" w:lineRule="exact"/>
              <w:ind w:left="50"/>
              <w:jc w:val="left"/>
              <w:rPr>
                <w:sz w:val="31"/>
              </w:rPr>
            </w:pPr>
            <w:r>
              <w:rPr>
                <w:w w:val="102"/>
                <w:sz w:val="31"/>
              </w:rPr>
              <w:t>土</w:t>
            </w:r>
          </w:p>
        </w:tc>
        <w:tc>
          <w:tcPr>
            <w:tcW w:w="2566" w:type="dxa"/>
          </w:tcPr>
          <w:p>
            <w:pPr>
              <w:pStyle w:val="TableParagraph"/>
              <w:spacing w:before="12" w:line="309" w:lineRule="exact"/>
              <w:ind w:right="1055"/>
              <w:rPr>
                <w:sz w:val="31"/>
              </w:rPr>
            </w:pPr>
            <w:r>
              <w:rPr>
                <w:w w:val="102"/>
                <w:sz w:val="31"/>
              </w:rPr>
              <w:t>水</w:t>
            </w:r>
          </w:p>
        </w:tc>
        <w:tc>
          <w:tcPr>
            <w:tcW w:w="1424" w:type="dxa"/>
          </w:tcPr>
          <w:p>
            <w:pPr>
              <w:pStyle w:val="TableParagraph"/>
              <w:spacing w:line="322" w:lineRule="exact"/>
              <w:ind w:right="49"/>
              <w:rPr>
                <w:sz w:val="31"/>
              </w:rPr>
            </w:pPr>
            <w:r>
              <w:rPr>
                <w:w w:val="102"/>
                <w:sz w:val="31"/>
              </w:rPr>
              <w:t>土</w:t>
            </w:r>
          </w:p>
        </w:tc>
      </w:tr>
      <w:tr>
        <w:tblPrEx>
          <w:tblW w:w="0" w:type="auto"/>
          <w:jc w:val="left"/>
          <w:tblInd w:w="1614" w:type="dxa"/>
          <w:tblLayout w:type="fixed"/>
          <w:tblCellMar>
            <w:top w:w="0" w:type="dxa"/>
            <w:left w:w="0" w:type="dxa"/>
            <w:bottom w:w="0" w:type="dxa"/>
            <w:right w:w="0" w:type="dxa"/>
          </w:tblCellMar>
          <w:tblLook w:val="01E0"/>
        </w:tblPrEx>
        <w:trPr>
          <w:trHeight w:val="316"/>
          <w:jc w:val="left"/>
        </w:trPr>
        <w:tc>
          <w:tcPr>
            <w:tcW w:w="1559" w:type="dxa"/>
          </w:tcPr>
          <w:p>
            <w:pPr>
              <w:pStyle w:val="TableParagraph"/>
              <w:spacing w:line="297" w:lineRule="exact"/>
              <w:ind w:left="50"/>
              <w:jc w:val="left"/>
              <w:rPr>
                <w:sz w:val="31"/>
              </w:rPr>
            </w:pPr>
            <w:r>
              <w:rPr>
                <w:w w:val="102"/>
                <w:sz w:val="31"/>
              </w:rPr>
              <w:t>建</w:t>
            </w:r>
          </w:p>
        </w:tc>
        <w:tc>
          <w:tcPr>
            <w:tcW w:w="2566" w:type="dxa"/>
          </w:tcPr>
          <w:p>
            <w:pPr>
              <w:pStyle w:val="TableParagraph"/>
              <w:spacing w:line="297" w:lineRule="exact"/>
              <w:ind w:right="1055"/>
              <w:rPr>
                <w:sz w:val="31"/>
              </w:rPr>
            </w:pPr>
            <w:r>
              <w:rPr>
                <w:w w:val="102"/>
                <w:sz w:val="31"/>
              </w:rPr>
              <w:t>电</w:t>
            </w:r>
          </w:p>
        </w:tc>
        <w:tc>
          <w:tcPr>
            <w:tcW w:w="1424" w:type="dxa"/>
          </w:tcPr>
          <w:p>
            <w:pPr>
              <w:pStyle w:val="TableParagraph"/>
              <w:spacing w:line="297" w:lineRule="exact"/>
              <w:ind w:right="49"/>
              <w:rPr>
                <w:sz w:val="31"/>
              </w:rPr>
            </w:pPr>
            <w:r>
              <w:rPr>
                <w:w w:val="102"/>
                <w:sz w:val="31"/>
              </w:rPr>
              <w:t>建</w:t>
            </w:r>
          </w:p>
        </w:tc>
      </w:tr>
      <w:tr>
        <w:tblPrEx>
          <w:tblW w:w="0" w:type="auto"/>
          <w:jc w:val="left"/>
          <w:tblInd w:w="1614" w:type="dxa"/>
          <w:tblLayout w:type="fixed"/>
          <w:tblCellMar>
            <w:top w:w="0" w:type="dxa"/>
            <w:left w:w="0" w:type="dxa"/>
            <w:bottom w:w="0" w:type="dxa"/>
            <w:right w:w="0" w:type="dxa"/>
          </w:tblCellMar>
          <w:tblLook w:val="01E0"/>
        </w:tblPrEx>
        <w:trPr>
          <w:trHeight w:val="315"/>
          <w:jc w:val="left"/>
        </w:trPr>
        <w:tc>
          <w:tcPr>
            <w:tcW w:w="1559" w:type="dxa"/>
          </w:tcPr>
          <w:p>
            <w:pPr>
              <w:pStyle w:val="TableParagraph"/>
              <w:ind w:left="50"/>
              <w:jc w:val="left"/>
              <w:rPr>
                <w:sz w:val="31"/>
              </w:rPr>
            </w:pPr>
            <w:r>
              <w:rPr>
                <w:w w:val="102"/>
                <w:sz w:val="31"/>
              </w:rPr>
              <w:t>专</w:t>
            </w:r>
          </w:p>
        </w:tc>
        <w:tc>
          <w:tcPr>
            <w:tcW w:w="2566" w:type="dxa"/>
          </w:tcPr>
          <w:p>
            <w:pPr>
              <w:pStyle w:val="TableParagraph"/>
              <w:ind w:right="1055"/>
              <w:rPr>
                <w:sz w:val="31"/>
              </w:rPr>
            </w:pPr>
            <w:r>
              <w:rPr>
                <w:w w:val="102"/>
                <w:sz w:val="31"/>
              </w:rPr>
              <w:t>专</w:t>
            </w:r>
          </w:p>
        </w:tc>
        <w:tc>
          <w:tcPr>
            <w:tcW w:w="1424" w:type="dxa"/>
          </w:tcPr>
          <w:p>
            <w:pPr>
              <w:pStyle w:val="TableParagraph"/>
              <w:ind w:right="49"/>
              <w:rPr>
                <w:sz w:val="31"/>
              </w:rPr>
            </w:pPr>
            <w:r>
              <w:rPr>
                <w:w w:val="102"/>
                <w:sz w:val="31"/>
              </w:rPr>
              <w:t>监</w:t>
            </w:r>
          </w:p>
        </w:tc>
      </w:tr>
      <w:tr>
        <w:tblPrEx>
          <w:tblW w:w="0" w:type="auto"/>
          <w:jc w:val="left"/>
          <w:tblInd w:w="1614" w:type="dxa"/>
          <w:tblLayout w:type="fixed"/>
          <w:tblCellMar>
            <w:top w:w="0" w:type="dxa"/>
            <w:left w:w="0" w:type="dxa"/>
            <w:bottom w:w="0" w:type="dxa"/>
            <w:right w:w="0" w:type="dxa"/>
          </w:tblCellMar>
          <w:tblLook w:val="01E0"/>
        </w:tblPrEx>
        <w:trPr>
          <w:trHeight w:val="315"/>
          <w:jc w:val="left"/>
        </w:trPr>
        <w:tc>
          <w:tcPr>
            <w:tcW w:w="1559" w:type="dxa"/>
          </w:tcPr>
          <w:p>
            <w:pPr>
              <w:pStyle w:val="TableParagraph"/>
              <w:ind w:left="50"/>
              <w:jc w:val="left"/>
              <w:rPr>
                <w:sz w:val="31"/>
              </w:rPr>
            </w:pPr>
            <w:r>
              <w:rPr>
                <w:w w:val="102"/>
                <w:sz w:val="31"/>
              </w:rPr>
              <w:t>监</w:t>
            </w:r>
          </w:p>
        </w:tc>
        <w:tc>
          <w:tcPr>
            <w:tcW w:w="2566" w:type="dxa"/>
          </w:tcPr>
          <w:p>
            <w:pPr>
              <w:pStyle w:val="TableParagraph"/>
              <w:ind w:right="1055"/>
              <w:rPr>
                <w:sz w:val="31"/>
              </w:rPr>
            </w:pPr>
            <w:r>
              <w:rPr>
                <w:w w:val="102"/>
                <w:sz w:val="31"/>
              </w:rPr>
              <w:t>监</w:t>
            </w:r>
          </w:p>
        </w:tc>
        <w:tc>
          <w:tcPr>
            <w:tcW w:w="1424" w:type="dxa"/>
          </w:tcPr>
          <w:p>
            <w:pPr>
              <w:pStyle w:val="TableParagraph"/>
              <w:ind w:right="49"/>
              <w:rPr>
                <w:sz w:val="31"/>
              </w:rPr>
            </w:pPr>
            <w:r>
              <w:rPr>
                <w:w w:val="102"/>
                <w:sz w:val="31"/>
              </w:rPr>
              <w:t>理</w:t>
            </w:r>
          </w:p>
        </w:tc>
      </w:tr>
      <w:tr>
        <w:tblPrEx>
          <w:tblW w:w="0" w:type="auto"/>
          <w:jc w:val="left"/>
          <w:tblInd w:w="1614" w:type="dxa"/>
          <w:tblLayout w:type="fixed"/>
          <w:tblCellMar>
            <w:top w:w="0" w:type="dxa"/>
            <w:left w:w="0" w:type="dxa"/>
            <w:bottom w:w="0" w:type="dxa"/>
            <w:right w:w="0" w:type="dxa"/>
          </w:tblCellMar>
          <w:tblLook w:val="01E0"/>
        </w:tblPrEx>
        <w:trPr>
          <w:trHeight w:val="315"/>
          <w:jc w:val="left"/>
        </w:trPr>
        <w:tc>
          <w:tcPr>
            <w:tcW w:w="1559" w:type="dxa"/>
          </w:tcPr>
          <w:p>
            <w:pPr>
              <w:pStyle w:val="TableParagraph"/>
              <w:ind w:left="50"/>
              <w:jc w:val="left"/>
              <w:rPr>
                <w:sz w:val="31"/>
              </w:rPr>
            </w:pPr>
            <w:r>
              <w:rPr>
                <w:w w:val="102"/>
                <w:sz w:val="31"/>
              </w:rPr>
              <w:t>一</w:t>
            </w:r>
          </w:p>
        </w:tc>
        <w:tc>
          <w:tcPr>
            <w:tcW w:w="2566" w:type="dxa"/>
          </w:tcPr>
          <w:p>
            <w:pPr>
              <w:pStyle w:val="TableParagraph"/>
              <w:ind w:right="1055"/>
              <w:rPr>
                <w:sz w:val="31"/>
              </w:rPr>
            </w:pPr>
            <w:r>
              <w:rPr>
                <w:w w:val="102"/>
                <w:sz w:val="31"/>
              </w:rPr>
              <w:t>一</w:t>
            </w:r>
          </w:p>
        </w:tc>
        <w:tc>
          <w:tcPr>
            <w:tcW w:w="1424" w:type="dxa"/>
          </w:tcPr>
          <w:p>
            <w:pPr>
              <w:pStyle w:val="TableParagraph"/>
              <w:ind w:right="49"/>
              <w:rPr>
                <w:sz w:val="31"/>
              </w:rPr>
            </w:pPr>
            <w:r>
              <w:rPr>
                <w:w w:val="102"/>
                <w:sz w:val="31"/>
              </w:rPr>
              <w:t>员</w:t>
            </w:r>
          </w:p>
        </w:tc>
      </w:tr>
      <w:tr>
        <w:tblPrEx>
          <w:tblW w:w="0" w:type="auto"/>
          <w:jc w:val="left"/>
          <w:tblInd w:w="1614" w:type="dxa"/>
          <w:tblLayout w:type="fixed"/>
          <w:tblCellMar>
            <w:top w:w="0" w:type="dxa"/>
            <w:left w:w="0" w:type="dxa"/>
            <w:bottom w:w="0" w:type="dxa"/>
            <w:right w:w="0" w:type="dxa"/>
          </w:tblCellMar>
          <w:tblLook w:val="01E0"/>
        </w:tblPrEx>
        <w:trPr>
          <w:trHeight w:val="315"/>
          <w:jc w:val="left"/>
        </w:trPr>
        <w:tc>
          <w:tcPr>
            <w:tcW w:w="1559" w:type="dxa"/>
          </w:tcPr>
          <w:p>
            <w:pPr>
              <w:pStyle w:val="TableParagraph"/>
              <w:ind w:left="50"/>
              <w:jc w:val="left"/>
              <w:rPr>
                <w:sz w:val="31"/>
              </w:rPr>
            </w:pPr>
            <w:r>
              <w:rPr>
                <w:w w:val="102"/>
                <w:sz w:val="31"/>
              </w:rPr>
              <w:t>人</w:t>
            </w:r>
          </w:p>
        </w:tc>
        <w:tc>
          <w:tcPr>
            <w:tcW w:w="2566" w:type="dxa"/>
          </w:tcPr>
          <w:p>
            <w:pPr>
              <w:pStyle w:val="TableParagraph"/>
              <w:ind w:right="1055"/>
              <w:rPr>
                <w:sz w:val="31"/>
              </w:rPr>
            </w:pPr>
            <w:r>
              <w:rPr>
                <w:w w:val="102"/>
                <w:sz w:val="31"/>
              </w:rPr>
              <w:t>人</w:t>
            </w:r>
          </w:p>
        </w:tc>
        <w:tc>
          <w:tcPr>
            <w:tcW w:w="1424" w:type="dxa"/>
          </w:tcPr>
          <w:p>
            <w:pPr>
              <w:pStyle w:val="TableParagraph"/>
              <w:ind w:right="49"/>
              <w:rPr>
                <w:sz w:val="31"/>
              </w:rPr>
            </w:pPr>
            <w:r>
              <w:rPr>
                <w:w w:val="102"/>
                <w:sz w:val="31"/>
              </w:rPr>
              <w:t>一</w:t>
            </w:r>
          </w:p>
        </w:tc>
      </w:tr>
      <w:tr>
        <w:tblPrEx>
          <w:tblW w:w="0" w:type="auto"/>
          <w:jc w:val="left"/>
          <w:tblInd w:w="1614" w:type="dxa"/>
          <w:tblLayout w:type="fixed"/>
          <w:tblCellMar>
            <w:top w:w="0" w:type="dxa"/>
            <w:left w:w="0" w:type="dxa"/>
            <w:bottom w:w="0" w:type="dxa"/>
            <w:right w:w="0" w:type="dxa"/>
          </w:tblCellMar>
          <w:tblLook w:val="01E0"/>
        </w:tblPrEx>
        <w:trPr>
          <w:trHeight w:val="291"/>
          <w:jc w:val="left"/>
        </w:trPr>
        <w:tc>
          <w:tcPr>
            <w:tcW w:w="1559" w:type="dxa"/>
          </w:tcPr>
          <w:p>
            <w:pPr>
              <w:pStyle w:val="TableParagraph"/>
              <w:spacing w:line="240" w:lineRule="auto"/>
              <w:jc w:val="left"/>
              <w:rPr>
                <w:rFonts w:ascii="Times New Roman"/>
                <w:sz w:val="20"/>
              </w:rPr>
            </w:pPr>
          </w:p>
        </w:tc>
        <w:tc>
          <w:tcPr>
            <w:tcW w:w="2566" w:type="dxa"/>
          </w:tcPr>
          <w:p>
            <w:pPr>
              <w:pStyle w:val="TableParagraph"/>
              <w:spacing w:line="240" w:lineRule="auto"/>
              <w:jc w:val="left"/>
              <w:rPr>
                <w:rFonts w:ascii="Times New Roman"/>
                <w:sz w:val="20"/>
              </w:rPr>
            </w:pPr>
          </w:p>
        </w:tc>
        <w:tc>
          <w:tcPr>
            <w:tcW w:w="1424" w:type="dxa"/>
          </w:tcPr>
          <w:p>
            <w:pPr>
              <w:pStyle w:val="TableParagraph"/>
              <w:spacing w:line="272" w:lineRule="exact"/>
              <w:ind w:right="49"/>
              <w:rPr>
                <w:sz w:val="31"/>
              </w:rPr>
            </w:pPr>
            <w:r>
              <w:rPr>
                <w:w w:val="102"/>
                <w:sz w:val="31"/>
              </w:rPr>
              <w:t>人</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before="179"/>
      </w:pPr>
      <w:bookmarkStart w:id="5" w:name="_TOC_250006"/>
      <w:bookmarkEnd w:id="5"/>
      <w:r>
        <w:t>七、项目监理机构的人员配备计划</w:t>
      </w:r>
    </w:p>
    <w:p>
      <w:pPr>
        <w:pStyle w:val="BodyText"/>
        <w:spacing w:before="6"/>
        <w:rPr>
          <w:rFonts w:ascii="幼圆"/>
          <w:sz w:val="31"/>
        </w:rPr>
      </w:pPr>
    </w:p>
    <w:p>
      <w:pPr>
        <w:pStyle w:val="BodyText"/>
        <w:spacing w:line="417" w:lineRule="auto"/>
        <w:ind w:left="120" w:right="1397" w:firstLine="723"/>
        <w:jc w:val="both"/>
      </w:pPr>
      <w:r>
        <w:rPr>
          <w:spacing w:val="-1"/>
        </w:rPr>
        <w:t>为严格履行委托监理合同约定的监理工作，根据该工程类别、服务内</w:t>
      </w:r>
      <w:r>
        <w:rPr>
          <w:spacing w:val="-12"/>
        </w:rPr>
        <w:t>容，我公司任命本工程项目总监理工程师１名，同时将根据各施工阶段工</w:t>
      </w:r>
      <w:r>
        <w:rPr>
          <w:spacing w:val="-19"/>
        </w:rPr>
        <w:t xml:space="preserve">作的需要，适时拟派专业监理工程师 </w:t>
      </w:r>
      <w:r>
        <w:rPr>
          <w:rFonts w:ascii="Arial" w:eastAsia="Arial"/>
        </w:rPr>
        <w:t xml:space="preserve">1 </w:t>
      </w:r>
      <w:r>
        <w:rPr>
          <w:spacing w:val="-30"/>
        </w:rPr>
        <w:t xml:space="preserve">名，监理员 </w:t>
      </w:r>
      <w:r>
        <w:rPr>
          <w:rFonts w:ascii="Arial" w:eastAsia="Arial"/>
        </w:rPr>
        <w:t xml:space="preserve">2 </w:t>
      </w:r>
      <w:r>
        <w:t>名以适应施工各阶段监理工作的需要。</w:t>
      </w:r>
    </w:p>
    <w:p>
      <w:pPr>
        <w:spacing w:after="0" w:line="417" w:lineRule="auto"/>
        <w:jc w:val="both"/>
        <w:sectPr>
          <w:pgSz w:w="17860" w:h="25260"/>
          <w:pgMar w:top="2420" w:right="940" w:bottom="280" w:left="2040" w:header="708" w:footer="708"/>
          <w:pgNumType w:start="14"/>
          <w:cols w:space="708"/>
        </w:sectPr>
      </w:pPr>
    </w:p>
    <w:p>
      <w:pPr>
        <w:pStyle w:val="BodyText"/>
        <w:rPr>
          <w:sz w:val="20"/>
        </w:rPr>
      </w:pPr>
    </w:p>
    <w:p>
      <w:pPr>
        <w:pStyle w:val="BodyText"/>
        <w:spacing w:before="6"/>
        <w:rPr>
          <w:sz w:val="15"/>
        </w:rPr>
      </w:pPr>
    </w:p>
    <w:p>
      <w:pPr>
        <w:pStyle w:val="BodyText"/>
        <w:spacing w:before="42"/>
        <w:ind w:left="657"/>
      </w:pPr>
      <w:r>
        <w:t>人员岗位分工见下表：</w:t>
      </w:r>
    </w:p>
    <w:p>
      <w:pPr>
        <w:pStyle w:val="BodyText"/>
        <w:rPr>
          <w:sz w:val="20"/>
        </w:rPr>
      </w:pPr>
    </w:p>
    <w:p>
      <w:pPr>
        <w:pStyle w:val="BodyText"/>
        <w:rPr>
          <w:sz w:val="15"/>
        </w:rPr>
      </w:pPr>
      <w:r>
        <w:pict>
          <v:group id="_x0000_s1059" style="width:678pt;height:318pt;margin-top:11.58pt;margin-left:116pt;mso-position-horizontal-relative:page;mso-wrap-distance-left:0;mso-wrap-distance-right:0;position:absolute;z-index:-251656192" coordorigin="2320,232" coordsize="13560,6360">
            <v:shape id="_x0000_s1060" type="#_x0000_t75" style="width:13560;height:6360;left:2320;position:absolute;top:231" stroked="f">
              <v:imagedata r:id="rId6" o:title=""/>
            </v:shape>
            <v:shape id="_x0000_s1061" type="#_x0000_t202" style="width:920;height:360;left:2697;position:absolute;top:758" filled="f" stroked="f">
              <v:textbox inset="0,0,0,0">
                <w:txbxContent>
                  <w:p>
                    <w:pPr>
                      <w:spacing w:before="0" w:line="360" w:lineRule="exact"/>
                      <w:ind w:left="0" w:right="0" w:firstLine="0"/>
                      <w:jc w:val="left"/>
                      <w:rPr>
                        <w:sz w:val="36"/>
                      </w:rPr>
                    </w:pPr>
                    <w:r>
                      <w:rPr>
                        <w:sz w:val="36"/>
                      </w:rPr>
                      <w:t>姓 名</w:t>
                    </w:r>
                  </w:p>
                </w:txbxContent>
              </v:textbox>
            </v:shape>
            <v:shape id="_x0000_s1062" type="#_x0000_t202" style="width:920;height:360;left:4450;position:absolute;top:758" filled="f" stroked="f">
              <v:textbox inset="0,0,0,0">
                <w:txbxContent>
                  <w:p>
                    <w:pPr>
                      <w:spacing w:before="0" w:line="360" w:lineRule="exact"/>
                      <w:ind w:left="0" w:right="0" w:firstLine="0"/>
                      <w:jc w:val="left"/>
                      <w:rPr>
                        <w:sz w:val="36"/>
                      </w:rPr>
                    </w:pPr>
                    <w:r>
                      <w:rPr>
                        <w:sz w:val="36"/>
                      </w:rPr>
                      <w:t>专 业</w:t>
                    </w:r>
                  </w:p>
                </w:txbxContent>
              </v:textbox>
            </v:shape>
            <v:shape id="_x0000_s1063" type="#_x0000_t202" style="width:1100;height:360;left:6424;position:absolute;top:758" filled="f" stroked="f">
              <v:textbox inset="0,0,0,0">
                <w:txbxContent>
                  <w:p>
                    <w:pPr>
                      <w:tabs>
                        <w:tab w:val="left" w:pos="719"/>
                      </w:tabs>
                      <w:spacing w:before="0" w:line="360" w:lineRule="exact"/>
                      <w:ind w:left="0" w:right="0" w:firstLine="0"/>
                      <w:jc w:val="left"/>
                      <w:rPr>
                        <w:sz w:val="36"/>
                      </w:rPr>
                    </w:pPr>
                    <w:r>
                      <w:rPr>
                        <w:sz w:val="36"/>
                      </w:rPr>
                      <w:t>职</w:t>
                      <w:tab/>
                      <w:t>称</w:t>
                    </w:r>
                  </w:p>
                </w:txbxContent>
              </v:textbox>
            </v:shape>
            <v:shape id="_x0000_s1064" type="#_x0000_t202" style="width:1460;height:360;left:8807;position:absolute;top:758" filled="f" stroked="f">
              <v:textbox inset="0,0,0,0">
                <w:txbxContent>
                  <w:p>
                    <w:pPr>
                      <w:spacing w:before="0" w:line="360" w:lineRule="exact"/>
                      <w:ind w:left="0" w:right="0" w:firstLine="0"/>
                      <w:jc w:val="left"/>
                      <w:rPr>
                        <w:sz w:val="36"/>
                      </w:rPr>
                    </w:pPr>
                    <w:r>
                      <w:rPr>
                        <w:sz w:val="36"/>
                      </w:rPr>
                      <w:t>监理职务</w:t>
                    </w:r>
                  </w:p>
                </w:txbxContent>
              </v:textbox>
            </v:shape>
            <v:shape id="_x0000_s1065" type="#_x0000_t202" style="width:3980;height:360;left:11428;position:absolute;top:758" filled="f" stroked="f">
              <v:textbox inset="0,0,0,0">
                <w:txbxContent>
                  <w:p>
                    <w:pPr>
                      <w:spacing w:before="0" w:line="360" w:lineRule="exact"/>
                      <w:ind w:left="0" w:right="0" w:firstLine="0"/>
                      <w:jc w:val="left"/>
                      <w:rPr>
                        <w:sz w:val="36"/>
                      </w:rPr>
                    </w:pPr>
                    <w:r>
                      <w:rPr>
                        <w:sz w:val="36"/>
                      </w:rPr>
                      <w:t>执业资格或岗位证书编号</w:t>
                    </w:r>
                  </w:p>
                </w:txbxContent>
              </v:textbox>
            </v:shape>
            <v:shape id="_x0000_s1066" type="#_x0000_t202" style="width:1100;height:360;left:2607;position:absolute;top:2036" filled="f" stroked="f">
              <v:textbox inset="0,0,0,0">
                <w:txbxContent>
                  <w:p>
                    <w:pPr>
                      <w:spacing w:before="0" w:line="360" w:lineRule="exact"/>
                      <w:ind w:left="0" w:right="0" w:firstLine="0"/>
                      <w:jc w:val="left"/>
                      <w:rPr>
                        <w:sz w:val="36"/>
                      </w:rPr>
                    </w:pPr>
                    <w:r>
                      <w:rPr>
                        <w:sz w:val="36"/>
                      </w:rPr>
                      <w:t>叶正洪</w:t>
                    </w:r>
                  </w:p>
                </w:txbxContent>
              </v:textbox>
            </v:shape>
            <v:shape id="_x0000_s1067" type="#_x0000_t202" style="width:740;height:360;left:4540;position:absolute;top:2036" filled="f" stroked="f">
              <v:textbox inset="0,0,0,0">
                <w:txbxContent>
                  <w:p>
                    <w:pPr>
                      <w:spacing w:before="0" w:line="360" w:lineRule="exact"/>
                      <w:ind w:left="0" w:right="0" w:firstLine="0"/>
                      <w:jc w:val="left"/>
                      <w:rPr>
                        <w:sz w:val="36"/>
                      </w:rPr>
                    </w:pPr>
                    <w:r>
                      <w:rPr>
                        <w:sz w:val="36"/>
                      </w:rPr>
                      <w:t>土建</w:t>
                    </w:r>
                  </w:p>
                </w:txbxContent>
              </v:textbox>
            </v:shape>
            <v:shape id="_x0000_s1068" type="#_x0000_t202" style="width:1100;height:360;left:6424;position:absolute;top:2036" filled="f" stroked="f">
              <v:textbox inset="0,0,0,0">
                <w:txbxContent>
                  <w:p>
                    <w:pPr>
                      <w:spacing w:before="0" w:line="360" w:lineRule="exact"/>
                      <w:ind w:left="0" w:right="0" w:firstLine="0"/>
                      <w:jc w:val="left"/>
                      <w:rPr>
                        <w:sz w:val="36"/>
                      </w:rPr>
                    </w:pPr>
                    <w:r>
                      <w:rPr>
                        <w:sz w:val="36"/>
                      </w:rPr>
                      <w:t>工程师</w:t>
                    </w:r>
                  </w:p>
                </w:txbxContent>
              </v:textbox>
            </v:shape>
            <v:shape id="_x0000_s1069" type="#_x0000_t202" style="width:2180;height:360;left:8447;position:absolute;top:2036" filled="f" stroked="f">
              <v:textbox inset="0,0,0,0">
                <w:txbxContent>
                  <w:p>
                    <w:pPr>
                      <w:spacing w:before="0" w:line="360" w:lineRule="exact"/>
                      <w:ind w:left="0" w:right="0" w:firstLine="0"/>
                      <w:jc w:val="left"/>
                      <w:rPr>
                        <w:sz w:val="36"/>
                      </w:rPr>
                    </w:pPr>
                    <w:r>
                      <w:rPr>
                        <w:sz w:val="36"/>
                      </w:rPr>
                      <w:t>总监理工程师</w:t>
                    </w:r>
                  </w:p>
                </w:txbxContent>
              </v:textbox>
            </v:shape>
            <v:shape id="_x0000_s1070" type="#_x0000_t202" style="width:1280;height:360;left:12778;position:absolute;top:2036" filled="f" stroked="f">
              <v:textbox inset="0,0,0,0">
                <w:txbxContent>
                  <w:p>
                    <w:pPr>
                      <w:spacing w:before="0" w:line="360" w:lineRule="exact"/>
                      <w:ind w:left="0" w:right="0" w:firstLine="0"/>
                      <w:jc w:val="left"/>
                      <w:rPr>
                        <w:sz w:val="36"/>
                      </w:rPr>
                    </w:pPr>
                    <w:r>
                      <w:rPr>
                        <w:sz w:val="36"/>
                      </w:rPr>
                      <w:t>0120480</w:t>
                    </w:r>
                  </w:p>
                </w:txbxContent>
              </v:textbox>
            </v:shape>
            <v:shape id="_x0000_s1071" type="#_x0000_t202" style="width:740;height:360;left:2787;position:absolute;top:2961" filled="f" stroked="f">
              <v:textbox inset="0,0,0,0">
                <w:txbxContent>
                  <w:p>
                    <w:pPr>
                      <w:spacing w:before="0" w:line="360" w:lineRule="exact"/>
                      <w:ind w:left="0" w:right="0" w:firstLine="0"/>
                      <w:jc w:val="left"/>
                      <w:rPr>
                        <w:sz w:val="36"/>
                      </w:rPr>
                    </w:pPr>
                    <w:r>
                      <w:rPr>
                        <w:sz w:val="36"/>
                      </w:rPr>
                      <w:t>郭猛</w:t>
                    </w:r>
                  </w:p>
                </w:txbxContent>
              </v:textbox>
            </v:shape>
            <v:shape id="_x0000_s1072" type="#_x0000_t202" style="width:740;height:360;left:4540;position:absolute;top:2961" filled="f" stroked="f">
              <v:textbox inset="0,0,0,0">
                <w:txbxContent>
                  <w:p>
                    <w:pPr>
                      <w:spacing w:before="0" w:line="360" w:lineRule="exact"/>
                      <w:ind w:left="0" w:right="0" w:firstLine="0"/>
                      <w:jc w:val="left"/>
                      <w:rPr>
                        <w:sz w:val="36"/>
                      </w:rPr>
                    </w:pPr>
                    <w:r>
                      <w:rPr>
                        <w:sz w:val="36"/>
                      </w:rPr>
                      <w:t>土建</w:t>
                    </w:r>
                  </w:p>
                </w:txbxContent>
              </v:textbox>
            </v:shape>
            <v:shape id="_x0000_s1073" type="#_x0000_t202" style="width:1100;height:360;left:6424;position:absolute;top:2961" filled="f" stroked="f">
              <v:textbox inset="0,0,0,0">
                <w:txbxContent>
                  <w:p>
                    <w:pPr>
                      <w:spacing w:before="0" w:line="360" w:lineRule="exact"/>
                      <w:ind w:left="0" w:right="0" w:firstLine="0"/>
                      <w:jc w:val="left"/>
                      <w:rPr>
                        <w:sz w:val="36"/>
                      </w:rPr>
                    </w:pPr>
                    <w:r>
                      <w:rPr>
                        <w:sz w:val="36"/>
                      </w:rPr>
                      <w:t>工程师</w:t>
                    </w:r>
                  </w:p>
                </w:txbxContent>
              </v:textbox>
            </v:shape>
            <v:shape id="_x0000_s1074" type="#_x0000_t202" style="width:2238;height:317;left:8425;position:absolute;top:3136" filled="f" stroked="f">
              <v:textbox inset="0,0,0,0">
                <w:txbxContent>
                  <w:p>
                    <w:pPr>
                      <w:spacing w:before="0" w:line="317" w:lineRule="exact"/>
                      <w:ind w:left="0" w:right="0" w:firstLine="0"/>
                      <w:jc w:val="left"/>
                      <w:rPr>
                        <w:sz w:val="31"/>
                      </w:rPr>
                    </w:pPr>
                    <w:r>
                      <w:rPr>
                        <w:sz w:val="31"/>
                      </w:rPr>
                      <w:t>专业监理工程师</w:t>
                    </w:r>
                  </w:p>
                </w:txbxContent>
              </v:textbox>
            </v:shape>
            <v:shape id="_x0000_s1075" type="#_x0000_t202" style="width:3981;height:360;left:11428;position:absolute;top:2961" filled="f" stroked="f">
              <v:textbox inset="0,0,0,0">
                <w:txbxContent>
                  <w:p>
                    <w:pPr>
                      <w:spacing w:before="0" w:line="360" w:lineRule="exact"/>
                      <w:ind w:left="0" w:right="0" w:firstLine="0"/>
                      <w:jc w:val="left"/>
                      <w:rPr>
                        <w:sz w:val="36"/>
                      </w:rPr>
                    </w:pPr>
                    <w:r>
                      <w:rPr>
                        <w:spacing w:val="-13"/>
                        <w:sz w:val="36"/>
                      </w:rPr>
                      <w:t xml:space="preserve">榕建监岗字第 </w:t>
                    </w:r>
                    <w:r>
                      <w:rPr>
                        <w:sz w:val="36"/>
                      </w:rPr>
                      <w:t>0903239</w:t>
                    </w:r>
                    <w:r>
                      <w:rPr>
                        <w:spacing w:val="-45"/>
                        <w:sz w:val="36"/>
                      </w:rPr>
                      <w:t xml:space="preserve"> 号</w:t>
                    </w:r>
                  </w:p>
                </w:txbxContent>
              </v:textbox>
            </v:shape>
            <v:shape id="_x0000_s1076" type="#_x0000_t202" style="width:1100;height:360;left:2607;position:absolute;top:3905" filled="f" stroked="f">
              <v:textbox inset="0,0,0,0">
                <w:txbxContent>
                  <w:p>
                    <w:pPr>
                      <w:spacing w:before="0" w:line="360" w:lineRule="exact"/>
                      <w:ind w:left="0" w:right="0" w:firstLine="0"/>
                      <w:jc w:val="left"/>
                      <w:rPr>
                        <w:sz w:val="36"/>
                      </w:rPr>
                    </w:pPr>
                    <w:r>
                      <w:rPr>
                        <w:sz w:val="36"/>
                      </w:rPr>
                      <w:t>肖信有</w:t>
                    </w:r>
                  </w:p>
                </w:txbxContent>
              </v:textbox>
            </v:shape>
            <v:shape id="_x0000_s1077" type="#_x0000_t202" style="width:740;height:360;left:4540;position:absolute;top:3905" filled="f" stroked="f">
              <v:textbox inset="0,0,0,0">
                <w:txbxContent>
                  <w:p>
                    <w:pPr>
                      <w:spacing w:before="0" w:line="360" w:lineRule="exact"/>
                      <w:ind w:left="0" w:right="0" w:firstLine="0"/>
                      <w:jc w:val="left"/>
                      <w:rPr>
                        <w:sz w:val="36"/>
                      </w:rPr>
                    </w:pPr>
                    <w:r>
                      <w:rPr>
                        <w:sz w:val="36"/>
                      </w:rPr>
                      <w:t>水电</w:t>
                    </w:r>
                  </w:p>
                </w:txbxContent>
              </v:textbox>
            </v:shape>
            <v:shape id="_x0000_s1078" type="#_x0000_t202" style="width:971;height:317;left:6488;position:absolute;top:4080" filled="f" stroked="f">
              <v:textbox inset="0,0,0,0">
                <w:txbxContent>
                  <w:p>
                    <w:pPr>
                      <w:spacing w:before="0" w:line="317" w:lineRule="exact"/>
                      <w:ind w:left="0" w:right="0" w:firstLine="0"/>
                      <w:jc w:val="left"/>
                      <w:rPr>
                        <w:sz w:val="31"/>
                      </w:rPr>
                    </w:pPr>
                    <w:r>
                      <w:rPr>
                        <w:sz w:val="31"/>
                      </w:rPr>
                      <w:t>工程师</w:t>
                    </w:r>
                  </w:p>
                </w:txbxContent>
              </v:textbox>
            </v:shape>
            <v:shape id="_x0000_s1079" type="#_x0000_t202" style="width:2238;height:317;left:8425;position:absolute;top:4080" filled="f" stroked="f">
              <v:textbox inset="0,0,0,0">
                <w:txbxContent>
                  <w:p>
                    <w:pPr>
                      <w:spacing w:before="0" w:line="317" w:lineRule="exact"/>
                      <w:ind w:left="0" w:right="0" w:firstLine="0"/>
                      <w:jc w:val="left"/>
                      <w:rPr>
                        <w:sz w:val="31"/>
                      </w:rPr>
                    </w:pPr>
                    <w:r>
                      <w:rPr>
                        <w:sz w:val="31"/>
                      </w:rPr>
                      <w:t>专业监理工程师</w:t>
                    </w:r>
                  </w:p>
                </w:txbxContent>
              </v:textbox>
            </v:shape>
            <v:shape id="_x0000_s1080" type="#_x0000_t202" style="width:3981;height:360;left:11428;position:absolute;top:3905" filled="f" stroked="f">
              <v:textbox inset="0,0,0,0">
                <w:txbxContent>
                  <w:p>
                    <w:pPr>
                      <w:spacing w:before="0" w:line="360" w:lineRule="exact"/>
                      <w:ind w:left="0" w:right="0" w:firstLine="0"/>
                      <w:jc w:val="left"/>
                      <w:rPr>
                        <w:sz w:val="36"/>
                      </w:rPr>
                    </w:pPr>
                    <w:r>
                      <w:rPr>
                        <w:spacing w:val="-13"/>
                        <w:sz w:val="36"/>
                      </w:rPr>
                      <w:t xml:space="preserve">榕建监岗字第 </w:t>
                    </w:r>
                    <w:r>
                      <w:rPr>
                        <w:sz w:val="36"/>
                      </w:rPr>
                      <w:t>1009263</w:t>
                    </w:r>
                    <w:r>
                      <w:rPr>
                        <w:spacing w:val="-45"/>
                        <w:sz w:val="36"/>
                      </w:rPr>
                      <w:t xml:space="preserve"> 号</w:t>
                    </w:r>
                  </w:p>
                </w:txbxContent>
              </v:textbox>
            </v:shape>
            <v:shape id="_x0000_s1081" type="#_x0000_t202" style="width:1100;height:360;left:2607;position:absolute;top:4830" filled="f" stroked="f">
              <v:textbox inset="0,0,0,0">
                <w:txbxContent>
                  <w:p>
                    <w:pPr>
                      <w:spacing w:before="0" w:line="360" w:lineRule="exact"/>
                      <w:ind w:left="0" w:right="0" w:firstLine="0"/>
                      <w:jc w:val="left"/>
                      <w:rPr>
                        <w:sz w:val="36"/>
                      </w:rPr>
                    </w:pPr>
                    <w:r>
                      <w:rPr>
                        <w:sz w:val="36"/>
                      </w:rPr>
                      <w:t>赵彦星</w:t>
                    </w:r>
                  </w:p>
                </w:txbxContent>
              </v:textbox>
            </v:shape>
            <v:shape id="_x0000_s1082" type="#_x0000_t202" style="width:740;height:360;left:4540;position:absolute;top:4830" filled="f" stroked="f">
              <v:textbox inset="0,0,0,0">
                <w:txbxContent>
                  <w:p>
                    <w:pPr>
                      <w:spacing w:before="0" w:line="360" w:lineRule="exact"/>
                      <w:ind w:left="0" w:right="0" w:firstLine="0"/>
                      <w:jc w:val="left"/>
                      <w:rPr>
                        <w:sz w:val="36"/>
                      </w:rPr>
                    </w:pPr>
                    <w:r>
                      <w:rPr>
                        <w:sz w:val="36"/>
                      </w:rPr>
                      <w:t>装饰</w:t>
                    </w:r>
                  </w:p>
                </w:txbxContent>
              </v:textbox>
            </v:shape>
            <v:shape id="_x0000_s1083" type="#_x0000_t202" style="width:971;height:317;left:6488;position:absolute;top:5009" filled="f" stroked="f">
              <v:textbox inset="0,0,0,0">
                <w:txbxContent>
                  <w:p>
                    <w:pPr>
                      <w:spacing w:before="0" w:line="317" w:lineRule="exact"/>
                      <w:ind w:left="0" w:right="0" w:firstLine="0"/>
                      <w:jc w:val="left"/>
                      <w:rPr>
                        <w:sz w:val="31"/>
                      </w:rPr>
                    </w:pPr>
                    <w:r>
                      <w:rPr>
                        <w:sz w:val="31"/>
                      </w:rPr>
                      <w:t>工程师</w:t>
                    </w:r>
                  </w:p>
                </w:txbxContent>
              </v:textbox>
            </v:shape>
            <v:shape id="_x0000_s1084" type="#_x0000_t202" style="width:2238;height:317;left:8425;position:absolute;top:5009" filled="f" stroked="f">
              <v:textbox inset="0,0,0,0">
                <w:txbxContent>
                  <w:p>
                    <w:pPr>
                      <w:spacing w:before="0" w:line="317" w:lineRule="exact"/>
                      <w:ind w:left="0" w:right="0" w:firstLine="0"/>
                      <w:jc w:val="left"/>
                      <w:rPr>
                        <w:sz w:val="31"/>
                      </w:rPr>
                    </w:pPr>
                    <w:r>
                      <w:rPr>
                        <w:sz w:val="31"/>
                      </w:rPr>
                      <w:t>专业监理工程师</w:t>
                    </w:r>
                  </w:p>
                </w:txbxContent>
              </v:textbox>
            </v:shape>
            <v:shape id="_x0000_s1085" type="#_x0000_t202" style="width:3981;height:360;left:11428;position:absolute;top:4830" filled="f" stroked="f">
              <v:textbox inset="0,0,0,0">
                <w:txbxContent>
                  <w:p>
                    <w:pPr>
                      <w:spacing w:before="0" w:line="360" w:lineRule="exact"/>
                      <w:ind w:left="0" w:right="0" w:firstLine="0"/>
                      <w:jc w:val="left"/>
                      <w:rPr>
                        <w:sz w:val="36"/>
                      </w:rPr>
                    </w:pPr>
                    <w:r>
                      <w:rPr>
                        <w:spacing w:val="-13"/>
                        <w:sz w:val="36"/>
                      </w:rPr>
                      <w:t xml:space="preserve">榕建监岗字第 </w:t>
                    </w:r>
                    <w:r>
                      <w:rPr>
                        <w:sz w:val="36"/>
                      </w:rPr>
                      <w:t>0800938</w:t>
                    </w:r>
                    <w:r>
                      <w:rPr>
                        <w:spacing w:val="-45"/>
                        <w:sz w:val="36"/>
                      </w:rPr>
                      <w:t xml:space="preserve"> 号</w:t>
                    </w:r>
                  </w:p>
                </w:txbxContent>
              </v:textbox>
            </v:shape>
            <v:shape id="_x0000_s1086" type="#_x0000_t202" style="width:1100;height:360;left:2607;position:absolute;top:5759" filled="f" stroked="f">
              <v:textbox inset="0,0,0,0">
                <w:txbxContent>
                  <w:p>
                    <w:pPr>
                      <w:spacing w:before="0" w:line="360" w:lineRule="exact"/>
                      <w:ind w:left="0" w:right="0" w:firstLine="0"/>
                      <w:jc w:val="left"/>
                      <w:rPr>
                        <w:sz w:val="36"/>
                      </w:rPr>
                    </w:pPr>
                    <w:r>
                      <w:rPr>
                        <w:sz w:val="36"/>
                      </w:rPr>
                      <w:t>黄长健</w:t>
                    </w:r>
                  </w:p>
                </w:txbxContent>
              </v:textbox>
            </v:shape>
            <v:shape id="_x0000_s1087" type="#_x0000_t202" style="width:740;height:360;left:4540;position:absolute;top:5759" filled="f" stroked="f">
              <v:textbox inset="0,0,0,0">
                <w:txbxContent>
                  <w:p>
                    <w:pPr>
                      <w:spacing w:before="0" w:line="360" w:lineRule="exact"/>
                      <w:ind w:left="0" w:right="0" w:firstLine="0"/>
                      <w:jc w:val="left"/>
                      <w:rPr>
                        <w:sz w:val="36"/>
                      </w:rPr>
                    </w:pPr>
                    <w:r>
                      <w:rPr>
                        <w:sz w:val="36"/>
                      </w:rPr>
                      <w:t>土建</w:t>
                    </w:r>
                  </w:p>
                </w:txbxContent>
              </v:textbox>
            </v:shape>
            <v:shape id="_x0000_s1088" type="#_x0000_t202" style="width:971;height:317;left:6488;position:absolute;top:5938" filled="f" stroked="f">
              <v:textbox inset="0,0,0,0">
                <w:txbxContent>
                  <w:p>
                    <w:pPr>
                      <w:spacing w:before="0" w:line="317" w:lineRule="exact"/>
                      <w:ind w:left="0" w:right="0" w:firstLine="0"/>
                      <w:jc w:val="left"/>
                      <w:rPr>
                        <w:sz w:val="31"/>
                      </w:rPr>
                    </w:pPr>
                    <w:r>
                      <w:rPr>
                        <w:sz w:val="31"/>
                      </w:rPr>
                      <w:t>技术员</w:t>
                    </w:r>
                  </w:p>
                </w:txbxContent>
              </v:textbox>
            </v:shape>
            <v:shape id="_x0000_s1089" type="#_x0000_t202" style="width:971;height:317;left:9055;position:absolute;top:5938" filled="f" stroked="f">
              <v:textbox inset="0,0,0,0">
                <w:txbxContent>
                  <w:p>
                    <w:pPr>
                      <w:spacing w:before="0" w:line="317" w:lineRule="exact"/>
                      <w:ind w:left="0" w:right="0" w:firstLine="0"/>
                      <w:jc w:val="left"/>
                      <w:rPr>
                        <w:sz w:val="31"/>
                      </w:rPr>
                    </w:pPr>
                    <w:r>
                      <w:rPr>
                        <w:sz w:val="31"/>
                      </w:rPr>
                      <w:t>监理员</w:t>
                    </w:r>
                  </w:p>
                </w:txbxContent>
              </v:textbox>
            </v:shape>
            <v:shape id="_x0000_s1090" type="#_x0000_t202" style="width:3981;height:360;left:11428;position:absolute;top:5759" filled="f" stroked="f">
              <v:textbox inset="0,0,0,0">
                <w:txbxContent>
                  <w:p>
                    <w:pPr>
                      <w:spacing w:before="0" w:line="360" w:lineRule="exact"/>
                      <w:ind w:left="0" w:right="0" w:firstLine="0"/>
                      <w:jc w:val="left"/>
                      <w:rPr>
                        <w:sz w:val="36"/>
                      </w:rPr>
                    </w:pPr>
                    <w:r>
                      <w:rPr>
                        <w:spacing w:val="-13"/>
                        <w:sz w:val="36"/>
                      </w:rPr>
                      <w:t xml:space="preserve">榕建监岗字第 </w:t>
                    </w:r>
                    <w:r>
                      <w:rPr>
                        <w:sz w:val="36"/>
                      </w:rPr>
                      <w:t>1008420</w:t>
                    </w:r>
                    <w:r>
                      <w:rPr>
                        <w:spacing w:val="-45"/>
                        <w:sz w:val="36"/>
                      </w:rPr>
                      <w:t xml:space="preserve"> 号</w:t>
                    </w:r>
                  </w:p>
                </w:txbxContent>
              </v:textbox>
            </v:shape>
            <w10:wrap type="topAndBottom"/>
          </v:group>
        </w:pict>
      </w:r>
    </w:p>
    <w:p>
      <w:pPr>
        <w:pStyle w:val="BodyText"/>
        <w:rPr>
          <w:sz w:val="20"/>
        </w:rPr>
      </w:pPr>
    </w:p>
    <w:p>
      <w:pPr>
        <w:pStyle w:val="BodyText"/>
        <w:rPr>
          <w:sz w:val="20"/>
        </w:rPr>
      </w:pPr>
    </w:p>
    <w:p>
      <w:pPr>
        <w:pStyle w:val="BodyText"/>
        <w:rPr>
          <w:sz w:val="20"/>
        </w:rPr>
      </w:pPr>
    </w:p>
    <w:p>
      <w:pPr>
        <w:pStyle w:val="Heading1"/>
        <w:spacing w:before="197"/>
      </w:pPr>
      <w:bookmarkStart w:id="6" w:name="_TOC_250005"/>
      <w:bookmarkEnd w:id="6"/>
      <w:r>
        <w:t>八、项目监理机构的人员岗位职责</w:t>
      </w:r>
    </w:p>
    <w:p>
      <w:pPr>
        <w:pStyle w:val="BodyText"/>
        <w:spacing w:before="6"/>
        <w:rPr>
          <w:rFonts w:ascii="幼圆"/>
          <w:sz w:val="31"/>
        </w:rPr>
      </w:pPr>
    </w:p>
    <w:p>
      <w:pPr>
        <w:pStyle w:val="BodyText"/>
        <w:ind w:left="120"/>
      </w:pPr>
      <w:r>
        <w:t>（一）总监理工程师职责</w:t>
      </w:r>
    </w:p>
    <w:p>
      <w:pPr>
        <w:pStyle w:val="BodyText"/>
        <w:spacing w:before="1"/>
        <w:rPr>
          <w:sz w:val="31"/>
        </w:rPr>
      </w:pPr>
    </w:p>
    <w:p>
      <w:pPr>
        <w:pStyle w:val="BodyText"/>
        <w:ind w:left="959"/>
      </w:pPr>
      <w:r>
        <w:rPr>
          <w:rFonts w:ascii="Arial" w:eastAsia="Arial"/>
        </w:rPr>
        <w:t>1</w:t>
      </w:r>
      <w:r>
        <w:t>、明确监理人员的分工和岗位职责；</w:t>
      </w:r>
    </w:p>
    <w:p>
      <w:pPr>
        <w:pStyle w:val="BodyText"/>
        <w:spacing w:before="398" w:line="417" w:lineRule="auto"/>
        <w:ind w:left="117" w:right="1487" w:firstLine="842"/>
      </w:pPr>
      <w:r>
        <w:rPr>
          <w:rFonts w:ascii="Arial" w:eastAsia="Arial"/>
        </w:rPr>
        <w:t>2</w:t>
      </w:r>
      <w:r>
        <w:t>、主持编写项目监理规划，审批项目监理实施细则，负责日常工作的管理；</w:t>
      </w:r>
    </w:p>
    <w:p>
      <w:pPr>
        <w:pStyle w:val="BodyText"/>
        <w:spacing w:line="537" w:lineRule="exact"/>
        <w:ind w:left="959"/>
      </w:pPr>
      <w:r>
        <w:rPr>
          <w:rFonts w:ascii="Arial" w:eastAsia="Arial"/>
        </w:rPr>
        <w:t>3</w:t>
      </w:r>
      <w:r>
        <w:t>、审查分包单位的资质，提出审查意见；</w:t>
      </w:r>
    </w:p>
    <w:p>
      <w:pPr>
        <w:pStyle w:val="BodyText"/>
        <w:spacing w:before="398" w:line="417" w:lineRule="auto"/>
        <w:ind w:left="117" w:right="1487" w:firstLine="842"/>
      </w:pPr>
      <w:r>
        <w:rPr>
          <w:rFonts w:ascii="Arial" w:eastAsia="Arial"/>
        </w:rPr>
        <w:t>4</w:t>
      </w:r>
      <w:r>
        <w:t>、检查和监督监理人员的工作，根据工程进展情况进行人员调配、调换；</w:t>
      </w:r>
    </w:p>
    <w:p>
      <w:pPr>
        <w:pStyle w:val="BodyText"/>
        <w:ind w:left="959"/>
      </w:pPr>
      <w:r>
        <w:rPr>
          <w:rFonts w:ascii="Arial" w:eastAsia="Arial"/>
        </w:rPr>
        <w:t>5</w:t>
      </w:r>
      <w:r>
        <w:t>、主持监理工作会议，签发监理文件、指令；</w:t>
      </w:r>
    </w:p>
    <w:p>
      <w:pPr>
        <w:pStyle w:val="BodyText"/>
        <w:spacing w:before="398" w:line="417" w:lineRule="auto"/>
        <w:ind w:left="117" w:right="1487" w:firstLine="842"/>
      </w:pPr>
      <w:r>
        <w:rPr>
          <w:rFonts w:ascii="Arial" w:eastAsia="Arial"/>
        </w:rPr>
        <w:t>6</w:t>
      </w:r>
      <w:r>
        <w:t>、审定承包单位提交的开工报告，施工组织设计、技术方案、进度计划；</w:t>
      </w:r>
    </w:p>
    <w:p>
      <w:pPr>
        <w:pStyle w:val="BodyText"/>
        <w:spacing w:line="537" w:lineRule="exact"/>
        <w:ind w:left="959"/>
      </w:pPr>
      <w:r>
        <w:rPr>
          <w:rFonts w:ascii="Arial" w:eastAsia="Arial"/>
        </w:rPr>
        <w:t>7</w:t>
      </w:r>
      <w:r>
        <w:t>、审核签署施工单位的申请、支付证书和竣工结算；</w:t>
      </w:r>
    </w:p>
    <w:p>
      <w:pPr>
        <w:spacing w:after="0" w:line="537" w:lineRule="exact"/>
        <w:sectPr>
          <w:pgSz w:w="17860" w:h="25260"/>
          <w:pgMar w:top="2420" w:right="940" w:bottom="280" w:left="2040" w:header="708" w:footer="708"/>
          <w:pgNumType w:start="15"/>
          <w:cols w:space="708"/>
        </w:sectPr>
      </w:pPr>
    </w:p>
    <w:p>
      <w:pPr>
        <w:pStyle w:val="BodyText"/>
        <w:spacing w:before="80"/>
        <w:ind w:left="959"/>
      </w:pPr>
      <w:r>
        <w:rPr>
          <w:rFonts w:ascii="Arial" w:eastAsia="Arial"/>
        </w:rPr>
        <w:t>8</w:t>
      </w:r>
      <w:r>
        <w:t>、审查和处理工程变更；</w:t>
      </w:r>
    </w:p>
    <w:p>
      <w:pPr>
        <w:pStyle w:val="BodyText"/>
        <w:spacing w:before="398"/>
        <w:ind w:left="959"/>
      </w:pPr>
      <w:r>
        <w:rPr>
          <w:rFonts w:ascii="Arial" w:eastAsia="Arial"/>
        </w:rPr>
        <w:t>9</w:t>
      </w:r>
      <w:r>
        <w:t>、主持或参与工程质量事故的调查；</w:t>
      </w:r>
    </w:p>
    <w:p>
      <w:pPr>
        <w:pStyle w:val="BodyText"/>
        <w:spacing w:before="398"/>
        <w:ind w:left="959"/>
      </w:pPr>
      <w:r>
        <w:rPr>
          <w:rFonts w:ascii="Arial" w:eastAsia="Arial"/>
        </w:rPr>
        <w:t>10</w:t>
      </w:r>
      <w:r>
        <w:t>、调解建设单位和承包单位的合同争议，处理索赔、审批工程延期；</w:t>
      </w:r>
    </w:p>
    <w:p>
      <w:pPr>
        <w:pStyle w:val="BodyText"/>
        <w:spacing w:before="398" w:line="417" w:lineRule="auto"/>
        <w:ind w:left="117" w:right="1244" w:firstLine="842"/>
      </w:pPr>
      <w:r>
        <w:rPr>
          <w:rFonts w:ascii="Arial" w:eastAsia="Arial"/>
        </w:rPr>
        <w:t>11</w:t>
      </w:r>
      <w:r>
        <w:t>、组织编写并签发监理月报，监理工作阶段报告，专题报告和项目监理工作总结；</w:t>
      </w:r>
    </w:p>
    <w:p>
      <w:pPr>
        <w:pStyle w:val="BodyText"/>
        <w:spacing w:line="417" w:lineRule="auto"/>
        <w:ind w:left="117" w:right="1419" w:firstLine="842"/>
        <w:jc w:val="both"/>
      </w:pPr>
      <w:r>
        <w:rPr>
          <w:rFonts w:ascii="Arial" w:eastAsia="Arial"/>
        </w:rPr>
        <w:t>12</w:t>
      </w:r>
      <w:r>
        <w:rPr>
          <w:spacing w:val="-13"/>
        </w:rPr>
        <w:t>、审核签认分部工程和单位工程的质量检验评定资料，组织监理人</w:t>
      </w:r>
      <w:r>
        <w:rPr>
          <w:spacing w:val="-18"/>
        </w:rPr>
        <w:t>员审查承包单位报送的竣工资料，对待验收的工程项目进行质量检查和预</w:t>
      </w:r>
      <w:r>
        <w:t>验收；</w:t>
      </w:r>
    </w:p>
    <w:p>
      <w:pPr>
        <w:pStyle w:val="BodyText"/>
        <w:spacing w:line="417" w:lineRule="auto"/>
        <w:ind w:left="117" w:right="1237" w:firstLine="842"/>
      </w:pPr>
      <w:r>
        <w:rPr>
          <w:rFonts w:ascii="Arial" w:eastAsia="Arial"/>
        </w:rPr>
        <w:t>13</w:t>
      </w:r>
      <w:r>
        <w:t>、主持编写工程质量评估报告，参与工程项目的竣工验收，会签竣工验收证书；</w:t>
      </w:r>
    </w:p>
    <w:p>
      <w:pPr>
        <w:pStyle w:val="BodyText"/>
        <w:spacing w:line="537" w:lineRule="exact"/>
        <w:ind w:left="959"/>
      </w:pPr>
      <w:r>
        <w:rPr>
          <w:rFonts w:ascii="Arial" w:eastAsia="Arial"/>
        </w:rPr>
        <w:t>14</w:t>
      </w:r>
      <w:r>
        <w:t>、主持整理本工程项目的监理资料。</w:t>
      </w:r>
    </w:p>
    <w:p>
      <w:pPr>
        <w:pStyle w:val="BodyText"/>
        <w:spacing w:before="397"/>
        <w:ind w:left="120"/>
      </w:pPr>
      <w:r>
        <w:t>（二）专业监理工程师职责</w:t>
      </w:r>
    </w:p>
    <w:p>
      <w:pPr>
        <w:pStyle w:val="BodyText"/>
        <w:spacing w:before="1"/>
        <w:rPr>
          <w:sz w:val="31"/>
        </w:rPr>
      </w:pPr>
    </w:p>
    <w:p>
      <w:pPr>
        <w:pStyle w:val="BodyText"/>
        <w:ind w:left="959"/>
      </w:pPr>
      <w:r>
        <w:rPr>
          <w:rFonts w:ascii="Arial" w:eastAsia="Arial"/>
          <w:w w:val="95"/>
        </w:rPr>
        <w:t>1</w:t>
      </w:r>
      <w:r>
        <w:rPr>
          <w:w w:val="95"/>
        </w:rPr>
        <w:t>、负责编制本专业的监理实施细则；</w:t>
      </w:r>
    </w:p>
    <w:p>
      <w:pPr>
        <w:pStyle w:val="BodyText"/>
        <w:spacing w:before="398"/>
        <w:ind w:left="959"/>
      </w:pPr>
      <w:r>
        <w:rPr>
          <w:rFonts w:ascii="Arial" w:eastAsia="Arial"/>
          <w:w w:val="95"/>
        </w:rPr>
        <w:t>2</w:t>
      </w:r>
      <w:r>
        <w:rPr>
          <w:w w:val="95"/>
        </w:rPr>
        <w:t>、负责本专业监理工作的具体实施；</w:t>
      </w:r>
    </w:p>
    <w:p>
      <w:pPr>
        <w:pStyle w:val="BodyText"/>
        <w:spacing w:before="398" w:line="417" w:lineRule="auto"/>
        <w:ind w:left="117" w:right="1487" w:firstLine="842"/>
      </w:pPr>
      <w:r>
        <w:rPr>
          <w:rFonts w:ascii="Arial" w:eastAsia="Arial"/>
        </w:rPr>
        <w:t>3</w:t>
      </w:r>
      <w:r>
        <w:t>、组织、指导、检查和监督本专业监理员的工作，当人员需要调整时，向总监理工程师提出建议；</w:t>
      </w:r>
    </w:p>
    <w:p>
      <w:pPr>
        <w:pStyle w:val="BodyText"/>
        <w:spacing w:line="417" w:lineRule="auto"/>
        <w:ind w:left="117" w:right="1487" w:firstLine="842"/>
      </w:pPr>
      <w:r>
        <w:rPr>
          <w:rFonts w:ascii="Arial" w:eastAsia="Arial"/>
        </w:rPr>
        <w:t>4</w:t>
      </w:r>
      <w:r>
        <w:t>、审查承包单位提交的涉及本专业的计划、方案、申请、变更，并向总监理工程师提出报告；</w:t>
      </w:r>
    </w:p>
    <w:p>
      <w:pPr>
        <w:pStyle w:val="BodyText"/>
        <w:ind w:left="959"/>
      </w:pPr>
      <w:r>
        <w:rPr>
          <w:rFonts w:ascii="Arial" w:eastAsia="Arial"/>
        </w:rPr>
        <w:t>5</w:t>
      </w:r>
      <w:r>
        <w:t>、负责本专业分项工程验收及隐蔽工程验收；</w:t>
      </w:r>
    </w:p>
    <w:p>
      <w:pPr>
        <w:pStyle w:val="BodyText"/>
        <w:spacing w:before="397" w:line="417" w:lineRule="auto"/>
        <w:ind w:left="117" w:right="1487" w:firstLine="842"/>
      </w:pPr>
      <w:r>
        <w:rPr>
          <w:rFonts w:ascii="Arial" w:eastAsia="Arial"/>
        </w:rPr>
        <w:t>6</w:t>
      </w:r>
      <w:r>
        <w:t>、定期向总监理工程师提交本专业监理工作实施情况报告，对重大问题及时向总监理工程师汇报和请示；</w:t>
      </w:r>
    </w:p>
    <w:p>
      <w:pPr>
        <w:pStyle w:val="BodyText"/>
        <w:spacing w:line="537" w:lineRule="exact"/>
        <w:ind w:left="959"/>
      </w:pPr>
      <w:r>
        <w:rPr>
          <w:rFonts w:ascii="Arial" w:eastAsia="Arial"/>
        </w:rPr>
        <w:t>7</w:t>
      </w:r>
      <w:r>
        <w:t>、根据本专业监理工作实施情况做好监理日记；</w:t>
      </w:r>
    </w:p>
    <w:p>
      <w:pPr>
        <w:spacing w:after="0" w:line="537" w:lineRule="exact"/>
        <w:sectPr>
          <w:pgSz w:w="17860" w:h="25260"/>
          <w:pgMar w:top="1900" w:right="940" w:bottom="280" w:left="2040" w:header="708" w:footer="708"/>
          <w:pgNumType w:start="16"/>
          <w:cols w:space="708"/>
        </w:sectPr>
      </w:pPr>
    </w:p>
    <w:p>
      <w:pPr>
        <w:pStyle w:val="BodyText"/>
        <w:spacing w:before="80"/>
        <w:ind w:left="959"/>
      </w:pPr>
      <w:r>
        <w:rPr>
          <w:rFonts w:ascii="Arial" w:eastAsia="Arial"/>
        </w:rPr>
        <w:t>8</w:t>
      </w:r>
      <w:r>
        <w:t>、负责本专业监理资料的收集、汇总及整理，参与编写监理月报；</w:t>
      </w:r>
    </w:p>
    <w:p>
      <w:pPr>
        <w:pStyle w:val="BodyText"/>
        <w:spacing w:before="398" w:line="417" w:lineRule="auto"/>
        <w:ind w:left="117" w:right="1283" w:firstLine="842"/>
      </w:pPr>
      <w:r>
        <w:rPr>
          <w:rFonts w:ascii="Arial" w:eastAsia="Arial"/>
        </w:rPr>
        <w:t>9</w:t>
      </w:r>
      <w:r>
        <w:t>、核查进场材料、设备、构配件的原始凭证、检测报告等质量证明文件及其质量情况，根据实际情况认为有必要时对进场材料、设备、构配件进行平行检验，合格时予以签认；</w:t>
      </w:r>
    </w:p>
    <w:p>
      <w:pPr>
        <w:pStyle w:val="BodyText"/>
        <w:spacing w:line="537" w:lineRule="exact"/>
        <w:ind w:left="959"/>
      </w:pPr>
      <w:r>
        <w:rPr>
          <w:rFonts w:ascii="Arial" w:eastAsia="Arial"/>
        </w:rPr>
        <w:t>10</w:t>
      </w:r>
      <w:r>
        <w:t>、负责本专业的工程计量工作，审核工程计量的数据和原始凭证。</w:t>
      </w:r>
    </w:p>
    <w:p>
      <w:pPr>
        <w:pStyle w:val="BodyText"/>
        <w:spacing w:before="398"/>
        <w:ind w:left="120"/>
      </w:pPr>
      <w:r>
        <w:t>（三）监理员职责</w:t>
      </w:r>
    </w:p>
    <w:p>
      <w:pPr>
        <w:pStyle w:val="BodyText"/>
        <w:spacing w:before="1"/>
        <w:rPr>
          <w:sz w:val="31"/>
        </w:rPr>
      </w:pPr>
    </w:p>
    <w:p>
      <w:pPr>
        <w:pStyle w:val="BodyText"/>
        <w:ind w:left="959"/>
      </w:pPr>
      <w:r>
        <w:rPr>
          <w:rFonts w:ascii="Arial" w:eastAsia="Arial"/>
        </w:rPr>
        <w:t>1</w:t>
      </w:r>
      <w:r>
        <w:t>、认真开展现场监理工作；</w:t>
      </w:r>
    </w:p>
    <w:p>
      <w:pPr>
        <w:pStyle w:val="BodyText"/>
        <w:spacing w:before="398" w:line="417" w:lineRule="auto"/>
        <w:ind w:left="117" w:right="1487" w:firstLine="842"/>
      </w:pPr>
      <w:r>
        <w:rPr>
          <w:rFonts w:ascii="Arial" w:eastAsia="Arial"/>
        </w:rPr>
        <w:t>2</w:t>
      </w:r>
      <w:r>
        <w:t>、检查承包单位投入工程项目的人力、材料、主要设备及其使用、运行状况，并做好检查记录；</w:t>
      </w:r>
    </w:p>
    <w:p>
      <w:pPr>
        <w:pStyle w:val="BodyText"/>
        <w:spacing w:line="537" w:lineRule="exact"/>
        <w:ind w:left="959"/>
      </w:pPr>
      <w:r>
        <w:rPr>
          <w:rFonts w:ascii="Arial" w:eastAsia="Arial"/>
        </w:rPr>
        <w:t>3</w:t>
      </w:r>
      <w:r>
        <w:t>、复核或从施工现场直接获取工程计量的有关数据并签署原始凭证；</w:t>
      </w:r>
    </w:p>
    <w:p>
      <w:pPr>
        <w:pStyle w:val="BodyText"/>
        <w:spacing w:before="398" w:line="417" w:lineRule="auto"/>
        <w:ind w:left="117" w:right="1487" w:firstLine="842"/>
      </w:pPr>
      <w:r>
        <w:rPr>
          <w:rFonts w:ascii="Arial" w:eastAsia="Arial"/>
        </w:rPr>
        <w:t>4</w:t>
      </w:r>
      <w:r>
        <w:t>、按施工图及有关标准，对承包单位的工艺过程或施工工序进行检查和记录，对加工制作及工序施工质量检查结果进行记录；</w:t>
      </w:r>
    </w:p>
    <w:p>
      <w:pPr>
        <w:pStyle w:val="BodyText"/>
        <w:ind w:left="959"/>
      </w:pPr>
      <w:r>
        <w:rPr>
          <w:rFonts w:ascii="Arial" w:eastAsia="Arial"/>
        </w:rPr>
        <w:t>5</w:t>
      </w:r>
      <w:r>
        <w:t>、担任旁站工作，发现问题及时指出并向专业监理工程师报告；</w:t>
      </w:r>
    </w:p>
    <w:p>
      <w:pPr>
        <w:pStyle w:val="BodyText"/>
        <w:spacing w:before="398"/>
        <w:ind w:left="959"/>
      </w:pPr>
      <w:r>
        <w:rPr>
          <w:rFonts w:ascii="Arial" w:eastAsia="Arial"/>
        </w:rPr>
        <w:t>6</w:t>
      </w:r>
      <w:r>
        <w:t>、做好监理日记和有关的监理记录。</w:t>
      </w:r>
    </w:p>
    <w:p>
      <w:pPr>
        <w:spacing w:after="0"/>
        <w:sectPr>
          <w:pgSz w:w="17860" w:h="25260"/>
          <w:pgMar w:top="1900" w:right="940" w:bottom="280" w:left="2040" w:header="708" w:footer="708"/>
          <w:pgNumType w:start="17"/>
          <w:cols w:space="708"/>
        </w:sectPr>
      </w:pPr>
    </w:p>
    <w:p>
      <w:pPr>
        <w:pStyle w:val="BodyText"/>
        <w:rPr>
          <w:sz w:val="20"/>
        </w:rPr>
      </w:pPr>
    </w:p>
    <w:p>
      <w:pPr>
        <w:pStyle w:val="Heading1"/>
        <w:spacing w:before="196"/>
      </w:pPr>
      <w:bookmarkStart w:id="7" w:name="_TOC_250004"/>
      <w:bookmarkEnd w:id="7"/>
      <w:r>
        <w:t>九、监理工作程序</w:t>
      </w:r>
    </w:p>
    <w:p>
      <w:pPr>
        <w:pStyle w:val="BodyText"/>
        <w:spacing w:before="6"/>
        <w:rPr>
          <w:rFonts w:ascii="幼圆"/>
          <w:sz w:val="31"/>
        </w:rPr>
      </w:pPr>
    </w:p>
    <w:p>
      <w:pPr>
        <w:pStyle w:val="BodyText"/>
        <w:ind w:left="390"/>
      </w:pPr>
      <w:r>
        <w:pict>
          <v:group id="_x0000_s1091" style="width:596pt;height:891pt;margin-top:62.5pt;margin-left:256pt;mso-position-horizontal-relative:page;position:absolute;z-index:251661312" coordorigin="5120,1250" coordsize="11920,17820">
            <v:shape id="_x0000_s1092" type="#_x0000_t75" style="width:11920;height:17820;left:5120;position:absolute;top:1250" stroked="f">
              <v:imagedata r:id="rId7" o:title=""/>
            </v:shape>
            <v:shape id="_x0000_s1093" type="#_x0000_t202" style="width:2555;height:317;left:6164;position:absolute;top:1490" filled="f" stroked="f">
              <v:textbox inset="0,0,0,0">
                <w:txbxContent>
                  <w:p>
                    <w:pPr>
                      <w:spacing w:before="0" w:line="317" w:lineRule="exact"/>
                      <w:ind w:left="0" w:right="0" w:firstLine="0"/>
                      <w:jc w:val="left"/>
                      <w:rPr>
                        <w:sz w:val="31"/>
                      </w:rPr>
                    </w:pPr>
                    <w:r>
                      <w:rPr>
                        <w:sz w:val="31"/>
                      </w:rPr>
                      <w:t>签订施工监理合同</w:t>
                    </w:r>
                  </w:p>
                </w:txbxContent>
              </v:textbox>
            </v:shape>
            <v:shape id="_x0000_s1094" type="#_x0000_t202" style="width:3188;height:785;left:6164;position:absolute;top:2894" filled="f" stroked="f">
              <v:textbox inset="0,0,0,0">
                <w:txbxContent>
                  <w:p>
                    <w:pPr>
                      <w:spacing w:before="0" w:line="359" w:lineRule="exact"/>
                      <w:ind w:left="0" w:right="0" w:firstLine="0"/>
                      <w:jc w:val="left"/>
                      <w:rPr>
                        <w:sz w:val="31"/>
                      </w:rPr>
                    </w:pPr>
                    <w:r>
                      <w:rPr>
                        <w:sz w:val="31"/>
                      </w:rPr>
                      <w:t>组织项目监理机构进行</w:t>
                    </w:r>
                  </w:p>
                  <w:p>
                    <w:pPr>
                      <w:spacing w:before="71" w:line="355" w:lineRule="exact"/>
                      <w:ind w:left="0" w:right="0" w:firstLine="0"/>
                      <w:jc w:val="left"/>
                      <w:rPr>
                        <w:sz w:val="31"/>
                      </w:rPr>
                    </w:pPr>
                    <w:r>
                      <w:rPr>
                        <w:sz w:val="31"/>
                      </w:rPr>
                      <w:t>监理前期准备工作</w:t>
                    </w:r>
                  </w:p>
                </w:txbxContent>
              </v:textbox>
            </v:shape>
            <v:shape id="_x0000_s1095" type="#_x0000_t202" style="width:3354;height:317;left:11025;position:absolute;top:4299" filled="f" stroked="f">
              <v:textbox inset="0,0,0,0">
                <w:txbxContent>
                  <w:p>
                    <w:pPr>
                      <w:spacing w:before="0" w:line="317" w:lineRule="exact"/>
                      <w:ind w:left="0" w:right="0" w:firstLine="0"/>
                      <w:jc w:val="left"/>
                      <w:rPr>
                        <w:sz w:val="31"/>
                      </w:rPr>
                    </w:pPr>
                    <w:r>
                      <w:rPr>
                        <w:spacing w:val="-16"/>
                        <w:sz w:val="31"/>
                      </w:rPr>
                      <w:t>编制监理规划、实施细则</w:t>
                    </w:r>
                  </w:p>
                </w:txbxContent>
              </v:textbox>
            </v:shape>
            <v:shape id="_x0000_s1096" type="#_x0000_t202" style="width:2555;height:317;left:6434;position:absolute;top:5469" filled="f" stroked="f">
              <v:textbox inset="0,0,0,0">
                <w:txbxContent>
                  <w:p>
                    <w:pPr>
                      <w:spacing w:before="0" w:line="317" w:lineRule="exact"/>
                      <w:ind w:left="0" w:right="0" w:firstLine="0"/>
                      <w:jc w:val="left"/>
                      <w:rPr>
                        <w:sz w:val="31"/>
                      </w:rPr>
                    </w:pPr>
                    <w:r>
                      <w:rPr>
                        <w:sz w:val="31"/>
                      </w:rPr>
                      <w:t>施工准备阶段监理</w:t>
                    </w:r>
                  </w:p>
                </w:txbxContent>
              </v:textbox>
            </v:shape>
            <v:shape id="_x0000_s1097" type="#_x0000_t202" style="width:2872;height:317;left:6164;position:absolute;top:7107" filled="f" stroked="f">
              <v:textbox inset="0,0,0,0">
                <w:txbxContent>
                  <w:p>
                    <w:pPr>
                      <w:spacing w:before="0" w:line="317" w:lineRule="exact"/>
                      <w:ind w:left="0" w:right="0" w:firstLine="0"/>
                      <w:jc w:val="left"/>
                      <w:rPr>
                        <w:sz w:val="31"/>
                      </w:rPr>
                    </w:pPr>
                    <w:r>
                      <w:rPr>
                        <w:sz w:val="31"/>
                      </w:rPr>
                      <w:t>召开第一次工地会议</w:t>
                    </w:r>
                  </w:p>
                </w:txbxContent>
              </v:textbox>
            </v:shape>
            <v:shape id="_x0000_s1098" type="#_x0000_t202" style="width:3505;height:317;left:6164;position:absolute;top:8745" filled="f" stroked="f">
              <v:textbox inset="0,0,0,0">
                <w:txbxContent>
                  <w:p>
                    <w:pPr>
                      <w:spacing w:before="0" w:line="317" w:lineRule="exact"/>
                      <w:ind w:left="0" w:right="0" w:firstLine="0"/>
                      <w:jc w:val="left"/>
                      <w:rPr>
                        <w:sz w:val="31"/>
                      </w:rPr>
                    </w:pPr>
                    <w:r>
                      <w:rPr>
                        <w:sz w:val="31"/>
                      </w:rPr>
                      <w:t>审批《工程开工报审表》</w:t>
                    </w:r>
                  </w:p>
                </w:txbxContent>
              </v:textbox>
            </v:shape>
            <v:shape id="_x0000_s1099" type="#_x0000_t202" style="width:1921;height:317;left:6434;position:absolute;top:10383" filled="f" stroked="f">
              <v:textbox inset="0,0,0,0">
                <w:txbxContent>
                  <w:p>
                    <w:pPr>
                      <w:spacing w:before="0" w:line="317" w:lineRule="exact"/>
                      <w:ind w:left="0" w:right="0" w:firstLine="0"/>
                      <w:jc w:val="left"/>
                      <w:rPr>
                        <w:sz w:val="31"/>
                      </w:rPr>
                    </w:pPr>
                    <w:r>
                      <w:rPr>
                        <w:sz w:val="31"/>
                      </w:rPr>
                      <w:t>施工过程监理</w:t>
                    </w:r>
                  </w:p>
                </w:txbxContent>
              </v:textbox>
            </v:shape>
            <v:shape id="_x0000_s1100" type="#_x0000_t202" style="width:1288;height:1253;left:12645;position:absolute;top:9915" filled="f" stroked="f">
              <v:textbox inset="0,0,0,0">
                <w:txbxContent>
                  <w:p>
                    <w:pPr>
                      <w:spacing w:before="0" w:line="359" w:lineRule="exact"/>
                      <w:ind w:left="0" w:right="0" w:firstLine="0"/>
                      <w:jc w:val="left"/>
                      <w:rPr>
                        <w:sz w:val="31"/>
                      </w:rPr>
                    </w:pPr>
                    <w:r>
                      <w:rPr>
                        <w:sz w:val="31"/>
                      </w:rPr>
                      <w:t>事前预控</w:t>
                    </w:r>
                  </w:p>
                  <w:p>
                    <w:pPr>
                      <w:spacing w:before="0" w:line="470" w:lineRule="atLeast"/>
                      <w:ind w:left="0" w:right="18" w:firstLine="0"/>
                      <w:jc w:val="left"/>
                      <w:rPr>
                        <w:sz w:val="31"/>
                      </w:rPr>
                    </w:pPr>
                    <w:r>
                      <w:rPr>
                        <w:spacing w:val="-5"/>
                        <w:sz w:val="31"/>
                      </w:rPr>
                      <w:t>过程监控事后签认</w:t>
                    </w:r>
                  </w:p>
                </w:txbxContent>
              </v:textbox>
            </v:shape>
            <v:shape id="_x0000_s1101" type="#_x0000_t202" style="width:2238;height:317;left:6434;position:absolute;top:12255" filled="f" stroked="f">
              <v:textbox inset="0,0,0,0">
                <w:txbxContent>
                  <w:p>
                    <w:pPr>
                      <w:spacing w:before="0" w:line="317" w:lineRule="exact"/>
                      <w:ind w:left="0" w:right="0" w:firstLine="0"/>
                      <w:jc w:val="left"/>
                      <w:rPr>
                        <w:sz w:val="31"/>
                      </w:rPr>
                    </w:pPr>
                    <w:r>
                      <w:rPr>
                        <w:sz w:val="31"/>
                      </w:rPr>
                      <w:t>组织工程预验收</w:t>
                    </w:r>
                  </w:p>
                </w:txbxContent>
              </v:textbox>
            </v:shape>
            <v:shape id="_x0000_s1102" type="#_x0000_t202" style="width:3188;height:317;left:11565;position:absolute;top:12021" filled="f" stroked="f">
              <v:textbox inset="0,0,0,0">
                <w:txbxContent>
                  <w:p>
                    <w:pPr>
                      <w:spacing w:before="0" w:line="317" w:lineRule="exact"/>
                      <w:ind w:left="0" w:right="0" w:firstLine="0"/>
                      <w:jc w:val="left"/>
                      <w:rPr>
                        <w:sz w:val="31"/>
                      </w:rPr>
                    </w:pPr>
                    <w:r>
                      <w:rPr>
                        <w:sz w:val="31"/>
                      </w:rPr>
                      <w:t>中间验收、竣工预验收</w:t>
                    </w:r>
                  </w:p>
                </w:txbxContent>
              </v:textbox>
            </v:shape>
            <v:shape id="_x0000_s1103" type="#_x0000_t202" style="width:3188;height:317;left:11565;position:absolute;top:13191" filled="f" stroked="f">
              <v:textbox inset="0,0,0,0">
                <w:txbxContent>
                  <w:p>
                    <w:pPr>
                      <w:spacing w:before="0" w:line="317" w:lineRule="exact"/>
                      <w:ind w:left="0" w:right="0" w:firstLine="0"/>
                      <w:jc w:val="left"/>
                      <w:rPr>
                        <w:sz w:val="31"/>
                      </w:rPr>
                    </w:pPr>
                    <w:r>
                      <w:rPr>
                        <w:sz w:val="31"/>
                      </w:rPr>
                      <w:t>编写工程质量评估报告</w:t>
                    </w:r>
                  </w:p>
                </w:txbxContent>
              </v:textbox>
            </v:shape>
            <v:shape id="_x0000_s1104" type="#_x0000_t202" style="width:3822;height:317;left:5353;position:absolute;top:14362" filled="f" stroked="f">
              <v:textbox inset="0,0,0,0">
                <w:txbxContent>
                  <w:p>
                    <w:pPr>
                      <w:spacing w:before="0" w:line="317" w:lineRule="exact"/>
                      <w:ind w:left="0" w:right="0" w:firstLine="0"/>
                      <w:jc w:val="left"/>
                      <w:rPr>
                        <w:sz w:val="31"/>
                      </w:rPr>
                    </w:pPr>
                    <w:r>
                      <w:rPr>
                        <w:sz w:val="31"/>
                      </w:rPr>
                      <w:t>协助建设单位组织竣工验收</w:t>
                    </w:r>
                  </w:p>
                </w:txbxContent>
              </v:textbox>
            </v:shape>
            <v:shape id="_x0000_s1105" type="#_x0000_t202" style="width:5406;height:317;left:11295;position:absolute;top:15064" filled="f" stroked="f">
              <v:textbox inset="0,0,0,0">
                <w:txbxContent>
                  <w:p>
                    <w:pPr>
                      <w:spacing w:before="0" w:line="317" w:lineRule="exact"/>
                      <w:ind w:left="0" w:right="0" w:firstLine="0"/>
                      <w:jc w:val="left"/>
                      <w:rPr>
                        <w:sz w:val="31"/>
                      </w:rPr>
                    </w:pPr>
                    <w:r>
                      <w:rPr>
                        <w:sz w:val="31"/>
                      </w:rPr>
                      <w:t>建设单位向政府有关部门申办有关手续</w:t>
                    </w:r>
                  </w:p>
                </w:txbxContent>
              </v:textbox>
            </v:shape>
            <v:shape id="_x0000_s1106" type="#_x0000_t202" style="width:2555;height:317;left:5623;position:absolute;top:16468" filled="f" stroked="f">
              <v:textbox inset="0,0,0,0">
                <w:txbxContent>
                  <w:p>
                    <w:pPr>
                      <w:spacing w:before="0" w:line="317" w:lineRule="exact"/>
                      <w:ind w:left="0" w:right="0" w:firstLine="0"/>
                      <w:jc w:val="left"/>
                      <w:rPr>
                        <w:sz w:val="31"/>
                      </w:rPr>
                    </w:pPr>
                    <w:r>
                      <w:rPr>
                        <w:sz w:val="31"/>
                      </w:rPr>
                      <w:t>审核工程竣工结算</w:t>
                    </w:r>
                  </w:p>
                </w:txbxContent>
              </v:textbox>
            </v:shape>
            <v:shape id="_x0000_s1107" type="#_x0000_t202" style="width:2238;height:317;left:10485;position:absolute;top:16468" filled="f" stroked="f">
              <v:textbox inset="0,0,0,0">
                <w:txbxContent>
                  <w:p>
                    <w:pPr>
                      <w:spacing w:before="0" w:line="317" w:lineRule="exact"/>
                      <w:ind w:left="0" w:right="0" w:firstLine="0"/>
                      <w:jc w:val="left"/>
                      <w:rPr>
                        <w:sz w:val="31"/>
                      </w:rPr>
                    </w:pPr>
                    <w:r>
                      <w:rPr>
                        <w:sz w:val="31"/>
                      </w:rPr>
                      <w:t>工程保修期监理</w:t>
                    </w:r>
                  </w:p>
                </w:txbxContent>
              </v:textbox>
            </v:shape>
            <v:shape id="_x0000_s1108" type="#_x0000_t202" style="width:2555;height:317;left:5623;position:absolute;top:17872" filled="f" stroked="f">
              <v:textbox inset="0,0,0,0">
                <w:txbxContent>
                  <w:p>
                    <w:pPr>
                      <w:spacing w:before="0" w:line="317" w:lineRule="exact"/>
                      <w:ind w:left="0" w:right="0" w:firstLine="0"/>
                      <w:jc w:val="left"/>
                      <w:rPr>
                        <w:sz w:val="31"/>
                      </w:rPr>
                    </w:pPr>
                    <w:r>
                      <w:rPr>
                        <w:sz w:val="31"/>
                      </w:rPr>
                      <w:t>整理监理资料归档</w:t>
                    </w:r>
                  </w:p>
                </w:txbxContent>
              </v:textbox>
            </v:shape>
          </v:group>
        </w:pict>
      </w:r>
      <w:r>
        <w:t>（一）监理工作总程序</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 w:history="1">
        <w:r>
          <w:rPr>
            <w:rFonts w:ascii="SimSun" w:eastAsia="SimSun" w:hAnsi="SimSun" w:cs="SimSun"/>
            <w:b/>
            <w:bCs/>
            <w:color w:val="0000EE"/>
            <w:sz w:val="30"/>
            <w:szCs w:val="30"/>
            <w:u w:val="single" w:color="0000EE"/>
          </w:rPr>
          <w:t>https://d.book118.com/306000014103010054</w:t>
        </w:r>
      </w:hyperlink>
    </w:p>
    <w:p>
      <w:pPr>
        <w:spacing w:after="0"/>
      </w:pPr>
    </w:p>
    <w:sectPr>
      <w:pgSz w:w="17860" w:h="25260"/>
      <w:pgMar w:top="2420" w:right="940" w:bottom="280" w:left="2040" w:header="708" w:footer="708"/>
      <w:pgNumType w:start="1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28C56"/>
    <w:multiLevelType w:val="hybridMultilevel"/>
    <w:tmpl w:val="00000000"/>
    <w:lvl w:ilvl="0">
      <w:start w:val="1"/>
      <w:numFmt w:val="decimal"/>
      <w:lvlText w:val="（%1）"/>
      <w:lvlJc w:val="left"/>
      <w:pPr>
        <w:ind w:left="120" w:hanging="1056"/>
        <w:jc w:val="left"/>
      </w:pPr>
      <w:rPr>
        <w:rFonts w:ascii="宋体" w:eastAsia="宋体" w:hAnsi="宋体" w:cs="宋体" w:hint="default"/>
        <w:spacing w:val="-126"/>
        <w:w w:val="100"/>
        <w:sz w:val="40"/>
        <w:szCs w:val="40"/>
      </w:rPr>
    </w:lvl>
    <w:lvl w:ilvl="1">
      <w:start w:val="1"/>
      <w:numFmt w:val="lowerLetter"/>
      <w:lvlText w:val="%2)"/>
      <w:lvlJc w:val="left"/>
      <w:pPr>
        <w:ind w:left="120" w:hanging="425"/>
        <w:jc w:val="left"/>
      </w:pPr>
      <w:rPr>
        <w:rFonts w:ascii="宋体" w:eastAsia="宋体" w:hAnsi="宋体" w:cs="宋体" w:hint="default"/>
        <w:w w:val="100"/>
        <w:sz w:val="40"/>
        <w:szCs w:val="40"/>
      </w:rPr>
    </w:lvl>
    <w:lvl w:ilvl="2">
      <w:start w:val="0"/>
      <w:numFmt w:val="bullet"/>
      <w:lvlText w:val="•"/>
      <w:lvlJc w:val="left"/>
      <w:pPr>
        <w:ind w:left="3071" w:hanging="425"/>
      </w:pPr>
      <w:rPr>
        <w:rFonts w:hint="default"/>
      </w:rPr>
    </w:lvl>
    <w:lvl w:ilvl="3">
      <w:start w:val="0"/>
      <w:numFmt w:val="bullet"/>
      <w:lvlText w:val="•"/>
      <w:lvlJc w:val="left"/>
      <w:pPr>
        <w:ind w:left="4547" w:hanging="425"/>
      </w:pPr>
      <w:rPr>
        <w:rFonts w:hint="default"/>
      </w:rPr>
    </w:lvl>
    <w:lvl w:ilvl="4">
      <w:start w:val="0"/>
      <w:numFmt w:val="bullet"/>
      <w:lvlText w:val="•"/>
      <w:lvlJc w:val="left"/>
      <w:pPr>
        <w:ind w:left="6023" w:hanging="425"/>
      </w:pPr>
      <w:rPr>
        <w:rFonts w:hint="default"/>
      </w:rPr>
    </w:lvl>
    <w:lvl w:ilvl="5">
      <w:start w:val="0"/>
      <w:numFmt w:val="bullet"/>
      <w:lvlText w:val="•"/>
      <w:lvlJc w:val="left"/>
      <w:pPr>
        <w:ind w:left="7499" w:hanging="425"/>
      </w:pPr>
      <w:rPr>
        <w:rFonts w:hint="default"/>
      </w:rPr>
    </w:lvl>
    <w:lvl w:ilvl="6">
      <w:start w:val="0"/>
      <w:numFmt w:val="bullet"/>
      <w:lvlText w:val="•"/>
      <w:lvlJc w:val="left"/>
      <w:pPr>
        <w:ind w:left="8975" w:hanging="425"/>
      </w:pPr>
      <w:rPr>
        <w:rFonts w:hint="default"/>
      </w:rPr>
    </w:lvl>
    <w:lvl w:ilvl="7">
      <w:start w:val="0"/>
      <w:numFmt w:val="bullet"/>
      <w:lvlText w:val="•"/>
      <w:lvlJc w:val="left"/>
      <w:pPr>
        <w:ind w:left="10451" w:hanging="425"/>
      </w:pPr>
      <w:rPr>
        <w:rFonts w:hint="default"/>
      </w:rPr>
    </w:lvl>
    <w:lvl w:ilvl="8">
      <w:start w:val="0"/>
      <w:numFmt w:val="bullet"/>
      <w:lvlText w:val="•"/>
      <w:lvlJc w:val="left"/>
      <w:pPr>
        <w:ind w:left="11927" w:hanging="425"/>
      </w:pPr>
      <w:rPr>
        <w:rFonts w:hint="default"/>
      </w:rPr>
    </w:lvl>
  </w:abstractNum>
  <w:abstractNum w:abstractNumId="1">
    <w:nsid w:val="15EA8248"/>
    <w:multiLevelType w:val="hybridMultilevel"/>
    <w:tmpl w:val="00000000"/>
    <w:lvl w:ilvl="0">
      <w:start w:val="1"/>
      <w:numFmt w:val="decimal"/>
      <w:lvlText w:val="（%1）"/>
      <w:lvlJc w:val="left"/>
      <w:pPr>
        <w:ind w:left="117" w:hanging="1056"/>
        <w:jc w:val="left"/>
      </w:pPr>
      <w:rPr>
        <w:rFonts w:ascii="宋体" w:eastAsia="宋体" w:hAnsi="宋体" w:cs="宋体" w:hint="default"/>
        <w:spacing w:val="-1"/>
        <w:w w:val="90"/>
        <w:sz w:val="40"/>
        <w:szCs w:val="40"/>
      </w:rPr>
    </w:lvl>
    <w:lvl w:ilvl="1">
      <w:start w:val="0"/>
      <w:numFmt w:val="bullet"/>
      <w:lvlText w:val="•"/>
      <w:lvlJc w:val="left"/>
      <w:pPr>
        <w:ind w:left="1595" w:hanging="1056"/>
      </w:pPr>
      <w:rPr>
        <w:rFonts w:hint="default"/>
      </w:rPr>
    </w:lvl>
    <w:lvl w:ilvl="2">
      <w:start w:val="0"/>
      <w:numFmt w:val="bullet"/>
      <w:lvlText w:val="•"/>
      <w:lvlJc w:val="left"/>
      <w:pPr>
        <w:ind w:left="3071" w:hanging="1056"/>
      </w:pPr>
      <w:rPr>
        <w:rFonts w:hint="default"/>
      </w:rPr>
    </w:lvl>
    <w:lvl w:ilvl="3">
      <w:start w:val="0"/>
      <w:numFmt w:val="bullet"/>
      <w:lvlText w:val="•"/>
      <w:lvlJc w:val="left"/>
      <w:pPr>
        <w:ind w:left="4547" w:hanging="1056"/>
      </w:pPr>
      <w:rPr>
        <w:rFonts w:hint="default"/>
      </w:rPr>
    </w:lvl>
    <w:lvl w:ilvl="4">
      <w:start w:val="0"/>
      <w:numFmt w:val="bullet"/>
      <w:lvlText w:val="•"/>
      <w:lvlJc w:val="left"/>
      <w:pPr>
        <w:ind w:left="6023" w:hanging="1056"/>
      </w:pPr>
      <w:rPr>
        <w:rFonts w:hint="default"/>
      </w:rPr>
    </w:lvl>
    <w:lvl w:ilvl="5">
      <w:start w:val="0"/>
      <w:numFmt w:val="bullet"/>
      <w:lvlText w:val="•"/>
      <w:lvlJc w:val="left"/>
      <w:pPr>
        <w:ind w:left="7499" w:hanging="1056"/>
      </w:pPr>
      <w:rPr>
        <w:rFonts w:hint="default"/>
      </w:rPr>
    </w:lvl>
    <w:lvl w:ilvl="6">
      <w:start w:val="0"/>
      <w:numFmt w:val="bullet"/>
      <w:lvlText w:val="•"/>
      <w:lvlJc w:val="left"/>
      <w:pPr>
        <w:ind w:left="8975" w:hanging="1056"/>
      </w:pPr>
      <w:rPr>
        <w:rFonts w:hint="default"/>
      </w:rPr>
    </w:lvl>
    <w:lvl w:ilvl="7">
      <w:start w:val="0"/>
      <w:numFmt w:val="bullet"/>
      <w:lvlText w:val="•"/>
      <w:lvlJc w:val="left"/>
      <w:pPr>
        <w:ind w:left="10451" w:hanging="1056"/>
      </w:pPr>
      <w:rPr>
        <w:rFonts w:hint="default"/>
      </w:rPr>
    </w:lvl>
    <w:lvl w:ilvl="8">
      <w:start w:val="0"/>
      <w:numFmt w:val="bullet"/>
      <w:lvlText w:val="•"/>
      <w:lvlJc w:val="left"/>
      <w:pPr>
        <w:ind w:left="11927" w:hanging="1056"/>
      </w:pPr>
      <w:rPr>
        <w:rFonts w:hint="default"/>
      </w:rPr>
    </w:lvl>
  </w:abstractNum>
  <w:abstractNum w:abstractNumId="2">
    <w:nsid w:val="19E6EC88"/>
    <w:multiLevelType w:val="hybridMultilevel"/>
    <w:tmpl w:val="00000000"/>
    <w:lvl w:ilvl="0">
      <w:start w:val="1"/>
      <w:numFmt w:val="decimal"/>
      <w:lvlText w:val="（%1）"/>
      <w:lvlJc w:val="left"/>
      <w:pPr>
        <w:ind w:left="1385" w:hanging="1052"/>
        <w:jc w:val="left"/>
      </w:pPr>
      <w:rPr>
        <w:rFonts w:ascii="宋体" w:eastAsia="宋体" w:hAnsi="宋体" w:cs="宋体" w:hint="default"/>
        <w:spacing w:val="-209"/>
        <w:w w:val="100"/>
        <w:sz w:val="40"/>
        <w:szCs w:val="40"/>
      </w:rPr>
    </w:lvl>
    <w:lvl w:ilvl="1">
      <w:start w:val="1"/>
      <w:numFmt w:val="decimal"/>
      <w:lvlText w:val="（%2）"/>
      <w:lvlJc w:val="left"/>
      <w:pPr>
        <w:ind w:left="117" w:hanging="1056"/>
        <w:jc w:val="left"/>
      </w:pPr>
      <w:rPr>
        <w:rFonts w:ascii="宋体" w:eastAsia="宋体" w:hAnsi="宋体" w:cs="宋体" w:hint="default"/>
        <w:spacing w:val="-1"/>
        <w:w w:val="90"/>
        <w:sz w:val="40"/>
        <w:szCs w:val="40"/>
      </w:rPr>
    </w:lvl>
    <w:lvl w:ilvl="2">
      <w:start w:val="0"/>
      <w:numFmt w:val="bullet"/>
      <w:lvlText w:val="•"/>
      <w:lvlJc w:val="left"/>
      <w:pPr>
        <w:ind w:left="2879" w:hanging="1056"/>
      </w:pPr>
      <w:rPr>
        <w:rFonts w:hint="default"/>
      </w:rPr>
    </w:lvl>
    <w:lvl w:ilvl="3">
      <w:start w:val="0"/>
      <w:numFmt w:val="bullet"/>
      <w:lvlText w:val="•"/>
      <w:lvlJc w:val="left"/>
      <w:pPr>
        <w:ind w:left="4379" w:hanging="1056"/>
      </w:pPr>
      <w:rPr>
        <w:rFonts w:hint="default"/>
      </w:rPr>
    </w:lvl>
    <w:lvl w:ilvl="4">
      <w:start w:val="0"/>
      <w:numFmt w:val="bullet"/>
      <w:lvlText w:val="•"/>
      <w:lvlJc w:val="left"/>
      <w:pPr>
        <w:ind w:left="5879" w:hanging="1056"/>
      </w:pPr>
      <w:rPr>
        <w:rFonts w:hint="default"/>
      </w:rPr>
    </w:lvl>
    <w:lvl w:ilvl="5">
      <w:start w:val="0"/>
      <w:numFmt w:val="bullet"/>
      <w:lvlText w:val="•"/>
      <w:lvlJc w:val="left"/>
      <w:pPr>
        <w:ind w:left="7379" w:hanging="1056"/>
      </w:pPr>
      <w:rPr>
        <w:rFonts w:hint="default"/>
      </w:rPr>
    </w:lvl>
    <w:lvl w:ilvl="6">
      <w:start w:val="0"/>
      <w:numFmt w:val="bullet"/>
      <w:lvlText w:val="•"/>
      <w:lvlJc w:val="left"/>
      <w:pPr>
        <w:ind w:left="8879" w:hanging="1056"/>
      </w:pPr>
      <w:rPr>
        <w:rFonts w:hint="default"/>
      </w:rPr>
    </w:lvl>
    <w:lvl w:ilvl="7">
      <w:start w:val="0"/>
      <w:numFmt w:val="bullet"/>
      <w:lvlText w:val="•"/>
      <w:lvlJc w:val="left"/>
      <w:pPr>
        <w:ind w:left="10379" w:hanging="1056"/>
      </w:pPr>
      <w:rPr>
        <w:rFonts w:hint="default"/>
      </w:rPr>
    </w:lvl>
    <w:lvl w:ilvl="8">
      <w:start w:val="0"/>
      <w:numFmt w:val="bullet"/>
      <w:lvlText w:val="•"/>
      <w:lvlJc w:val="left"/>
      <w:pPr>
        <w:ind w:left="11879" w:hanging="1056"/>
      </w:pPr>
      <w:rPr>
        <w:rFonts w:hint="default"/>
      </w:rPr>
    </w:lvl>
  </w:abstractNum>
  <w:abstractNum w:abstractNumId="3">
    <w:nsid w:val="1C8FEEEF"/>
    <w:multiLevelType w:val="hybridMultilevel"/>
    <w:tmpl w:val="00000000"/>
    <w:lvl w:ilvl="0">
      <w:start w:val="1"/>
      <w:numFmt w:val="decimal"/>
      <w:lvlText w:val="（%1）"/>
      <w:lvlJc w:val="left"/>
      <w:pPr>
        <w:ind w:left="1802" w:hanging="1056"/>
        <w:jc w:val="left"/>
      </w:pPr>
      <w:rPr>
        <w:rFonts w:ascii="宋体" w:eastAsia="宋体" w:hAnsi="宋体" w:cs="宋体" w:hint="default"/>
        <w:spacing w:val="-1"/>
        <w:w w:val="90"/>
        <w:sz w:val="40"/>
        <w:szCs w:val="40"/>
      </w:rPr>
    </w:lvl>
    <w:lvl w:ilvl="1">
      <w:start w:val="0"/>
      <w:numFmt w:val="bullet"/>
      <w:lvlText w:val="•"/>
      <w:lvlJc w:val="left"/>
      <w:pPr>
        <w:ind w:left="3107" w:hanging="1056"/>
      </w:pPr>
      <w:rPr>
        <w:rFonts w:hint="default"/>
      </w:rPr>
    </w:lvl>
    <w:lvl w:ilvl="2">
      <w:start w:val="0"/>
      <w:numFmt w:val="bullet"/>
      <w:lvlText w:val="•"/>
      <w:lvlJc w:val="left"/>
      <w:pPr>
        <w:ind w:left="4415" w:hanging="1056"/>
      </w:pPr>
      <w:rPr>
        <w:rFonts w:hint="default"/>
      </w:rPr>
    </w:lvl>
    <w:lvl w:ilvl="3">
      <w:start w:val="0"/>
      <w:numFmt w:val="bullet"/>
      <w:lvlText w:val="•"/>
      <w:lvlJc w:val="left"/>
      <w:pPr>
        <w:ind w:left="5723" w:hanging="1056"/>
      </w:pPr>
      <w:rPr>
        <w:rFonts w:hint="default"/>
      </w:rPr>
    </w:lvl>
    <w:lvl w:ilvl="4">
      <w:start w:val="0"/>
      <w:numFmt w:val="bullet"/>
      <w:lvlText w:val="•"/>
      <w:lvlJc w:val="left"/>
      <w:pPr>
        <w:ind w:left="7031" w:hanging="1056"/>
      </w:pPr>
      <w:rPr>
        <w:rFonts w:hint="default"/>
      </w:rPr>
    </w:lvl>
    <w:lvl w:ilvl="5">
      <w:start w:val="0"/>
      <w:numFmt w:val="bullet"/>
      <w:lvlText w:val="•"/>
      <w:lvlJc w:val="left"/>
      <w:pPr>
        <w:ind w:left="8339" w:hanging="1056"/>
      </w:pPr>
      <w:rPr>
        <w:rFonts w:hint="default"/>
      </w:rPr>
    </w:lvl>
    <w:lvl w:ilvl="6">
      <w:start w:val="0"/>
      <w:numFmt w:val="bullet"/>
      <w:lvlText w:val="•"/>
      <w:lvlJc w:val="left"/>
      <w:pPr>
        <w:ind w:left="9647" w:hanging="1056"/>
      </w:pPr>
      <w:rPr>
        <w:rFonts w:hint="default"/>
      </w:rPr>
    </w:lvl>
    <w:lvl w:ilvl="7">
      <w:start w:val="0"/>
      <w:numFmt w:val="bullet"/>
      <w:lvlText w:val="•"/>
      <w:lvlJc w:val="left"/>
      <w:pPr>
        <w:ind w:left="10955" w:hanging="1056"/>
      </w:pPr>
      <w:rPr>
        <w:rFonts w:hint="default"/>
      </w:rPr>
    </w:lvl>
    <w:lvl w:ilvl="8">
      <w:start w:val="0"/>
      <w:numFmt w:val="bullet"/>
      <w:lvlText w:val="•"/>
      <w:lvlJc w:val="left"/>
      <w:pPr>
        <w:ind w:left="12263" w:hanging="1056"/>
      </w:pPr>
      <w:rPr>
        <w:rFonts w:hint="default"/>
      </w:rPr>
    </w:lvl>
  </w:abstractNum>
  <w:abstractNum w:abstractNumId="4">
    <w:nsid w:val="1D2246C1"/>
    <w:multiLevelType w:val="hybridMultilevel"/>
    <w:tmpl w:val="00000000"/>
    <w:lvl w:ilvl="0">
      <w:start w:val="1"/>
      <w:numFmt w:val="decimal"/>
      <w:lvlText w:val="（%1）"/>
      <w:lvlJc w:val="left"/>
      <w:pPr>
        <w:ind w:left="117" w:hanging="1056"/>
        <w:jc w:val="left"/>
      </w:pPr>
      <w:rPr>
        <w:rFonts w:ascii="宋体" w:eastAsia="宋体" w:hAnsi="宋体" w:cs="宋体" w:hint="default"/>
        <w:spacing w:val="-61"/>
        <w:w w:val="90"/>
        <w:sz w:val="40"/>
        <w:szCs w:val="40"/>
      </w:rPr>
    </w:lvl>
    <w:lvl w:ilvl="1">
      <w:start w:val="0"/>
      <w:numFmt w:val="bullet"/>
      <w:lvlText w:val="•"/>
      <w:lvlJc w:val="left"/>
      <w:pPr>
        <w:ind w:left="1595" w:hanging="1056"/>
      </w:pPr>
      <w:rPr>
        <w:rFonts w:hint="default"/>
      </w:rPr>
    </w:lvl>
    <w:lvl w:ilvl="2">
      <w:start w:val="0"/>
      <w:numFmt w:val="bullet"/>
      <w:lvlText w:val="•"/>
      <w:lvlJc w:val="left"/>
      <w:pPr>
        <w:ind w:left="3071" w:hanging="1056"/>
      </w:pPr>
      <w:rPr>
        <w:rFonts w:hint="default"/>
      </w:rPr>
    </w:lvl>
    <w:lvl w:ilvl="3">
      <w:start w:val="0"/>
      <w:numFmt w:val="bullet"/>
      <w:lvlText w:val="•"/>
      <w:lvlJc w:val="left"/>
      <w:pPr>
        <w:ind w:left="4547" w:hanging="1056"/>
      </w:pPr>
      <w:rPr>
        <w:rFonts w:hint="default"/>
      </w:rPr>
    </w:lvl>
    <w:lvl w:ilvl="4">
      <w:start w:val="0"/>
      <w:numFmt w:val="bullet"/>
      <w:lvlText w:val="•"/>
      <w:lvlJc w:val="left"/>
      <w:pPr>
        <w:ind w:left="6023" w:hanging="1056"/>
      </w:pPr>
      <w:rPr>
        <w:rFonts w:hint="default"/>
      </w:rPr>
    </w:lvl>
    <w:lvl w:ilvl="5">
      <w:start w:val="0"/>
      <w:numFmt w:val="bullet"/>
      <w:lvlText w:val="•"/>
      <w:lvlJc w:val="left"/>
      <w:pPr>
        <w:ind w:left="7499" w:hanging="1056"/>
      </w:pPr>
      <w:rPr>
        <w:rFonts w:hint="default"/>
      </w:rPr>
    </w:lvl>
    <w:lvl w:ilvl="6">
      <w:start w:val="0"/>
      <w:numFmt w:val="bullet"/>
      <w:lvlText w:val="•"/>
      <w:lvlJc w:val="left"/>
      <w:pPr>
        <w:ind w:left="8975" w:hanging="1056"/>
      </w:pPr>
      <w:rPr>
        <w:rFonts w:hint="default"/>
      </w:rPr>
    </w:lvl>
    <w:lvl w:ilvl="7">
      <w:start w:val="0"/>
      <w:numFmt w:val="bullet"/>
      <w:lvlText w:val="•"/>
      <w:lvlJc w:val="left"/>
      <w:pPr>
        <w:ind w:left="10451" w:hanging="1056"/>
      </w:pPr>
      <w:rPr>
        <w:rFonts w:hint="default"/>
      </w:rPr>
    </w:lvl>
    <w:lvl w:ilvl="8">
      <w:start w:val="0"/>
      <w:numFmt w:val="bullet"/>
      <w:lvlText w:val="•"/>
      <w:lvlJc w:val="left"/>
      <w:pPr>
        <w:ind w:left="11927" w:hanging="1056"/>
      </w:pPr>
      <w:rPr>
        <w:rFonts w:hint="default"/>
      </w:rPr>
    </w:lvl>
  </w:abstractNum>
  <w:abstractNum w:abstractNumId="5">
    <w:nsid w:val="4914CE2B"/>
    <w:multiLevelType w:val="hybridMultilevel"/>
    <w:tmpl w:val="00000000"/>
    <w:lvl w:ilvl="0">
      <w:start w:val="1"/>
      <w:numFmt w:val="decimal"/>
      <w:lvlText w:val="（%1）"/>
      <w:lvlJc w:val="left"/>
      <w:pPr>
        <w:ind w:left="1802" w:hanging="1056"/>
        <w:jc w:val="left"/>
      </w:pPr>
      <w:rPr>
        <w:rFonts w:ascii="宋体" w:eastAsia="宋体" w:hAnsi="宋体" w:cs="宋体" w:hint="default"/>
        <w:spacing w:val="-87"/>
        <w:w w:val="90"/>
        <w:sz w:val="40"/>
        <w:szCs w:val="40"/>
      </w:rPr>
    </w:lvl>
    <w:lvl w:ilvl="1">
      <w:start w:val="0"/>
      <w:numFmt w:val="bullet"/>
      <w:lvlText w:val="•"/>
      <w:lvlJc w:val="left"/>
      <w:pPr>
        <w:ind w:left="3107" w:hanging="1056"/>
      </w:pPr>
      <w:rPr>
        <w:rFonts w:hint="default"/>
      </w:rPr>
    </w:lvl>
    <w:lvl w:ilvl="2">
      <w:start w:val="0"/>
      <w:numFmt w:val="bullet"/>
      <w:lvlText w:val="•"/>
      <w:lvlJc w:val="left"/>
      <w:pPr>
        <w:ind w:left="4415" w:hanging="1056"/>
      </w:pPr>
      <w:rPr>
        <w:rFonts w:hint="default"/>
      </w:rPr>
    </w:lvl>
    <w:lvl w:ilvl="3">
      <w:start w:val="0"/>
      <w:numFmt w:val="bullet"/>
      <w:lvlText w:val="•"/>
      <w:lvlJc w:val="left"/>
      <w:pPr>
        <w:ind w:left="5723" w:hanging="1056"/>
      </w:pPr>
      <w:rPr>
        <w:rFonts w:hint="default"/>
      </w:rPr>
    </w:lvl>
    <w:lvl w:ilvl="4">
      <w:start w:val="0"/>
      <w:numFmt w:val="bullet"/>
      <w:lvlText w:val="•"/>
      <w:lvlJc w:val="left"/>
      <w:pPr>
        <w:ind w:left="7031" w:hanging="1056"/>
      </w:pPr>
      <w:rPr>
        <w:rFonts w:hint="default"/>
      </w:rPr>
    </w:lvl>
    <w:lvl w:ilvl="5">
      <w:start w:val="0"/>
      <w:numFmt w:val="bullet"/>
      <w:lvlText w:val="•"/>
      <w:lvlJc w:val="left"/>
      <w:pPr>
        <w:ind w:left="8339" w:hanging="1056"/>
      </w:pPr>
      <w:rPr>
        <w:rFonts w:hint="default"/>
      </w:rPr>
    </w:lvl>
    <w:lvl w:ilvl="6">
      <w:start w:val="0"/>
      <w:numFmt w:val="bullet"/>
      <w:lvlText w:val="•"/>
      <w:lvlJc w:val="left"/>
      <w:pPr>
        <w:ind w:left="9647" w:hanging="1056"/>
      </w:pPr>
      <w:rPr>
        <w:rFonts w:hint="default"/>
      </w:rPr>
    </w:lvl>
    <w:lvl w:ilvl="7">
      <w:start w:val="0"/>
      <w:numFmt w:val="bullet"/>
      <w:lvlText w:val="•"/>
      <w:lvlJc w:val="left"/>
      <w:pPr>
        <w:ind w:left="10955" w:hanging="1056"/>
      </w:pPr>
      <w:rPr>
        <w:rFonts w:hint="default"/>
      </w:rPr>
    </w:lvl>
    <w:lvl w:ilvl="8">
      <w:start w:val="0"/>
      <w:numFmt w:val="bullet"/>
      <w:lvlText w:val="•"/>
      <w:lvlJc w:val="left"/>
      <w:pPr>
        <w:ind w:left="12263" w:hanging="1056"/>
      </w:pPr>
      <w:rPr>
        <w:rFonts w:hint="default"/>
      </w:rPr>
    </w:lvl>
  </w:abstractNum>
  <w:abstractNum w:abstractNumId="6">
    <w:nsid w:val="4AFE764C"/>
    <w:multiLevelType w:val="hybridMultilevel"/>
    <w:tmpl w:val="00000000"/>
    <w:lvl w:ilvl="0">
      <w:start w:val="1"/>
      <w:numFmt w:val="decimal"/>
      <w:lvlText w:val="（%1）"/>
      <w:lvlJc w:val="left"/>
      <w:pPr>
        <w:ind w:left="1802" w:hanging="1052"/>
        <w:jc w:val="left"/>
      </w:pPr>
      <w:rPr>
        <w:rFonts w:ascii="宋体" w:eastAsia="宋体" w:hAnsi="宋体" w:cs="宋体" w:hint="default"/>
        <w:spacing w:val="-4"/>
        <w:w w:val="100"/>
        <w:sz w:val="40"/>
        <w:szCs w:val="40"/>
      </w:rPr>
    </w:lvl>
    <w:lvl w:ilvl="1">
      <w:start w:val="0"/>
      <w:numFmt w:val="bullet"/>
      <w:lvlText w:val="•"/>
      <w:lvlJc w:val="left"/>
      <w:pPr>
        <w:ind w:left="3107" w:hanging="1052"/>
      </w:pPr>
      <w:rPr>
        <w:rFonts w:hint="default"/>
      </w:rPr>
    </w:lvl>
    <w:lvl w:ilvl="2">
      <w:start w:val="0"/>
      <w:numFmt w:val="bullet"/>
      <w:lvlText w:val="•"/>
      <w:lvlJc w:val="left"/>
      <w:pPr>
        <w:ind w:left="4415" w:hanging="1052"/>
      </w:pPr>
      <w:rPr>
        <w:rFonts w:hint="default"/>
      </w:rPr>
    </w:lvl>
    <w:lvl w:ilvl="3">
      <w:start w:val="0"/>
      <w:numFmt w:val="bullet"/>
      <w:lvlText w:val="•"/>
      <w:lvlJc w:val="left"/>
      <w:pPr>
        <w:ind w:left="5723" w:hanging="1052"/>
      </w:pPr>
      <w:rPr>
        <w:rFonts w:hint="default"/>
      </w:rPr>
    </w:lvl>
    <w:lvl w:ilvl="4">
      <w:start w:val="0"/>
      <w:numFmt w:val="bullet"/>
      <w:lvlText w:val="•"/>
      <w:lvlJc w:val="left"/>
      <w:pPr>
        <w:ind w:left="7031" w:hanging="1052"/>
      </w:pPr>
      <w:rPr>
        <w:rFonts w:hint="default"/>
      </w:rPr>
    </w:lvl>
    <w:lvl w:ilvl="5">
      <w:start w:val="0"/>
      <w:numFmt w:val="bullet"/>
      <w:lvlText w:val="•"/>
      <w:lvlJc w:val="left"/>
      <w:pPr>
        <w:ind w:left="8339" w:hanging="1052"/>
      </w:pPr>
      <w:rPr>
        <w:rFonts w:hint="default"/>
      </w:rPr>
    </w:lvl>
    <w:lvl w:ilvl="6">
      <w:start w:val="0"/>
      <w:numFmt w:val="bullet"/>
      <w:lvlText w:val="•"/>
      <w:lvlJc w:val="left"/>
      <w:pPr>
        <w:ind w:left="9647" w:hanging="1052"/>
      </w:pPr>
      <w:rPr>
        <w:rFonts w:hint="default"/>
      </w:rPr>
    </w:lvl>
    <w:lvl w:ilvl="7">
      <w:start w:val="0"/>
      <w:numFmt w:val="bullet"/>
      <w:lvlText w:val="•"/>
      <w:lvlJc w:val="left"/>
      <w:pPr>
        <w:ind w:left="10955" w:hanging="1052"/>
      </w:pPr>
      <w:rPr>
        <w:rFonts w:hint="default"/>
      </w:rPr>
    </w:lvl>
    <w:lvl w:ilvl="8">
      <w:start w:val="0"/>
      <w:numFmt w:val="bullet"/>
      <w:lvlText w:val="•"/>
      <w:lvlJc w:val="left"/>
      <w:pPr>
        <w:ind w:left="12263" w:hanging="1052"/>
      </w:pPr>
      <w:rPr>
        <w:rFonts w:hint="default"/>
      </w:rPr>
    </w:lvl>
  </w:abstractNum>
  <w:abstractNum w:abstractNumId="7">
    <w:nsid w:val="649804E5"/>
    <w:multiLevelType w:val="hybridMultilevel"/>
    <w:tmpl w:val="00000000"/>
    <w:lvl w:ilvl="0">
      <w:start w:val="1"/>
      <w:numFmt w:val="decimal"/>
      <w:lvlText w:val="（%1）"/>
      <w:lvlJc w:val="left"/>
      <w:pPr>
        <w:ind w:left="1802" w:hanging="1056"/>
        <w:jc w:val="left"/>
      </w:pPr>
      <w:rPr>
        <w:rFonts w:ascii="宋体" w:eastAsia="宋体" w:hAnsi="宋体" w:cs="宋体" w:hint="default"/>
        <w:spacing w:val="-1"/>
        <w:w w:val="90"/>
        <w:sz w:val="40"/>
        <w:szCs w:val="40"/>
      </w:rPr>
    </w:lvl>
    <w:lvl w:ilvl="1">
      <w:start w:val="0"/>
      <w:numFmt w:val="bullet"/>
      <w:lvlText w:val="•"/>
      <w:lvlJc w:val="left"/>
      <w:pPr>
        <w:ind w:left="3107" w:hanging="1056"/>
      </w:pPr>
      <w:rPr>
        <w:rFonts w:hint="default"/>
      </w:rPr>
    </w:lvl>
    <w:lvl w:ilvl="2">
      <w:start w:val="0"/>
      <w:numFmt w:val="bullet"/>
      <w:lvlText w:val="•"/>
      <w:lvlJc w:val="left"/>
      <w:pPr>
        <w:ind w:left="4415" w:hanging="1056"/>
      </w:pPr>
      <w:rPr>
        <w:rFonts w:hint="default"/>
      </w:rPr>
    </w:lvl>
    <w:lvl w:ilvl="3">
      <w:start w:val="0"/>
      <w:numFmt w:val="bullet"/>
      <w:lvlText w:val="•"/>
      <w:lvlJc w:val="left"/>
      <w:pPr>
        <w:ind w:left="5723" w:hanging="1056"/>
      </w:pPr>
      <w:rPr>
        <w:rFonts w:hint="default"/>
      </w:rPr>
    </w:lvl>
    <w:lvl w:ilvl="4">
      <w:start w:val="0"/>
      <w:numFmt w:val="bullet"/>
      <w:lvlText w:val="•"/>
      <w:lvlJc w:val="left"/>
      <w:pPr>
        <w:ind w:left="7031" w:hanging="1056"/>
      </w:pPr>
      <w:rPr>
        <w:rFonts w:hint="default"/>
      </w:rPr>
    </w:lvl>
    <w:lvl w:ilvl="5">
      <w:start w:val="0"/>
      <w:numFmt w:val="bullet"/>
      <w:lvlText w:val="•"/>
      <w:lvlJc w:val="left"/>
      <w:pPr>
        <w:ind w:left="8339" w:hanging="1056"/>
      </w:pPr>
      <w:rPr>
        <w:rFonts w:hint="default"/>
      </w:rPr>
    </w:lvl>
    <w:lvl w:ilvl="6">
      <w:start w:val="0"/>
      <w:numFmt w:val="bullet"/>
      <w:lvlText w:val="•"/>
      <w:lvlJc w:val="left"/>
      <w:pPr>
        <w:ind w:left="9647" w:hanging="1056"/>
      </w:pPr>
      <w:rPr>
        <w:rFonts w:hint="default"/>
      </w:rPr>
    </w:lvl>
    <w:lvl w:ilvl="7">
      <w:start w:val="0"/>
      <w:numFmt w:val="bullet"/>
      <w:lvlText w:val="•"/>
      <w:lvlJc w:val="left"/>
      <w:pPr>
        <w:ind w:left="10955" w:hanging="1056"/>
      </w:pPr>
      <w:rPr>
        <w:rFonts w:hint="default"/>
      </w:rPr>
    </w:lvl>
    <w:lvl w:ilvl="8">
      <w:start w:val="0"/>
      <w:numFmt w:val="bullet"/>
      <w:lvlText w:val="•"/>
      <w:lvlJc w:val="left"/>
      <w:pPr>
        <w:ind w:left="12263" w:hanging="1056"/>
      </w:pPr>
      <w:rPr>
        <w:rFonts w:hint="default"/>
      </w:rPr>
    </w:lvl>
  </w:abstractNum>
  <w:abstractNum w:abstractNumId="8">
    <w:nsid w:val="64B3DAFC"/>
    <w:multiLevelType w:val="hybridMultilevel"/>
    <w:tmpl w:val="00000000"/>
    <w:lvl w:ilvl="0">
      <w:start w:val="1"/>
      <w:numFmt w:val="decimal"/>
      <w:lvlText w:val="（%1）"/>
      <w:lvlJc w:val="left"/>
      <w:pPr>
        <w:ind w:left="120" w:hanging="1060"/>
        <w:jc w:val="left"/>
      </w:pPr>
      <w:rPr>
        <w:rFonts w:ascii="宋体" w:eastAsia="宋体" w:hAnsi="宋体" w:cs="宋体" w:hint="default"/>
        <w:spacing w:val="0"/>
        <w:w w:val="100"/>
        <w:sz w:val="40"/>
        <w:szCs w:val="40"/>
      </w:rPr>
    </w:lvl>
    <w:lvl w:ilvl="1">
      <w:start w:val="0"/>
      <w:numFmt w:val="bullet"/>
      <w:lvlText w:val="•"/>
      <w:lvlJc w:val="left"/>
      <w:pPr>
        <w:ind w:left="1595" w:hanging="1060"/>
      </w:pPr>
      <w:rPr>
        <w:rFonts w:hint="default"/>
      </w:rPr>
    </w:lvl>
    <w:lvl w:ilvl="2">
      <w:start w:val="0"/>
      <w:numFmt w:val="bullet"/>
      <w:lvlText w:val="•"/>
      <w:lvlJc w:val="left"/>
      <w:pPr>
        <w:ind w:left="3071" w:hanging="1060"/>
      </w:pPr>
      <w:rPr>
        <w:rFonts w:hint="default"/>
      </w:rPr>
    </w:lvl>
    <w:lvl w:ilvl="3">
      <w:start w:val="0"/>
      <w:numFmt w:val="bullet"/>
      <w:lvlText w:val="•"/>
      <w:lvlJc w:val="left"/>
      <w:pPr>
        <w:ind w:left="4547" w:hanging="1060"/>
      </w:pPr>
      <w:rPr>
        <w:rFonts w:hint="default"/>
      </w:rPr>
    </w:lvl>
    <w:lvl w:ilvl="4">
      <w:start w:val="0"/>
      <w:numFmt w:val="bullet"/>
      <w:lvlText w:val="•"/>
      <w:lvlJc w:val="left"/>
      <w:pPr>
        <w:ind w:left="6023" w:hanging="1060"/>
      </w:pPr>
      <w:rPr>
        <w:rFonts w:hint="default"/>
      </w:rPr>
    </w:lvl>
    <w:lvl w:ilvl="5">
      <w:start w:val="0"/>
      <w:numFmt w:val="bullet"/>
      <w:lvlText w:val="•"/>
      <w:lvlJc w:val="left"/>
      <w:pPr>
        <w:ind w:left="7499" w:hanging="1060"/>
      </w:pPr>
      <w:rPr>
        <w:rFonts w:hint="default"/>
      </w:rPr>
    </w:lvl>
    <w:lvl w:ilvl="6">
      <w:start w:val="0"/>
      <w:numFmt w:val="bullet"/>
      <w:lvlText w:val="•"/>
      <w:lvlJc w:val="left"/>
      <w:pPr>
        <w:ind w:left="8975" w:hanging="1060"/>
      </w:pPr>
      <w:rPr>
        <w:rFonts w:hint="default"/>
      </w:rPr>
    </w:lvl>
    <w:lvl w:ilvl="7">
      <w:start w:val="0"/>
      <w:numFmt w:val="bullet"/>
      <w:lvlText w:val="•"/>
      <w:lvlJc w:val="left"/>
      <w:pPr>
        <w:ind w:left="10451" w:hanging="1060"/>
      </w:pPr>
      <w:rPr>
        <w:rFonts w:hint="default"/>
      </w:rPr>
    </w:lvl>
    <w:lvl w:ilvl="8">
      <w:start w:val="0"/>
      <w:numFmt w:val="bullet"/>
      <w:lvlText w:val="•"/>
      <w:lvlJc w:val="left"/>
      <w:pPr>
        <w:ind w:left="11927" w:hanging="1060"/>
      </w:pPr>
      <w:rPr>
        <w:rFonts w:hint="default"/>
      </w:rPr>
    </w:lvl>
  </w:abstractNum>
  <w:abstractNum w:abstractNumId="9">
    <w:nsid w:val="6805DDBE"/>
    <w:multiLevelType w:val="hybridMultilevel"/>
    <w:tmpl w:val="00000000"/>
    <w:lvl w:ilvl="0">
      <w:start w:val="1"/>
      <w:numFmt w:val="decimal"/>
      <w:lvlText w:val="（%1）"/>
      <w:lvlJc w:val="left"/>
      <w:pPr>
        <w:ind w:left="1802" w:hanging="1056"/>
        <w:jc w:val="left"/>
      </w:pPr>
      <w:rPr>
        <w:rFonts w:ascii="宋体" w:eastAsia="宋体" w:hAnsi="宋体" w:cs="宋体" w:hint="default"/>
        <w:spacing w:val="-1"/>
        <w:w w:val="90"/>
        <w:sz w:val="40"/>
        <w:szCs w:val="40"/>
      </w:rPr>
    </w:lvl>
    <w:lvl w:ilvl="1">
      <w:start w:val="1"/>
      <w:numFmt w:val="decimal"/>
      <w:lvlText w:val="（%2）"/>
      <w:lvlJc w:val="left"/>
      <w:pPr>
        <w:ind w:left="2134" w:hanging="1056"/>
        <w:jc w:val="left"/>
      </w:pPr>
      <w:rPr>
        <w:rFonts w:ascii="宋体" w:eastAsia="宋体" w:hAnsi="宋体" w:cs="宋体" w:hint="default"/>
        <w:w w:val="90"/>
        <w:sz w:val="40"/>
        <w:szCs w:val="40"/>
      </w:rPr>
    </w:lvl>
    <w:lvl w:ilvl="2">
      <w:start w:val="0"/>
      <w:numFmt w:val="bullet"/>
      <w:lvlText w:val="•"/>
      <w:lvlJc w:val="left"/>
      <w:pPr>
        <w:ind w:left="3555" w:hanging="1056"/>
      </w:pPr>
      <w:rPr>
        <w:rFonts w:hint="default"/>
      </w:rPr>
    </w:lvl>
    <w:lvl w:ilvl="3">
      <w:start w:val="0"/>
      <w:numFmt w:val="bullet"/>
      <w:lvlText w:val="•"/>
      <w:lvlJc w:val="left"/>
      <w:pPr>
        <w:ind w:left="4971" w:hanging="1056"/>
      </w:pPr>
      <w:rPr>
        <w:rFonts w:hint="default"/>
      </w:rPr>
    </w:lvl>
    <w:lvl w:ilvl="4">
      <w:start w:val="0"/>
      <w:numFmt w:val="bullet"/>
      <w:lvlText w:val="•"/>
      <w:lvlJc w:val="left"/>
      <w:pPr>
        <w:ind w:left="6386" w:hanging="1056"/>
      </w:pPr>
      <w:rPr>
        <w:rFonts w:hint="default"/>
      </w:rPr>
    </w:lvl>
    <w:lvl w:ilvl="5">
      <w:start w:val="0"/>
      <w:numFmt w:val="bullet"/>
      <w:lvlText w:val="•"/>
      <w:lvlJc w:val="left"/>
      <w:pPr>
        <w:ind w:left="7802" w:hanging="1056"/>
      </w:pPr>
      <w:rPr>
        <w:rFonts w:hint="default"/>
      </w:rPr>
    </w:lvl>
    <w:lvl w:ilvl="6">
      <w:start w:val="0"/>
      <w:numFmt w:val="bullet"/>
      <w:lvlText w:val="•"/>
      <w:lvlJc w:val="left"/>
      <w:pPr>
        <w:ind w:left="9217" w:hanging="1056"/>
      </w:pPr>
      <w:rPr>
        <w:rFonts w:hint="default"/>
      </w:rPr>
    </w:lvl>
    <w:lvl w:ilvl="7">
      <w:start w:val="0"/>
      <w:numFmt w:val="bullet"/>
      <w:lvlText w:val="•"/>
      <w:lvlJc w:val="left"/>
      <w:pPr>
        <w:ind w:left="10633" w:hanging="1056"/>
      </w:pPr>
      <w:rPr>
        <w:rFonts w:hint="default"/>
      </w:rPr>
    </w:lvl>
    <w:lvl w:ilvl="8">
      <w:start w:val="0"/>
      <w:numFmt w:val="bullet"/>
      <w:lvlText w:val="•"/>
      <w:lvlJc w:val="left"/>
      <w:pPr>
        <w:ind w:left="12048" w:hanging="1056"/>
      </w:pPr>
      <w:rPr>
        <w:rFonts w:hint="default"/>
      </w:rPr>
    </w:lvl>
  </w:abstractNum>
  <w:num w:numId="1">
    <w:abstractNumId w:val="9"/>
  </w:num>
  <w:num w:numId="2">
    <w:abstractNumId w:val="6"/>
  </w:num>
  <w:num w:numId="3">
    <w:abstractNumId w:val="4"/>
  </w:num>
  <w:num w:numId="4">
    <w:abstractNumId w:val="3"/>
  </w:num>
  <w:num w:numId="5">
    <w:abstractNumId w:val="5"/>
  </w:num>
  <w:num w:numId="6">
    <w:abstractNumId w:val="7"/>
  </w:num>
  <w:num w:numId="7">
    <w:abstractNumId w:val="1"/>
  </w:num>
  <w:num w:numId="8">
    <w:abstractNumId w:val="2"/>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17"/>
      <w:outlineLvl w:val="0"/>
    </w:pPr>
    <w:rPr>
      <w:rFonts w:ascii="幼圆" w:eastAsia="幼圆" w:hAnsi="幼圆" w:cs="幼圆"/>
      <w:sz w:val="45"/>
      <w:szCs w:val="4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831"/>
      <w:ind w:left="657"/>
    </w:pPr>
    <w:rPr>
      <w:rFonts w:ascii="宋体" w:eastAsia="宋体" w:hAnsi="宋体" w:cs="宋体"/>
      <w:sz w:val="54"/>
      <w:szCs w:val="54"/>
    </w:rPr>
  </w:style>
  <w:style w:type="paragraph" w:styleId="BodyText">
    <w:name w:val="Body Text"/>
    <w:basedOn w:val="Normal"/>
    <w:uiPriority w:val="1"/>
    <w:qFormat/>
    <w:rPr>
      <w:rFonts w:ascii="宋体" w:eastAsia="宋体" w:hAnsi="宋体" w:cs="宋体"/>
      <w:sz w:val="42"/>
      <w:szCs w:val="42"/>
    </w:rPr>
  </w:style>
  <w:style w:type="paragraph" w:styleId="Title">
    <w:name w:val="Title"/>
    <w:basedOn w:val="Normal"/>
    <w:uiPriority w:val="1"/>
    <w:qFormat/>
    <w:pPr>
      <w:spacing w:line="1450" w:lineRule="exact"/>
      <w:ind w:right="963"/>
      <w:jc w:val="center"/>
    </w:pPr>
    <w:rPr>
      <w:rFonts w:ascii="宋体" w:eastAsia="宋体" w:hAnsi="宋体" w:cs="宋体"/>
      <w:sz w:val="126"/>
      <w:szCs w:val="126"/>
    </w:rPr>
  </w:style>
  <w:style w:type="paragraph" w:styleId="ListParagraph">
    <w:name w:val="List Paragraph"/>
    <w:basedOn w:val="Normal"/>
    <w:uiPriority w:val="1"/>
    <w:qFormat/>
    <w:pPr>
      <w:ind w:left="117" w:hanging="1056"/>
    </w:pPr>
    <w:rPr>
      <w:rFonts w:ascii="宋体" w:eastAsia="宋体" w:hAnsi="宋体" w:cs="宋体"/>
    </w:rPr>
  </w:style>
  <w:style w:type="paragraph" w:customStyle="1" w:styleId="TableParagraph">
    <w:name w:val="Table Paragraph"/>
    <w:basedOn w:val="Normal"/>
    <w:uiPriority w:val="1"/>
    <w:qFormat/>
    <w:pPr>
      <w:spacing w:line="295" w:lineRule="exact"/>
      <w:jc w:val="right"/>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yperlink" Target="https://d.book118.com/306000014103010054"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2024-02-02T09:53:46Z</dcterms:created>
  <dcterms:modified xsi:type="dcterms:W3CDTF">2024-02-02T09:53:46Z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LastSaved">
    <vt:filetime>2024-02-02T00:00:00Z</vt:filetime>
  </property>
</Properties>
</file>