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2018-2023年漳州科技职业学院高职单招（数学／语文／英语）历年常考试题库含答案解析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曹禺的代表作是（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A.《雷雨》、《日出》、《北京人》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B.《茶馆》、《屈原》、《北京人》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C.《茶馆》、《雷雨》、《日出》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D.《屈原》、《茶馆》、《雷雨》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下列各句中，“服”字作“佩带”解的是（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A.垂明月之珠，服太阿之剑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C.石崇与王恺争豪，并穷绮丽，以饰舆服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D.军中自是服其勇也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下列词句中，运用了比喻手法的是（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657754" cy="218145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下列句子中属于呼告句的是（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D.这次第，怎一个愁字了得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下列关于《庄子·秋水》的表述，不正确的一项是（）。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A.“东面而视，不见水端”描写了北海的辽阔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B.“两涘渚崖之间，不辩牛马”描写了黄河水上涨的景色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C.“吾长见笑于大方之家”说明河伯认识到了自己的局限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D.“天下之水，莫大于海”写出了北海若骄傲自得的心态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苏轼的《水调歌头》（明月几时有）是一首（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A.清明词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B.重阳词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“易安居士”是指（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下列各句中，同时采用了对偶、夸张的是（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A.恨相见得迟，怨归去得疾。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B.泪添九曲黄河溢，恨压三峰华岳低。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D.忽如一夜春风来，千树万树梨花开。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https://d.book118.com/306033043233010052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306033043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