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软体家具行业相关公司设立可行性研究报告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0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_Toc18078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_Toc13920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(七)、软体家具项目建设必要性分析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_Toc10468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_Toc22508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_Toc23696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_Toc12587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eastAsia="zh-CN"/>
          </w:rPr>
          <w:t>四、软体家具筹建公司基本信息</w:t>
        </w:r>
        <w:r>
          <w:tab/>
        </w:r>
        <w:r>
          <w:fldChar w:fldCharType="begin"/>
        </w:r>
        <w:r>
          <w:instrText xml:space="preserve"> PAGEREF _Toc14406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_Toc20975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_Toc10194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_Toc21989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_Toc29743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_Toc29202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7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_Toc10070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_Toc32727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_Toc13230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2" w:history="1">
        <w:r>
          <w:rPr>
            <w:rFonts w:ascii="仿宋" w:eastAsia="仿宋" w:hAnsi="仿宋" w:cs="仿宋" w:hint="eastAsia"/>
            <w:lang w:eastAsia="zh-CN"/>
          </w:rPr>
          <w:t>七、软体家具项目经济效益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(三)、软体家具项目盈利能力分析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_Toc3466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9" w:history="1">
        <w:r>
          <w:rPr>
            <w:rFonts w:ascii="仿宋" w:eastAsia="仿宋" w:hAnsi="仿宋" w:cs="仿宋" w:hint="eastAsia"/>
            <w:lang w:eastAsia="zh-CN"/>
          </w:rPr>
          <w:t>(一)、软体家具项目进度安排</w:t>
        </w:r>
        <w:r>
          <w:tab/>
        </w:r>
        <w:r>
          <w:fldChar w:fldCharType="begin"/>
        </w:r>
        <w:r>
          <w:instrText xml:space="preserve"> PAGEREF _Toc28859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(二)、软体家具项目实施保障措施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_Toc24109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(五)、软体家具项目总投资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_Toc4109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_Toc19626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_Toc32309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6" w:history="1">
        <w:r>
          <w:rPr>
            <w:rFonts w:ascii="仿宋" w:eastAsia="仿宋" w:hAnsi="仿宋" w:cs="仿宋" w:hint="eastAsia"/>
            <w:lang w:eastAsia="zh-CN"/>
          </w:rPr>
          <w:t>十二、软体家具项目总结分析</w:t>
        </w:r>
        <w:r>
          <w:tab/>
        </w:r>
        <w:r>
          <w:fldChar w:fldCharType="begin"/>
        </w:r>
        <w:r>
          <w:instrText xml:space="preserve"> PAGEREF _Toc15926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_Toc24175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0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00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46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59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https://d.book118.com/306044055225010050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软体家具行业相关公司设立可行性研究报告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软体家具行业相关公司设立可行性研究报告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软体家具行业相关公司设立可行性研究报告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软体家具行业相关公司设立可行性研究报告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软体家具行业相关公司设立可行性研究报告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6044055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2024-02-09T20:33:00Z</dcterms:created>
  <dcterms:modified xsi:type="dcterms:W3CDTF">2024-02-09T20:34:04Z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DB26B295BDD6465291B964CFF87ED5CD_11</vt:lpwstr>
  </property>
  <property fmtid="{D5CDD505-2E9C-101B-9397-08002B2CF9AE}" pid="3" name="KSOProductBuildVer">
    <vt:lpwstr>2052-12.1.0.16250</vt:lpwstr>
  </property>
</Properties>
</file>