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23" w:line="224" w:lineRule="auto"/>
        <w:jc w:val="right"/>
      </w:pPr>
      <w:r>
        <w:rPr>
          <w:spacing w:val="-16"/>
        </w:rPr>
        <w:t>DZ/T</w:t>
      </w:r>
      <w:r>
        <w:rPr>
          <w:spacing w:val="-15"/>
        </w:rPr>
        <w:t>□32-0</w:t>
      </w:r>
      <w:r>
        <w:rPr>
          <w:spacing w:val="-11"/>
        </w:rPr>
        <w:t>0</w:t>
      </w:r>
    </w:p>
    <w:p>
      <w:pPr>
        <w:spacing w:before="185" w:line="220" w:lineRule="auto"/>
        <w:ind w:left="1674"/>
        <w:outlineLvl w:val="0"/>
        <w:rPr>
          <w:rFonts w:ascii="SimHei" w:eastAsia="SimHei" w:hAnsi="SimHei" w:cs="SimHei"/>
          <w:sz w:val="32"/>
          <w:szCs w:val="32"/>
        </w:rPr>
      </w:pPr>
      <w:r>
        <w:rPr>
          <w:rFonts w:ascii="SimHei" w:eastAsia="SimHei" w:hAnsi="SimHei" w:cs="SimHei"/>
          <w:b/>
          <w:bCs/>
          <w:spacing w:val="-6"/>
          <w:sz w:val="32"/>
          <w:szCs w:val="32"/>
        </w:rPr>
        <w:t>咸水层二氧化碳地质封存潜力评价技术指南</w:t>
      </w:r>
    </w:p>
    <w:p>
      <w:pPr>
        <w:spacing w:line="468" w:lineRule="auto"/>
        <w:rPr>
          <w:rFonts w:ascii="Arial"/>
          <w:sz w:val="21"/>
        </w:rPr>
      </w:pPr>
    </w:p>
    <w:p>
      <w:pPr>
        <w:spacing w:before="69" w:line="223" w:lineRule="auto"/>
        <w:ind w:left="3"/>
        <w:rPr>
          <w:rFonts w:ascii="SimHei" w:eastAsia="SimHei" w:hAnsi="SimHei" w:cs="SimHei"/>
          <w:sz w:val="21"/>
          <w:szCs w:val="21"/>
        </w:rPr>
      </w:pPr>
      <w:r>
        <w:rPr>
          <w:rFonts w:ascii="SimHei" w:eastAsia="SimHei" w:hAnsi="SimHei" w:cs="SimHei"/>
          <w:b/>
          <w:bCs/>
          <w:spacing w:val="-11"/>
          <w:sz w:val="21"/>
          <w:szCs w:val="21"/>
        </w:rPr>
        <w:t>1</w:t>
      </w:r>
      <w:r>
        <w:rPr>
          <w:rFonts w:ascii="SimHei" w:eastAsia="SimHei" w:hAnsi="SimHei" w:cs="SimHei"/>
          <w:spacing w:val="89"/>
          <w:sz w:val="21"/>
          <w:szCs w:val="21"/>
        </w:rPr>
        <w:t xml:space="preserve"> </w:t>
      </w:r>
      <w:r>
        <w:rPr>
          <w:rFonts w:ascii="SimHei" w:eastAsia="SimHei" w:hAnsi="SimHei" w:cs="SimHei"/>
          <w:b/>
          <w:bCs/>
          <w:spacing w:val="-11"/>
          <w:sz w:val="21"/>
          <w:szCs w:val="21"/>
        </w:rPr>
        <w:t>范围</w:t>
      </w:r>
    </w:p>
    <w:p>
      <w:pPr>
        <w:pStyle w:val="BodyText"/>
        <w:spacing w:before="257" w:line="232" w:lineRule="auto"/>
        <w:ind w:right="70" w:firstLine="379"/>
      </w:pPr>
      <w:r>
        <w:rPr>
          <w:spacing w:val="-3"/>
        </w:rPr>
        <w:t>本文件提供了咸水层二氧化碳地质封存潜力评价工作涉及的目标和原则、评价阶段划分、潜力分类</w:t>
      </w:r>
      <w:r>
        <w:rPr>
          <w:spacing w:val="17"/>
        </w:rPr>
        <w:t xml:space="preserve"> </w:t>
      </w:r>
      <w:r>
        <w:rPr>
          <w:spacing w:val="-2"/>
        </w:rPr>
        <w:t>分级、储层筛选、潜力计算及综合评价等指南。</w:t>
      </w:r>
    </w:p>
    <w:p>
      <w:pPr>
        <w:pStyle w:val="BodyText"/>
        <w:spacing w:before="31" w:line="218" w:lineRule="auto"/>
        <w:ind w:left="379"/>
      </w:pPr>
      <w:r>
        <w:rPr>
          <w:spacing w:val="-2"/>
        </w:rPr>
        <w:t>本文件适用于沉积盆地内深部咸水层二氧化碳地质封存潜力评价。</w:t>
      </w:r>
    </w:p>
    <w:p>
      <w:pPr>
        <w:spacing w:before="249" w:line="222" w:lineRule="auto"/>
        <w:ind w:left="2"/>
        <w:rPr>
          <w:rFonts w:ascii="SimHei" w:eastAsia="SimHei" w:hAnsi="SimHei" w:cs="SimHei"/>
          <w:sz w:val="21"/>
          <w:szCs w:val="21"/>
        </w:rPr>
      </w:pPr>
      <w:r>
        <w:rPr>
          <w:rFonts w:ascii="SimHei" w:eastAsia="SimHei" w:hAnsi="SimHei" w:cs="SimHei"/>
          <w:b/>
          <w:bCs/>
          <w:spacing w:val="-7"/>
          <w:sz w:val="21"/>
          <w:szCs w:val="21"/>
        </w:rPr>
        <w:t>2</w:t>
      </w:r>
      <w:r>
        <w:rPr>
          <w:rFonts w:ascii="SimHei" w:eastAsia="SimHei" w:hAnsi="SimHei" w:cs="SimHei"/>
          <w:spacing w:val="8"/>
          <w:sz w:val="21"/>
          <w:szCs w:val="21"/>
        </w:rPr>
        <w:t xml:space="preserve">  </w:t>
      </w:r>
      <w:r>
        <w:rPr>
          <w:rFonts w:ascii="SimHei" w:eastAsia="SimHei" w:hAnsi="SimHei" w:cs="SimHei"/>
          <w:b/>
          <w:bCs/>
          <w:spacing w:val="-7"/>
          <w:sz w:val="21"/>
          <w:szCs w:val="21"/>
        </w:rPr>
        <w:t>规范性引用文件</w:t>
      </w:r>
    </w:p>
    <w:p>
      <w:pPr>
        <w:pStyle w:val="BodyText"/>
        <w:spacing w:before="259" w:line="232" w:lineRule="auto"/>
        <w:ind w:right="4" w:firstLine="379"/>
        <w:jc w:val="both"/>
      </w:pPr>
      <w:r>
        <w:rPr>
          <w:spacing w:val="-6"/>
        </w:rPr>
        <w:t>下列文件中的内容通过文中的规范性引用而构成本文件必不可少的条款。其中，注日期的引用文件，</w:t>
      </w:r>
      <w:r>
        <w:rPr>
          <w:spacing w:val="8"/>
        </w:rPr>
        <w:t xml:space="preserve"> </w:t>
      </w:r>
      <w:r>
        <w:rPr>
          <w:spacing w:val="1"/>
        </w:rPr>
        <w:t>仅该日期对应的版本适用于本文件；不注日期的引用文件，其最新版本(包括所有修改单)适用于本文</w:t>
      </w:r>
      <w:r>
        <w:rPr>
          <w:spacing w:val="15"/>
        </w:rPr>
        <w:t xml:space="preserve"> </w:t>
      </w:r>
      <w:r>
        <w:rPr>
          <w:spacing w:val="-10"/>
        </w:rPr>
        <w:t>件。</w:t>
      </w:r>
    </w:p>
    <w:p>
      <w:pPr>
        <w:pStyle w:val="BodyText"/>
        <w:spacing w:before="11" w:line="290" w:lineRule="exact"/>
        <w:ind w:left="379"/>
      </w:pPr>
      <w:r>
        <w:rPr>
          <w:spacing w:val="-1"/>
          <w:position w:val="5"/>
        </w:rPr>
        <w:t>GB/T 16792  中国含油气盆地及次级构造单元名称代码</w:t>
      </w:r>
    </w:p>
    <w:p>
      <w:pPr>
        <w:pStyle w:val="BodyText"/>
        <w:spacing w:line="219" w:lineRule="auto"/>
        <w:ind w:left="379"/>
      </w:pPr>
      <w:r>
        <w:rPr>
          <w:spacing w:val="-1"/>
        </w:rPr>
        <w:t>GB 18306  中国地震动参数区划图</w:t>
      </w:r>
    </w:p>
    <w:p>
      <w:pPr>
        <w:spacing w:before="258" w:line="222" w:lineRule="auto"/>
        <w:ind w:left="3"/>
        <w:rPr>
          <w:rFonts w:ascii="SimHei" w:eastAsia="SimHei" w:hAnsi="SimHei" w:cs="SimHei"/>
          <w:sz w:val="21"/>
          <w:szCs w:val="21"/>
        </w:rPr>
      </w:pPr>
      <w:r>
        <w:rPr>
          <w:rFonts w:ascii="SimHei" w:eastAsia="SimHei" w:hAnsi="SimHei" w:cs="SimHei"/>
          <w:b/>
          <w:bCs/>
          <w:spacing w:val="-5"/>
          <w:sz w:val="21"/>
          <w:szCs w:val="21"/>
        </w:rPr>
        <w:t>3</w:t>
      </w:r>
      <w:r>
        <w:rPr>
          <w:rFonts w:ascii="SimHei" w:eastAsia="SimHei" w:hAnsi="SimHei" w:cs="SimHei"/>
          <w:spacing w:val="99"/>
          <w:sz w:val="21"/>
          <w:szCs w:val="21"/>
        </w:rPr>
        <w:t xml:space="preserve"> </w:t>
      </w:r>
      <w:r>
        <w:rPr>
          <w:rFonts w:ascii="SimHei" w:eastAsia="SimHei" w:hAnsi="SimHei" w:cs="SimHei"/>
          <w:b/>
          <w:bCs/>
          <w:spacing w:val="-5"/>
          <w:sz w:val="21"/>
          <w:szCs w:val="21"/>
        </w:rPr>
        <w:t>术语和定义</w:t>
      </w:r>
    </w:p>
    <w:p>
      <w:pPr>
        <w:spacing w:line="269" w:lineRule="auto"/>
        <w:rPr>
          <w:rFonts w:ascii="Arial"/>
          <w:sz w:val="21"/>
        </w:rPr>
      </w:pPr>
    </w:p>
    <w:p>
      <w:pPr>
        <w:pStyle w:val="BodyText"/>
        <w:spacing w:before="69" w:line="219" w:lineRule="auto"/>
        <w:ind w:left="379"/>
      </w:pPr>
      <w:r>
        <w:rPr>
          <w:spacing w:val="-3"/>
        </w:rPr>
        <w:t>下列术语和定义适用于本文件。</w:t>
      </w:r>
    </w:p>
    <w:p>
      <w:pPr>
        <w:pStyle w:val="BodyText"/>
        <w:spacing w:before="243" w:line="184" w:lineRule="auto"/>
        <w:ind w:left="2"/>
        <w:rPr>
          <w:sz w:val="14"/>
          <w:szCs w:val="14"/>
        </w:rPr>
      </w:pPr>
      <w:r>
        <w:rPr>
          <w:b/>
          <w:bCs/>
          <w:spacing w:val="-4"/>
          <w:sz w:val="14"/>
          <w:szCs w:val="14"/>
        </w:rPr>
        <w:t>3.1</w:t>
      </w:r>
    </w:p>
    <w:p>
      <w:pPr>
        <w:pStyle w:val="BodyText"/>
        <w:spacing w:before="179" w:line="217" w:lineRule="auto"/>
        <w:ind w:left="382"/>
      </w:pPr>
      <w:r>
        <w:rPr>
          <w:rFonts w:ascii="SimHei" w:eastAsia="SimHei" w:hAnsi="SimHei" w:cs="SimHei"/>
          <w:b/>
          <w:bCs/>
          <w:spacing w:val="-15"/>
        </w:rPr>
        <w:t>二氧化碳地质封存</w:t>
      </w:r>
      <w:r>
        <w:rPr>
          <w:rFonts w:ascii="SimHei" w:eastAsia="SimHei" w:hAnsi="SimHei" w:cs="SimHei"/>
          <w:spacing w:val="16"/>
        </w:rPr>
        <w:t xml:space="preserve"> </w:t>
      </w:r>
      <w:r>
        <w:rPr>
          <w:b/>
          <w:bCs/>
          <w:spacing w:val="-15"/>
        </w:rPr>
        <w:t>geological</w:t>
      </w:r>
      <w:r>
        <w:rPr>
          <w:spacing w:val="-15"/>
        </w:rPr>
        <w:t xml:space="preserve"> </w:t>
      </w:r>
      <w:r>
        <w:rPr>
          <w:b/>
          <w:bCs/>
          <w:spacing w:val="-15"/>
        </w:rPr>
        <w:t>storage</w:t>
      </w:r>
      <w:r>
        <w:rPr>
          <w:spacing w:val="-16"/>
        </w:rPr>
        <w:t xml:space="preserve"> </w:t>
      </w:r>
      <w:r>
        <w:rPr>
          <w:b/>
          <w:bCs/>
          <w:spacing w:val="-16"/>
        </w:rPr>
        <w:t>of</w:t>
      </w:r>
      <w:r>
        <w:rPr>
          <w:spacing w:val="-16"/>
        </w:rPr>
        <w:t xml:space="preserve"> </w:t>
      </w:r>
      <w:r>
        <w:rPr>
          <w:b/>
          <w:bCs/>
          <w:spacing w:val="-16"/>
        </w:rPr>
        <w:t>carbon</w:t>
      </w:r>
      <w:r>
        <w:rPr>
          <w:spacing w:val="-16"/>
        </w:rPr>
        <w:t xml:space="preserve"> </w:t>
      </w:r>
      <w:r>
        <w:rPr>
          <w:b/>
          <w:bCs/>
          <w:spacing w:val="-16"/>
        </w:rPr>
        <w:t>dioxide</w:t>
      </w:r>
    </w:p>
    <w:p>
      <w:pPr>
        <w:pStyle w:val="BodyText"/>
        <w:spacing w:before="132" w:line="211" w:lineRule="auto"/>
        <w:ind w:left="379"/>
      </w:pPr>
      <w:r>
        <w:rPr>
          <w:spacing w:val="-1"/>
        </w:rPr>
        <w:t>通过工程技术手段将二氧化碳注入至适宜地质体中，实现其与大气长期隔绝的过</w:t>
      </w:r>
      <w:r>
        <w:rPr>
          <w:spacing w:val="-2"/>
        </w:rPr>
        <w:t>程。</w:t>
      </w:r>
    </w:p>
    <w:p>
      <w:pPr>
        <w:pStyle w:val="BodyText"/>
        <w:spacing w:before="1" w:line="215" w:lineRule="auto"/>
        <w:ind w:left="749" w:right="31" w:hanging="370"/>
      </w:pPr>
      <w:r>
        <w:rPr>
          <w:spacing w:val="-19"/>
          <w:w w:val="94"/>
        </w:rPr>
        <w:t>注：适宜地质体通常包括深部咸水层、枯竭油气藏等，由于大多数枯竭油气藏中仍含有地层水，二氧化碳地质封存</w:t>
      </w:r>
      <w:r>
        <w:rPr>
          <w:spacing w:val="36"/>
        </w:rPr>
        <w:t xml:space="preserve"> </w:t>
      </w:r>
      <w:r>
        <w:rPr>
          <w:spacing w:val="-21"/>
          <w:w w:val="96"/>
        </w:rPr>
        <w:t>一般指咸水层封存。</w:t>
      </w:r>
    </w:p>
    <w:p>
      <w:pPr>
        <w:pStyle w:val="BodyText"/>
        <w:spacing w:before="183" w:line="183" w:lineRule="auto"/>
        <w:ind w:left="3"/>
      </w:pPr>
      <w:r>
        <w:rPr>
          <w:b/>
          <w:bCs/>
          <w:spacing w:val="-5"/>
        </w:rPr>
        <w:t>3.2</w:t>
      </w:r>
    </w:p>
    <w:p>
      <w:pPr>
        <w:spacing w:before="96" w:line="212" w:lineRule="auto"/>
        <w:ind w:left="379"/>
        <w:rPr>
          <w:rFonts w:ascii="Times New Roman" w:eastAsia="Times New Roman" w:hAnsi="Times New Roman" w:cs="Times New Roman"/>
          <w:sz w:val="21"/>
          <w:szCs w:val="21"/>
        </w:rPr>
      </w:pPr>
      <w:r>
        <w:rPr>
          <w:rFonts w:ascii="SimHei" w:eastAsia="SimHei" w:hAnsi="SimHei" w:cs="SimHei"/>
          <w:spacing w:val="1"/>
          <w:sz w:val="21"/>
          <w:szCs w:val="21"/>
        </w:rPr>
        <w:t>封存潜力</w:t>
      </w:r>
      <w:r>
        <w:rPr>
          <w:rFonts w:ascii="SimHei" w:eastAsia="SimHei" w:hAnsi="SimHei" w:cs="SimHei"/>
          <w:spacing w:val="1"/>
          <w:sz w:val="21"/>
          <w:szCs w:val="21"/>
        </w:rPr>
        <w:t xml:space="preserve"> </w:t>
      </w:r>
      <w:r>
        <w:rPr>
          <w:rFonts w:ascii="Times New Roman" w:eastAsia="Times New Roman" w:hAnsi="Times New Roman" w:cs="Times New Roman"/>
          <w:sz w:val="21"/>
          <w:szCs w:val="21"/>
        </w:rPr>
        <w:t>storage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potential</w:t>
      </w:r>
    </w:p>
    <w:p>
      <w:pPr>
        <w:pStyle w:val="BodyText"/>
        <w:spacing w:before="191" w:line="219" w:lineRule="auto"/>
        <w:ind w:left="379"/>
      </w:pPr>
      <w:r>
        <w:rPr>
          <w:spacing w:val="-3"/>
        </w:rPr>
        <w:t>咸水层能够封存二氧化碳量的统称。</w:t>
      </w:r>
    </w:p>
    <w:p>
      <w:pPr>
        <w:pStyle w:val="BodyText"/>
        <w:spacing w:before="175" w:line="183" w:lineRule="auto"/>
        <w:ind w:left="3"/>
      </w:pPr>
      <w:r>
        <w:rPr>
          <w:b/>
          <w:bCs/>
          <w:spacing w:val="-5"/>
        </w:rPr>
        <w:t>3.3</w:t>
      </w:r>
    </w:p>
    <w:p>
      <w:pPr>
        <w:spacing w:before="146" w:line="212" w:lineRule="auto"/>
        <w:ind w:left="382"/>
        <w:rPr>
          <w:rFonts w:ascii="Times New Roman" w:eastAsia="Times New Roman" w:hAnsi="Times New Roman" w:cs="Times New Roman"/>
          <w:sz w:val="21"/>
          <w:szCs w:val="21"/>
        </w:rPr>
      </w:pPr>
      <w:r>
        <w:rPr>
          <w:rFonts w:ascii="SimHei" w:eastAsia="SimHei" w:hAnsi="SimHei" w:cs="SimHei"/>
          <w:b/>
          <w:bCs/>
          <w:spacing w:val="-2"/>
          <w:sz w:val="21"/>
          <w:szCs w:val="21"/>
        </w:rPr>
        <w:t>储集条件</w:t>
      </w:r>
      <w:r>
        <w:rPr>
          <w:rFonts w:ascii="SimHei" w:eastAsia="SimHei" w:hAnsi="SimHei" w:cs="SimHei"/>
          <w:spacing w:val="87"/>
          <w:sz w:val="21"/>
          <w:szCs w:val="21"/>
        </w:rPr>
        <w:t xml:space="preserve"> </w:t>
      </w:r>
      <w:r>
        <w:rPr>
          <w:rFonts w:ascii="Times New Roman" w:eastAsia="Times New Roman" w:hAnsi="Times New Roman" w:cs="Times New Roman"/>
          <w:b/>
          <w:bCs/>
          <w:spacing w:val="-2"/>
          <w:sz w:val="21"/>
          <w:szCs w:val="21"/>
        </w:rPr>
        <w:t>storage</w:t>
      </w:r>
      <w:r>
        <w:rPr>
          <w:rFonts w:ascii="Times New Roman" w:eastAsia="Times New Roman" w:hAnsi="Times New Roman" w:cs="Times New Roman"/>
          <w:b/>
          <w:bCs/>
          <w:spacing w:val="37"/>
          <w:w w:val="101"/>
          <w:sz w:val="21"/>
          <w:szCs w:val="21"/>
        </w:rPr>
        <w:t xml:space="preserve"> </w:t>
      </w:r>
      <w:r>
        <w:rPr>
          <w:rFonts w:ascii="Times New Roman" w:eastAsia="Times New Roman" w:hAnsi="Times New Roman" w:cs="Times New Roman"/>
          <w:b/>
          <w:bCs/>
          <w:spacing w:val="-2"/>
          <w:sz w:val="21"/>
          <w:szCs w:val="21"/>
        </w:rPr>
        <w:t>conditions</w:t>
      </w:r>
    </w:p>
    <w:p>
      <w:pPr>
        <w:pStyle w:val="BodyText"/>
        <w:spacing w:before="151" w:line="219" w:lineRule="auto"/>
        <w:ind w:left="379"/>
      </w:pPr>
      <w:r>
        <w:rPr>
          <w:spacing w:val="-3"/>
        </w:rPr>
        <w:t>咸水层能够渗流和封存二氧化碳的能力。</w:t>
      </w:r>
    </w:p>
    <w:p>
      <w:pPr>
        <w:pStyle w:val="BodyText"/>
        <w:spacing w:before="184" w:line="183" w:lineRule="auto"/>
        <w:ind w:left="3"/>
      </w:pPr>
      <w:r>
        <w:rPr>
          <w:b/>
          <w:bCs/>
          <w:spacing w:val="-5"/>
        </w:rPr>
        <w:t>3.4</w:t>
      </w:r>
    </w:p>
    <w:p>
      <w:pPr>
        <w:spacing w:before="116" w:line="212" w:lineRule="auto"/>
        <w:ind w:left="379"/>
        <w:rPr>
          <w:rFonts w:ascii="Times New Roman" w:eastAsia="Times New Roman" w:hAnsi="Times New Roman" w:cs="Times New Roman"/>
          <w:sz w:val="21"/>
          <w:szCs w:val="21"/>
        </w:rPr>
      </w:pPr>
      <w:r>
        <w:rPr>
          <w:rFonts w:ascii="SimHei" w:eastAsia="SimHei" w:hAnsi="SimHei" w:cs="SimHei"/>
          <w:spacing w:val="1"/>
          <w:sz w:val="21"/>
          <w:szCs w:val="21"/>
        </w:rPr>
        <w:t>盖层封闭性</w:t>
      </w:r>
      <w:r>
        <w:rPr>
          <w:rFonts w:ascii="SimHei" w:eastAsia="SimHei" w:hAnsi="SimHei" w:cs="SimHei"/>
          <w:spacing w:val="1"/>
          <w:sz w:val="21"/>
          <w:szCs w:val="21"/>
        </w:rPr>
        <w:t xml:space="preserve">  </w:t>
      </w:r>
      <w:r>
        <w:rPr>
          <w:rFonts w:ascii="Times New Roman" w:eastAsia="Times New Roman" w:hAnsi="Times New Roman" w:cs="Times New Roman"/>
          <w:sz w:val="21"/>
          <w:szCs w:val="21"/>
        </w:rPr>
        <w:t>sealing</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ability</w:t>
      </w:r>
    </w:p>
    <w:p>
      <w:pPr>
        <w:pStyle w:val="BodyText"/>
        <w:spacing w:before="182" w:line="219" w:lineRule="auto"/>
        <w:ind w:left="379"/>
      </w:pPr>
      <w:r>
        <w:rPr>
          <w:spacing w:val="-2"/>
        </w:rPr>
        <w:t>盖层能够封隔二氧化碳向上发生泄漏的能力。</w:t>
      </w:r>
    </w:p>
    <w:p>
      <w:pPr>
        <w:pStyle w:val="BodyText"/>
        <w:spacing w:before="194" w:line="183" w:lineRule="auto"/>
        <w:ind w:left="3"/>
      </w:pPr>
      <w:r>
        <w:rPr>
          <w:b/>
          <w:bCs/>
          <w:spacing w:val="-5"/>
        </w:rPr>
        <w:t>3.5</w:t>
      </w:r>
    </w:p>
    <w:p>
      <w:pPr>
        <w:spacing w:before="136" w:line="212" w:lineRule="auto"/>
        <w:ind w:left="382"/>
        <w:rPr>
          <w:rFonts w:ascii="Times New Roman" w:eastAsia="Times New Roman" w:hAnsi="Times New Roman" w:cs="Times New Roman"/>
          <w:sz w:val="21"/>
          <w:szCs w:val="21"/>
        </w:rPr>
      </w:pPr>
      <w:r>
        <w:rPr>
          <w:rFonts w:ascii="SimHei" w:eastAsia="SimHei" w:hAnsi="SimHei" w:cs="SimHei"/>
          <w:b/>
          <w:bCs/>
          <w:spacing w:val="-2"/>
          <w:sz w:val="21"/>
          <w:szCs w:val="21"/>
        </w:rPr>
        <w:t>封存体</w:t>
      </w:r>
      <w:r>
        <w:rPr>
          <w:rFonts w:ascii="SimHei" w:eastAsia="SimHei" w:hAnsi="SimHei" w:cs="SimHei"/>
          <w:spacing w:val="26"/>
          <w:sz w:val="21"/>
          <w:szCs w:val="21"/>
        </w:rPr>
        <w:t xml:space="preserve">  </w:t>
      </w:r>
      <w:r>
        <w:rPr>
          <w:rFonts w:ascii="Times New Roman" w:eastAsia="Times New Roman" w:hAnsi="Times New Roman" w:cs="Times New Roman"/>
          <w:b/>
          <w:bCs/>
          <w:spacing w:val="-2"/>
          <w:sz w:val="21"/>
          <w:szCs w:val="21"/>
        </w:rPr>
        <w:t>storage complex</w:t>
      </w:r>
    </w:p>
    <w:p>
      <w:pPr>
        <w:pStyle w:val="BodyText"/>
        <w:spacing w:before="122" w:line="228" w:lineRule="auto"/>
        <w:ind w:left="379" w:right="1068"/>
        <w:sectPr>
          <w:footerReference w:type="default" r:id="rId4"/>
          <w:pgSz w:w="11910" w:h="16840"/>
          <w:pgMar w:top="1431" w:right="1140" w:bottom="1268" w:left="1400" w:header="0" w:footer="1129" w:gutter="0"/>
          <w:cols w:space="708"/>
        </w:sectPr>
      </w:pPr>
      <w:r>
        <w:rPr>
          <w:spacing w:val="-2"/>
        </w:rPr>
        <w:t>垂向延伸包括咸水层储层和盖层，横向延伸至封存工程场地限定范围组成的地质系统</w:t>
      </w:r>
      <w:r>
        <w:rPr>
          <w:color w:val="EE7700"/>
          <w:spacing w:val="-2"/>
        </w:rPr>
        <w:t>。</w:t>
      </w:r>
      <w:r>
        <w:rPr>
          <w:color w:val="EE7700"/>
          <w:spacing w:val="15"/>
        </w:rPr>
        <w:t xml:space="preserve"> </w:t>
      </w:r>
      <w:r>
        <w:rPr>
          <w:spacing w:val="-22"/>
          <w:w w:val="96"/>
        </w:rPr>
        <w:t>注：限定范围通常由天然地质边界、二氧化碳运移、安全风险等因素，或法律法规等来定义。</w:t>
      </w:r>
    </w:p>
    <w:p>
      <w:pPr>
        <w:pStyle w:val="BodyText"/>
        <w:spacing w:before="184" w:line="183" w:lineRule="auto"/>
        <w:ind w:left="3"/>
      </w:pPr>
      <w:r>
        <w:rPr>
          <w:b/>
          <w:bCs/>
          <w:spacing w:val="-5"/>
        </w:rPr>
        <w:t>3.6</w:t>
      </w:r>
    </w:p>
    <w:p>
      <w:pPr>
        <w:pStyle w:val="BodyText"/>
        <w:spacing w:before="122" w:line="217" w:lineRule="auto"/>
        <w:ind w:left="379"/>
      </w:pPr>
      <w:r>
        <w:rPr>
          <w:rFonts w:ascii="SimHei" w:eastAsia="SimHei" w:hAnsi="SimHei" w:cs="SimHei"/>
          <w:spacing w:val="-11"/>
        </w:rPr>
        <w:t>封存体地质稳定条件</w:t>
      </w:r>
      <w:r>
        <w:rPr>
          <w:rFonts w:ascii="SimHei" w:eastAsia="SimHei" w:hAnsi="SimHei" w:cs="SimHei"/>
          <w:spacing w:val="93"/>
        </w:rPr>
        <w:t xml:space="preserve"> </w:t>
      </w:r>
      <w:r>
        <w:rPr>
          <w:spacing w:val="-11"/>
        </w:rPr>
        <w:t>geological</w:t>
      </w:r>
      <w:r>
        <w:rPr>
          <w:spacing w:val="-63"/>
        </w:rPr>
        <w:t xml:space="preserve"> </w:t>
      </w:r>
      <w:r>
        <w:rPr>
          <w:spacing w:val="-11"/>
        </w:rPr>
        <w:t>stability conditions</w:t>
      </w:r>
      <w:r>
        <w:rPr>
          <w:spacing w:val="-58"/>
        </w:rPr>
        <w:t xml:space="preserve"> </w:t>
      </w:r>
      <w:r>
        <w:rPr>
          <w:spacing w:val="-11"/>
        </w:rPr>
        <w:t>ofstorage complex</w:t>
      </w:r>
    </w:p>
    <w:p>
      <w:pPr>
        <w:pStyle w:val="BodyText"/>
        <w:spacing w:before="160" w:line="219" w:lineRule="auto"/>
        <w:ind w:left="379"/>
      </w:pPr>
      <w:r>
        <w:rPr>
          <w:spacing w:val="-1"/>
        </w:rPr>
        <w:t>影响咸水层二氧化碳地质封存体长期稳定的断裂及其活动性、区域地震活动性条</w:t>
      </w:r>
      <w:r>
        <w:rPr>
          <w:spacing w:val="-2"/>
        </w:rPr>
        <w:t>件。</w:t>
      </w:r>
    </w:p>
    <w:p>
      <w:pPr>
        <w:spacing w:line="219" w:lineRule="auto"/>
        <w:sectPr>
          <w:footerReference w:type="default" r:id="rId5"/>
          <w:type w:val="nextPage"/>
          <w:pgSz w:w="11910" w:h="16840"/>
          <w:pgMar w:top="1431" w:right="1140" w:bottom="1268" w:left="1400" w:header="0" w:footer="1129" w:gutter="0"/>
          <w:pgNumType w:start="2"/>
          <w:cols w:space="708"/>
          <w:titlePg w:val="0"/>
        </w:sectPr>
      </w:pPr>
    </w:p>
    <w:p>
      <w:pPr>
        <w:spacing w:line="478" w:lineRule="auto"/>
        <w:rPr>
          <w:rFonts w:ascii="Arial"/>
          <w:sz w:val="21"/>
        </w:rPr>
      </w:pPr>
    </w:p>
    <w:p>
      <w:pPr>
        <w:pStyle w:val="BodyText"/>
        <w:spacing w:before="68" w:line="183" w:lineRule="auto"/>
        <w:ind w:left="3"/>
      </w:pPr>
      <w:r>
        <w:rPr>
          <w:b/>
          <w:bCs/>
          <w:spacing w:val="-5"/>
        </w:rPr>
        <w:t>3.7</w:t>
      </w:r>
    </w:p>
    <w:p>
      <w:pPr>
        <w:spacing w:before="145" w:line="212" w:lineRule="auto"/>
        <w:ind w:left="432"/>
        <w:rPr>
          <w:rFonts w:ascii="Times New Roman" w:eastAsia="Times New Roman" w:hAnsi="Times New Roman" w:cs="Times New Roman"/>
          <w:sz w:val="21"/>
          <w:szCs w:val="21"/>
        </w:rPr>
      </w:pPr>
      <w:r>
        <w:rPr>
          <w:rFonts w:ascii="SimHei" w:eastAsia="SimHei" w:hAnsi="SimHei" w:cs="SimHei"/>
          <w:b/>
          <w:bCs/>
          <w:spacing w:val="-1"/>
          <w:sz w:val="21"/>
          <w:szCs w:val="21"/>
        </w:rPr>
        <w:t>源汇匹配</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source-sink matching</w:t>
      </w:r>
    </w:p>
    <w:p>
      <w:pPr>
        <w:pStyle w:val="BodyText"/>
        <w:spacing w:before="161" w:line="219" w:lineRule="auto"/>
        <w:ind w:left="429"/>
      </w:pPr>
      <w:r>
        <w:rPr>
          <w:spacing w:val="-3"/>
        </w:rPr>
        <w:t>二氧化碳排放源与封存靶区或场地之间的空间优化连接工作。</w:t>
      </w:r>
    </w:p>
    <w:p>
      <w:pPr>
        <w:pStyle w:val="BodyText"/>
        <w:spacing w:before="174" w:line="183" w:lineRule="auto"/>
        <w:ind w:left="3"/>
      </w:pPr>
      <w:r>
        <w:rPr>
          <w:b/>
          <w:bCs/>
          <w:spacing w:val="-5"/>
        </w:rPr>
        <w:t>3.8</w:t>
      </w:r>
    </w:p>
    <w:p>
      <w:pPr>
        <w:spacing w:before="155" w:line="212" w:lineRule="auto"/>
        <w:ind w:left="429"/>
        <w:rPr>
          <w:rFonts w:ascii="Times New Roman" w:eastAsia="Times New Roman" w:hAnsi="Times New Roman" w:cs="Times New Roman"/>
          <w:sz w:val="21"/>
          <w:szCs w:val="21"/>
        </w:rPr>
      </w:pPr>
      <w:r>
        <w:rPr>
          <w:rFonts w:ascii="SimHei" w:eastAsia="SimHei" w:hAnsi="SimHei" w:cs="SimHei"/>
          <w:sz w:val="21"/>
          <w:szCs w:val="21"/>
        </w:rPr>
        <w:t>地质</w:t>
      </w:r>
      <w:r>
        <w:rPr>
          <w:rFonts w:ascii="SimHei" w:eastAsia="SimHei" w:hAnsi="SimHei" w:cs="SimHei"/>
          <w:b/>
          <w:bCs/>
          <w:sz w:val="21"/>
          <w:szCs w:val="21"/>
        </w:rPr>
        <w:t>潜力</w:t>
      </w:r>
      <w:r>
        <w:rPr>
          <w:rFonts w:ascii="SimHei" w:eastAsia="SimHei" w:hAnsi="SimHei" w:cs="SimHei"/>
          <w:spacing w:val="99"/>
          <w:sz w:val="21"/>
          <w:szCs w:val="21"/>
        </w:rPr>
        <w:t xml:space="preserve"> </w:t>
      </w:r>
      <w:r>
        <w:rPr>
          <w:rFonts w:ascii="Times New Roman" w:eastAsia="Times New Roman" w:hAnsi="Times New Roman" w:cs="Times New Roman"/>
          <w:b/>
          <w:bCs/>
          <w:sz w:val="21"/>
          <w:szCs w:val="21"/>
        </w:rPr>
        <w:t>geological potentia</w:t>
      </w:r>
      <w:r>
        <w:rPr>
          <w:rFonts w:ascii="Times New Roman" w:eastAsia="Times New Roman" w:hAnsi="Times New Roman" w:cs="Times New Roman"/>
          <w:sz w:val="21"/>
          <w:szCs w:val="21"/>
        </w:rPr>
        <w:t>l</w:t>
      </w:r>
    </w:p>
    <w:p>
      <w:pPr>
        <w:pStyle w:val="BodyText"/>
        <w:spacing w:before="153" w:line="219" w:lineRule="auto"/>
        <w:ind w:left="429"/>
      </w:pPr>
      <w:r>
        <w:rPr>
          <w:spacing w:val="-1"/>
        </w:rPr>
        <w:t>咸水层储层所能容纳的最大理论封存量，包括预测地质潜力和控制地质潜力</w:t>
      </w:r>
      <w:r>
        <w:rPr>
          <w:spacing w:val="-2"/>
        </w:rPr>
        <w:t>两级。</w:t>
      </w:r>
    </w:p>
    <w:p>
      <w:pPr>
        <w:pStyle w:val="BodyText"/>
        <w:spacing w:before="183" w:line="183" w:lineRule="auto"/>
        <w:ind w:left="3"/>
      </w:pPr>
      <w:r>
        <w:rPr>
          <w:b/>
          <w:bCs/>
          <w:spacing w:val="-5"/>
        </w:rPr>
        <w:t>3.9</w:t>
      </w:r>
    </w:p>
    <w:p>
      <w:pPr>
        <w:spacing w:before="146" w:line="212" w:lineRule="auto"/>
        <w:ind w:left="432"/>
        <w:rPr>
          <w:rFonts w:ascii="Times New Roman" w:eastAsia="Times New Roman" w:hAnsi="Times New Roman" w:cs="Times New Roman"/>
          <w:sz w:val="21"/>
          <w:szCs w:val="21"/>
        </w:rPr>
      </w:pPr>
      <w:r>
        <w:rPr>
          <w:rFonts w:ascii="SimHei" w:eastAsia="SimHei" w:hAnsi="SimHei" w:cs="SimHei"/>
          <w:b/>
          <w:bCs/>
          <w:spacing w:val="-3"/>
          <w:sz w:val="21"/>
          <w:szCs w:val="21"/>
        </w:rPr>
        <w:t>技术容量</w:t>
      </w:r>
      <w:r>
        <w:rPr>
          <w:rFonts w:ascii="SimHei" w:eastAsia="SimHei" w:hAnsi="SimHei" w:cs="SimHei"/>
          <w:spacing w:val="102"/>
          <w:sz w:val="21"/>
          <w:szCs w:val="21"/>
        </w:rPr>
        <w:t xml:space="preserve"> </w:t>
      </w:r>
      <w:r>
        <w:rPr>
          <w:rFonts w:ascii="Times New Roman" w:eastAsia="Times New Roman" w:hAnsi="Times New Roman" w:cs="Times New Roman"/>
          <w:b/>
          <w:bCs/>
          <w:spacing w:val="-3"/>
          <w:sz w:val="21"/>
          <w:szCs w:val="21"/>
        </w:rPr>
        <w:t>technically capacity</w:t>
      </w:r>
    </w:p>
    <w:p>
      <w:pPr>
        <w:pStyle w:val="BodyText"/>
        <w:spacing w:before="150" w:line="227" w:lineRule="auto"/>
        <w:ind w:right="8" w:firstLine="429"/>
      </w:pPr>
      <w:r>
        <w:rPr>
          <w:spacing w:val="-3"/>
        </w:rPr>
        <w:t>考虑技术条件估算的咸水层储层有效封存量，包括预测技术容量、控制技术容量和探明技术容量三</w:t>
      </w:r>
      <w:r>
        <w:rPr>
          <w:spacing w:val="6"/>
        </w:rPr>
        <w:t xml:space="preserve"> </w:t>
      </w:r>
      <w:r>
        <w:rPr>
          <w:spacing w:val="-11"/>
        </w:rPr>
        <w:t>级。</w:t>
      </w:r>
    </w:p>
    <w:p>
      <w:pPr>
        <w:pStyle w:val="BodyText"/>
        <w:spacing w:before="187" w:line="184" w:lineRule="auto"/>
        <w:ind w:left="3"/>
      </w:pPr>
      <w:r>
        <w:rPr>
          <w:b/>
          <w:bCs/>
          <w:spacing w:val="-5"/>
        </w:rPr>
        <w:t>3.10</w:t>
      </w:r>
    </w:p>
    <w:p>
      <w:pPr>
        <w:spacing w:before="136" w:line="212" w:lineRule="auto"/>
        <w:ind w:left="432"/>
        <w:rPr>
          <w:rFonts w:ascii="Times New Roman" w:eastAsia="Times New Roman" w:hAnsi="Times New Roman" w:cs="Times New Roman"/>
          <w:sz w:val="21"/>
          <w:szCs w:val="21"/>
        </w:rPr>
      </w:pPr>
      <w:r>
        <w:rPr>
          <w:rFonts w:ascii="SimHei" w:eastAsia="SimHei" w:hAnsi="SimHei" w:cs="SimHei"/>
          <w:b/>
          <w:bCs/>
          <w:spacing w:val="-1"/>
          <w:sz w:val="21"/>
          <w:szCs w:val="21"/>
        </w:rPr>
        <w:t>技术经济容量</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technically-commercial capacity</w:t>
      </w:r>
    </w:p>
    <w:p>
      <w:pPr>
        <w:pStyle w:val="BodyText"/>
        <w:spacing w:before="162" w:line="224" w:lineRule="auto"/>
        <w:ind w:firstLine="429"/>
      </w:pPr>
      <w:r>
        <w:rPr>
          <w:spacing w:val="-3"/>
        </w:rPr>
        <w:t>考虑全流程技术成本及政策激励等条件时，在一定成本范围内的封存量，包括控制技术经济容量和</w:t>
      </w:r>
      <w:r>
        <w:rPr>
          <w:spacing w:val="14"/>
        </w:rPr>
        <w:t xml:space="preserve"> </w:t>
      </w:r>
      <w:r>
        <w:rPr>
          <w:spacing w:val="-4"/>
        </w:rPr>
        <w:t>探明技术经济容量两级。</w:t>
      </w:r>
    </w:p>
    <w:p>
      <w:pPr>
        <w:pStyle w:val="BodyText"/>
        <w:spacing w:before="221" w:line="184" w:lineRule="auto"/>
        <w:ind w:left="2"/>
        <w:rPr>
          <w:sz w:val="17"/>
          <w:szCs w:val="17"/>
        </w:rPr>
      </w:pPr>
      <w:r>
        <w:rPr>
          <w:b/>
          <w:bCs/>
          <w:spacing w:val="-4"/>
          <w:sz w:val="17"/>
          <w:szCs w:val="17"/>
        </w:rPr>
        <w:t>3.11</w:t>
      </w:r>
    </w:p>
    <w:p>
      <w:pPr>
        <w:spacing w:before="137" w:line="212" w:lineRule="auto"/>
        <w:ind w:left="432"/>
        <w:rPr>
          <w:rFonts w:ascii="Times New Roman" w:eastAsia="Times New Roman" w:hAnsi="Times New Roman" w:cs="Times New Roman"/>
          <w:sz w:val="21"/>
          <w:szCs w:val="21"/>
        </w:rPr>
      </w:pPr>
      <w:r>
        <w:rPr>
          <w:rFonts w:ascii="SimHei" w:eastAsia="SimHei" w:hAnsi="SimHei" w:cs="SimHei"/>
          <w:b/>
          <w:bCs/>
          <w:spacing w:val="-1"/>
          <w:sz w:val="21"/>
          <w:szCs w:val="21"/>
        </w:rPr>
        <w:t>工程封存量</w:t>
      </w:r>
      <w:r>
        <w:rPr>
          <w:rFonts w:ascii="SimHei" w:eastAsia="SimHei" w:hAnsi="SimHei" w:cs="SimHei"/>
          <w:spacing w:val="-1"/>
          <w:sz w:val="21"/>
          <w:szCs w:val="21"/>
        </w:rPr>
        <w:t xml:space="preserve">  </w:t>
      </w:r>
      <w:r>
        <w:rPr>
          <w:rFonts w:ascii="Times New Roman" w:eastAsia="Times New Roman" w:hAnsi="Times New Roman" w:cs="Times New Roman"/>
          <w:b/>
          <w:bCs/>
          <w:spacing w:val="-1"/>
          <w:sz w:val="21"/>
          <w:szCs w:val="21"/>
        </w:rPr>
        <w:t>engineering reserves</w:t>
      </w:r>
    </w:p>
    <w:p>
      <w:pPr>
        <w:pStyle w:val="BodyText"/>
        <w:spacing w:before="152" w:line="520" w:lineRule="exact"/>
        <w:ind w:left="429"/>
      </w:pPr>
      <w:r>
        <w:rPr>
          <w:spacing w:val="-1"/>
          <w:position w:val="24"/>
        </w:rPr>
        <w:t>咸水层封存工程在不同实施阶段的二氧化碳注入封存量，包括设计封存量和实际封存量两级。</w:t>
      </w:r>
    </w:p>
    <w:p>
      <w:pPr>
        <w:spacing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05"/>
          <w:sz w:val="21"/>
          <w:szCs w:val="21"/>
        </w:rPr>
        <w:t xml:space="preserve"> </w:t>
      </w:r>
      <w:r>
        <w:rPr>
          <w:rFonts w:ascii="SimHei" w:eastAsia="SimHei" w:hAnsi="SimHei" w:cs="SimHei"/>
          <w:spacing w:val="-1"/>
          <w:sz w:val="21"/>
          <w:szCs w:val="21"/>
        </w:rPr>
        <w:t>目标和原则</w:t>
      </w:r>
    </w:p>
    <w:p>
      <w:pPr>
        <w:spacing w:before="249" w:line="224" w:lineRule="auto"/>
        <w:ind w:left="3"/>
        <w:outlineLvl w:val="0"/>
        <w:rPr>
          <w:rFonts w:ascii="SimHei" w:eastAsia="SimHei" w:hAnsi="SimHei" w:cs="SimHei"/>
          <w:sz w:val="21"/>
          <w:szCs w:val="21"/>
        </w:rPr>
      </w:pPr>
      <w:r>
        <w:rPr>
          <w:rFonts w:ascii="SimHei" w:eastAsia="SimHei" w:hAnsi="SimHei" w:cs="SimHei"/>
          <w:b/>
          <w:bCs/>
          <w:spacing w:val="-4"/>
          <w:sz w:val="21"/>
          <w:szCs w:val="21"/>
        </w:rPr>
        <w:t>4.1</w:t>
      </w:r>
      <w:r>
        <w:rPr>
          <w:rFonts w:ascii="SimHei" w:eastAsia="SimHei" w:hAnsi="SimHei" w:cs="SimHei"/>
          <w:spacing w:val="103"/>
          <w:sz w:val="21"/>
          <w:szCs w:val="21"/>
        </w:rPr>
        <w:t xml:space="preserve"> </w:t>
      </w:r>
      <w:r>
        <w:rPr>
          <w:rFonts w:ascii="SimHei" w:eastAsia="SimHei" w:hAnsi="SimHei" w:cs="SimHei"/>
          <w:b/>
          <w:bCs/>
          <w:spacing w:val="-4"/>
          <w:sz w:val="21"/>
          <w:szCs w:val="21"/>
        </w:rPr>
        <w:t>目标</w:t>
      </w:r>
    </w:p>
    <w:p>
      <w:pPr>
        <w:pStyle w:val="BodyText"/>
        <w:spacing w:before="163" w:line="232" w:lineRule="auto"/>
        <w:ind w:right="4" w:firstLine="429"/>
        <w:jc w:val="both"/>
      </w:pPr>
      <w:r>
        <w:rPr>
          <w:spacing w:val="-3"/>
        </w:rPr>
        <w:t>根据咸水层二氧化碳地质封存勘查及地质认识，筛选适宜咸水层储层，计算相应类型、级别的封存</w:t>
      </w:r>
      <w:r>
        <w:rPr>
          <w:spacing w:val="6"/>
        </w:rPr>
        <w:t xml:space="preserve"> </w:t>
      </w:r>
      <w:r>
        <w:rPr>
          <w:spacing w:val="-2"/>
        </w:rPr>
        <w:t>潜力，综合评价封存地质适宜性、技术容量规模及丰度、经</w:t>
      </w:r>
      <w:r>
        <w:rPr>
          <w:spacing w:val="-3"/>
        </w:rPr>
        <w:t>济性，为咸水层封存工程选址与监管提供依</w:t>
      </w:r>
      <w:r>
        <w:t xml:space="preserve"> </w:t>
      </w:r>
      <w:r>
        <w:rPr>
          <w:spacing w:val="-10"/>
        </w:rPr>
        <w:t>据。</w:t>
      </w:r>
    </w:p>
    <w:p>
      <w:pPr>
        <w:spacing w:before="126" w:line="222" w:lineRule="auto"/>
        <w:ind w:left="3"/>
        <w:outlineLvl w:val="0"/>
        <w:rPr>
          <w:rFonts w:ascii="SimHei" w:eastAsia="SimHei" w:hAnsi="SimHei" w:cs="SimHei"/>
          <w:sz w:val="21"/>
          <w:szCs w:val="21"/>
        </w:rPr>
      </w:pPr>
      <w:r>
        <w:rPr>
          <w:rFonts w:ascii="SimHei" w:eastAsia="SimHei" w:hAnsi="SimHei" w:cs="SimHei"/>
          <w:b/>
          <w:bCs/>
          <w:sz w:val="21"/>
          <w:szCs w:val="21"/>
        </w:rPr>
        <w:t>4.2</w:t>
      </w:r>
      <w:r>
        <w:rPr>
          <w:rFonts w:ascii="SimHei" w:eastAsia="SimHei" w:hAnsi="SimHei" w:cs="SimHei"/>
          <w:spacing w:val="72"/>
          <w:sz w:val="21"/>
          <w:szCs w:val="21"/>
        </w:rPr>
        <w:t xml:space="preserve"> </w:t>
      </w:r>
      <w:r>
        <w:rPr>
          <w:rFonts w:ascii="SimHei" w:eastAsia="SimHei" w:hAnsi="SimHei" w:cs="SimHei"/>
          <w:b/>
          <w:bCs/>
          <w:sz w:val="21"/>
          <w:szCs w:val="21"/>
        </w:rPr>
        <w:t>原则</w:t>
      </w:r>
    </w:p>
    <w:p>
      <w:pPr>
        <w:spacing w:before="138" w:line="222" w:lineRule="auto"/>
        <w:ind w:left="3"/>
        <w:outlineLvl w:val="0"/>
        <w:rPr>
          <w:rFonts w:ascii="SimHei" w:eastAsia="SimHei" w:hAnsi="SimHei" w:cs="SimHei"/>
          <w:sz w:val="21"/>
          <w:szCs w:val="21"/>
        </w:rPr>
      </w:pPr>
      <w:r>
        <w:rPr>
          <w:rFonts w:ascii="SimHei" w:eastAsia="SimHei" w:hAnsi="SimHei" w:cs="SimHei"/>
          <w:b/>
          <w:bCs/>
          <w:spacing w:val="-4"/>
          <w:sz w:val="21"/>
          <w:szCs w:val="21"/>
        </w:rPr>
        <w:t>4.2.1</w:t>
      </w:r>
      <w:r>
        <w:rPr>
          <w:rFonts w:ascii="SimHei" w:eastAsia="SimHei" w:hAnsi="SimHei" w:cs="SimHei"/>
          <w:spacing w:val="88"/>
          <w:sz w:val="21"/>
          <w:szCs w:val="21"/>
        </w:rPr>
        <w:t xml:space="preserve"> </w:t>
      </w:r>
      <w:r>
        <w:rPr>
          <w:rFonts w:ascii="SimHei" w:eastAsia="SimHei" w:hAnsi="SimHei" w:cs="SimHei"/>
          <w:b/>
          <w:bCs/>
          <w:spacing w:val="-4"/>
          <w:sz w:val="21"/>
          <w:szCs w:val="21"/>
        </w:rPr>
        <w:t>综合性</w:t>
      </w:r>
    </w:p>
    <w:p>
      <w:pPr>
        <w:pStyle w:val="BodyText"/>
        <w:spacing w:before="161" w:line="224" w:lineRule="auto"/>
        <w:ind w:right="7" w:firstLine="429"/>
      </w:pPr>
      <w:r>
        <w:rPr>
          <w:spacing w:val="-3"/>
        </w:rPr>
        <w:t>充分搜集、利用以往地质勘查资料开展综合研究，加强影响咸水层二氧化碳地质封存储集条件、长</w:t>
      </w:r>
      <w:r>
        <w:rPr>
          <w:spacing w:val="7"/>
        </w:rPr>
        <w:t xml:space="preserve"> </w:t>
      </w:r>
      <w:r>
        <w:rPr>
          <w:spacing w:val="-3"/>
        </w:rPr>
        <w:t>期稳定性等地质信息的提取和分析。</w:t>
      </w:r>
    </w:p>
    <w:p>
      <w:pPr>
        <w:spacing w:before="138" w:line="222" w:lineRule="auto"/>
        <w:ind w:left="3"/>
        <w:outlineLvl w:val="0"/>
        <w:rPr>
          <w:rFonts w:ascii="SimHei" w:eastAsia="SimHei" w:hAnsi="SimHei" w:cs="SimHei"/>
          <w:sz w:val="21"/>
          <w:szCs w:val="21"/>
        </w:rPr>
      </w:pPr>
      <w:r>
        <w:rPr>
          <w:rFonts w:ascii="SimHei" w:eastAsia="SimHei" w:hAnsi="SimHei" w:cs="SimHei"/>
          <w:b/>
          <w:bCs/>
          <w:spacing w:val="-4"/>
          <w:sz w:val="21"/>
          <w:szCs w:val="21"/>
        </w:rPr>
        <w:t>4.2.2</w:t>
      </w:r>
      <w:r>
        <w:rPr>
          <w:rFonts w:ascii="SimHei" w:eastAsia="SimHei" w:hAnsi="SimHei" w:cs="SimHei"/>
          <w:spacing w:val="88"/>
          <w:sz w:val="21"/>
          <w:szCs w:val="21"/>
        </w:rPr>
        <w:t xml:space="preserve"> </w:t>
      </w:r>
      <w:r>
        <w:rPr>
          <w:rFonts w:ascii="SimHei" w:eastAsia="SimHei" w:hAnsi="SimHei" w:cs="SimHei"/>
          <w:b/>
          <w:bCs/>
          <w:spacing w:val="-4"/>
          <w:sz w:val="21"/>
          <w:szCs w:val="21"/>
        </w:rPr>
        <w:t>客观性</w:t>
      </w:r>
    </w:p>
    <w:p>
      <w:pPr>
        <w:pStyle w:val="BodyText"/>
        <w:spacing w:before="160" w:line="224" w:lineRule="auto"/>
        <w:ind w:right="8" w:firstLine="429"/>
      </w:pPr>
      <w:r>
        <w:rPr>
          <w:spacing w:val="-3"/>
        </w:rPr>
        <w:t>尊重地质条件客观规律，充分应用各类实验、模拟等技术方法，尽量取全、取准咸水层二氧化碳地</w:t>
      </w:r>
      <w:r>
        <w:rPr>
          <w:spacing w:val="6"/>
        </w:rPr>
        <w:t xml:space="preserve"> </w:t>
      </w:r>
      <w:r>
        <w:rPr>
          <w:spacing w:val="-4"/>
        </w:rPr>
        <w:t>质封存潜力计算参数。</w:t>
      </w:r>
    </w:p>
    <w:p>
      <w:pPr>
        <w:spacing w:before="138" w:line="222" w:lineRule="auto"/>
        <w:ind w:left="3"/>
        <w:outlineLvl w:val="0"/>
        <w:rPr>
          <w:rFonts w:ascii="SimHei" w:eastAsia="SimHei" w:hAnsi="SimHei" w:cs="SimHei"/>
          <w:sz w:val="21"/>
          <w:szCs w:val="21"/>
        </w:rPr>
      </w:pPr>
      <w:r>
        <w:rPr>
          <w:rFonts w:ascii="SimHei" w:eastAsia="SimHei" w:hAnsi="SimHei" w:cs="SimHei"/>
          <w:b/>
          <w:bCs/>
          <w:spacing w:val="-1"/>
          <w:sz w:val="21"/>
          <w:szCs w:val="21"/>
        </w:rPr>
        <w:t>4.2.3</w:t>
      </w:r>
      <w:r>
        <w:rPr>
          <w:rFonts w:ascii="SimHei" w:eastAsia="SimHei" w:hAnsi="SimHei" w:cs="SimHei"/>
          <w:spacing w:val="75"/>
          <w:sz w:val="21"/>
          <w:szCs w:val="21"/>
        </w:rPr>
        <w:t xml:space="preserve"> </w:t>
      </w:r>
      <w:r>
        <w:rPr>
          <w:rFonts w:ascii="SimHei" w:eastAsia="SimHei" w:hAnsi="SimHei" w:cs="SimHei"/>
          <w:b/>
          <w:bCs/>
          <w:spacing w:val="-1"/>
          <w:sz w:val="21"/>
          <w:szCs w:val="21"/>
        </w:rPr>
        <w:t>继承性</w:t>
      </w:r>
    </w:p>
    <w:p>
      <w:pPr>
        <w:pStyle w:val="BodyText"/>
        <w:spacing w:before="128" w:line="233" w:lineRule="auto"/>
        <w:ind w:right="8" w:firstLine="429"/>
      </w:pPr>
      <w:r>
        <w:rPr>
          <w:spacing w:val="-3"/>
        </w:rPr>
        <w:t>在已有地质勘查资料较丰富、地质认识程度较高的前提下，尽可能计算和评价高精度、高级别的咸</w:t>
      </w:r>
      <w:r>
        <w:rPr>
          <w:spacing w:val="6"/>
        </w:rPr>
        <w:t xml:space="preserve"> </w:t>
      </w:r>
      <w:r>
        <w:rPr>
          <w:spacing w:val="-3"/>
        </w:rPr>
        <w:t>水层二氧化碳地质封存潜力。</w:t>
      </w:r>
    </w:p>
    <w:p>
      <w:pPr>
        <w:spacing w:before="148" w:line="222" w:lineRule="auto"/>
        <w:ind w:left="2"/>
        <w:outlineLvl w:val="0"/>
        <w:rPr>
          <w:rFonts w:ascii="SimHei" w:eastAsia="SimHei" w:hAnsi="SimHei" w:cs="SimHei"/>
          <w:sz w:val="21"/>
          <w:szCs w:val="21"/>
        </w:rPr>
        <w:sectPr>
          <w:footerReference w:type="default" r:id="rId6"/>
          <w:pgSz w:w="11910" w:h="16840"/>
          <w:pgMar w:top="1431" w:right="1463" w:bottom="1305" w:left="1100" w:header="0" w:footer="1156" w:gutter="0"/>
          <w:pgNumType w:start="3"/>
          <w:cols w:space="708"/>
        </w:sectPr>
      </w:pPr>
      <w:r>
        <w:rPr>
          <w:rFonts w:ascii="SimHei" w:eastAsia="SimHei" w:hAnsi="SimHei" w:cs="SimHei"/>
          <w:b/>
          <w:bCs/>
          <w:spacing w:val="-7"/>
          <w:sz w:val="21"/>
          <w:szCs w:val="21"/>
        </w:rPr>
        <w:t>4.2.4</w:t>
      </w:r>
      <w:r>
        <w:rPr>
          <w:rFonts w:ascii="SimHei" w:eastAsia="SimHei" w:hAnsi="SimHei" w:cs="SimHei"/>
          <w:spacing w:val="91"/>
          <w:sz w:val="21"/>
          <w:szCs w:val="21"/>
        </w:rPr>
        <w:t xml:space="preserve"> </w:t>
      </w:r>
      <w:r>
        <w:rPr>
          <w:rFonts w:ascii="SimHei" w:eastAsia="SimHei" w:hAnsi="SimHei" w:cs="SimHei"/>
          <w:b/>
          <w:bCs/>
          <w:spacing w:val="-7"/>
          <w:sz w:val="21"/>
          <w:szCs w:val="21"/>
        </w:rPr>
        <w:t>动态性</w:t>
      </w:r>
    </w:p>
    <w:p>
      <w:pPr>
        <w:pStyle w:val="BodyText"/>
        <w:spacing w:before="150" w:line="231" w:lineRule="auto"/>
        <w:ind w:right="4" w:firstLine="429"/>
        <w:jc w:val="both"/>
      </w:pPr>
      <w:r>
        <w:rPr>
          <w:spacing w:val="-3"/>
        </w:rPr>
        <w:t>充分考虑重点沉积盆地或区域对咸水层二氧化碳地质封存技术需求的紧迫性，可先行开展相应精度</w:t>
      </w:r>
      <w:r>
        <w:rPr>
          <w:spacing w:val="10"/>
        </w:rPr>
        <w:t xml:space="preserve"> </w:t>
      </w:r>
      <w:r>
        <w:rPr>
          <w:spacing w:val="-2"/>
        </w:rPr>
        <w:t>的潜力评价工作，随着地质勘查资料的不断丰富、技术</w:t>
      </w:r>
      <w:r>
        <w:rPr>
          <w:spacing w:val="-3"/>
        </w:rPr>
        <w:t>水平的不断进步及政策环境的变化，动态更新潜</w:t>
      </w:r>
      <w:r>
        <w:t xml:space="preserve"> </w:t>
      </w:r>
      <w:r>
        <w:rPr>
          <w:spacing w:val="-6"/>
        </w:rPr>
        <w:t>力评价工作。</w:t>
      </w:r>
    </w:p>
    <w:p>
      <w:pPr>
        <w:spacing w:line="231" w:lineRule="auto"/>
        <w:sectPr>
          <w:footerReference w:type="default" r:id="rId7"/>
          <w:type w:val="nextPage"/>
          <w:pgSz w:w="11910" w:h="16840"/>
          <w:pgMar w:top="1431" w:right="1463" w:bottom="1305" w:left="1100" w:header="0" w:footer="1156" w:gutter="0"/>
          <w:pgNumType w:start="4"/>
          <w:cols w:space="708"/>
          <w:titlePg w:val="0"/>
        </w:sectPr>
      </w:pPr>
    </w:p>
    <w:p>
      <w:pPr>
        <w:spacing w:before="194" w:line="219" w:lineRule="auto"/>
        <w:rPr>
          <w:rFonts w:ascii="SimHei" w:eastAsia="SimHei" w:hAnsi="SimHei" w:cs="SimHei"/>
          <w:sz w:val="21"/>
          <w:szCs w:val="21"/>
        </w:rPr>
      </w:pPr>
      <w:r>
        <w:rPr>
          <w:rFonts w:ascii="SimHei" w:eastAsia="SimHei" w:hAnsi="SimHei" w:cs="SimHei"/>
          <w:sz w:val="21"/>
          <w:szCs w:val="21"/>
        </w:rPr>
        <w:drawing>
          <wp:inline distT="0" distB="0" distL="0" distR="0">
            <wp:extent cx="197358" cy="9829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197358" cy="98297"/>
                    </a:xfrm>
                    <a:prstGeom prst="rect">
                      <a:avLst/>
                    </a:prstGeom>
                  </pic:spPr>
                </pic:pic>
              </a:graphicData>
            </a:graphic>
          </wp:inline>
        </w:drawing>
      </w:r>
      <w:r>
        <w:rPr>
          <w:rFonts w:ascii="SimHei" w:eastAsia="SimHei" w:hAnsi="SimHei" w:cs="SimHei"/>
          <w:spacing w:val="9"/>
          <w:sz w:val="21"/>
          <w:szCs w:val="21"/>
        </w:rPr>
        <w:t xml:space="preserve">  </w:t>
      </w:r>
      <w:r>
        <w:rPr>
          <w:rFonts w:ascii="SimHei" w:eastAsia="SimHei" w:hAnsi="SimHei" w:cs="SimHei"/>
          <w:spacing w:val="-3"/>
          <w:sz w:val="21"/>
          <w:szCs w:val="21"/>
        </w:rPr>
        <w:t>流程</w:t>
      </w:r>
    </w:p>
    <w:p>
      <w:pPr>
        <w:pStyle w:val="BodyText"/>
        <w:spacing w:before="144" w:line="219" w:lineRule="auto"/>
        <w:ind w:left="432"/>
      </w:pPr>
      <w:r>
        <w:t>按照储层筛选、潜力计算、综合评价三个步骤开</w:t>
      </w:r>
      <w:r>
        <w:rPr>
          <w:spacing w:val="-1"/>
        </w:rPr>
        <w:t>展潜力评价。</w:t>
      </w:r>
    </w:p>
    <w:p>
      <w:pPr>
        <w:spacing w:before="142" w:line="219" w:lineRule="auto"/>
        <w:ind w:left="5"/>
        <w:rPr>
          <w:rFonts w:ascii="SimHei" w:eastAsia="SimHei" w:hAnsi="SimHei" w:cs="SimHei"/>
          <w:sz w:val="21"/>
          <w:szCs w:val="21"/>
        </w:rPr>
      </w:pPr>
      <w:r>
        <w:rPr>
          <w:rFonts w:ascii="SimHei" w:eastAsia="SimHei" w:hAnsi="SimHei" w:cs="SimHei"/>
          <w:sz w:val="21"/>
          <w:szCs w:val="21"/>
        </w:rPr>
        <w:t>4.3.1</w:t>
      </w:r>
      <w:r>
        <w:rPr>
          <w:rFonts w:ascii="SimHei" w:eastAsia="SimHei" w:hAnsi="SimHei" w:cs="SimHei"/>
          <w:sz w:val="21"/>
          <w:szCs w:val="21"/>
        </w:rPr>
        <w:t xml:space="preserve">  </w:t>
      </w:r>
      <w:r>
        <w:rPr>
          <w:rFonts w:ascii="SimHei" w:eastAsia="SimHei" w:hAnsi="SimHei" w:cs="SimHei"/>
          <w:sz w:val="21"/>
          <w:szCs w:val="21"/>
        </w:rPr>
        <w:t>储层筛选</w:t>
      </w:r>
    </w:p>
    <w:p>
      <w:pPr>
        <w:pStyle w:val="BodyText"/>
        <w:spacing w:before="143" w:line="229" w:lineRule="auto"/>
        <w:ind w:left="10" w:right="158" w:firstLine="423"/>
      </w:pPr>
      <w:r>
        <w:rPr>
          <w:spacing w:val="-2"/>
        </w:rPr>
        <w:t>充分利用已有地质勘查资料开展综合研究，针对二氧化碳地</w:t>
      </w:r>
      <w:r>
        <w:rPr>
          <w:spacing w:val="-3"/>
        </w:rPr>
        <w:t>质封存的要求，筛选符合条件的咸水层</w:t>
      </w:r>
      <w:r>
        <w:t xml:space="preserve"> </w:t>
      </w:r>
      <w:r>
        <w:rPr>
          <w:spacing w:val="-3"/>
        </w:rPr>
        <w:t>储层，掌握其空间分布规律， 明晰咸水层储层基础参数并核证符合勘查与地质认识程度要求的评价。</w:t>
      </w:r>
    </w:p>
    <w:p>
      <w:pPr>
        <w:spacing w:before="144" w:line="220" w:lineRule="auto"/>
        <w:ind w:left="5"/>
        <w:rPr>
          <w:rFonts w:ascii="SimHei" w:eastAsia="SimHei" w:hAnsi="SimHei" w:cs="SimHei"/>
          <w:sz w:val="21"/>
          <w:szCs w:val="21"/>
        </w:rPr>
      </w:pPr>
      <w:r>
        <w:rPr>
          <w:rFonts w:ascii="SimHei" w:eastAsia="SimHei" w:hAnsi="SimHei" w:cs="SimHei"/>
          <w:sz w:val="21"/>
          <w:szCs w:val="21"/>
        </w:rPr>
        <w:t>4.3.2</w:t>
      </w:r>
      <w:r>
        <w:rPr>
          <w:rFonts w:ascii="SimHei" w:eastAsia="SimHei" w:hAnsi="SimHei" w:cs="SimHei"/>
          <w:sz w:val="21"/>
          <w:szCs w:val="21"/>
        </w:rPr>
        <w:t xml:space="preserve">  </w:t>
      </w:r>
      <w:r>
        <w:rPr>
          <w:rFonts w:ascii="SimHei" w:eastAsia="SimHei" w:hAnsi="SimHei" w:cs="SimHei"/>
          <w:sz w:val="21"/>
          <w:szCs w:val="21"/>
        </w:rPr>
        <w:t>潜力计算</w:t>
      </w:r>
    </w:p>
    <w:p>
      <w:pPr>
        <w:pStyle w:val="BodyText"/>
        <w:spacing w:before="140" w:line="231" w:lineRule="auto"/>
        <w:ind w:left="11" w:right="158" w:firstLine="418"/>
      </w:pPr>
      <w:r>
        <w:rPr>
          <w:spacing w:val="-2"/>
        </w:rPr>
        <w:t>在储层筛选的基础上，判定相应类型、级别的咸水层二氧化碳地质</w:t>
      </w:r>
      <w:r>
        <w:rPr>
          <w:spacing w:val="-3"/>
        </w:rPr>
        <w:t>封存潜力，并科学选择计算公式</w:t>
      </w:r>
      <w:r>
        <w:t xml:space="preserve"> </w:t>
      </w:r>
      <w:r>
        <w:rPr>
          <w:spacing w:val="-3"/>
        </w:rPr>
        <w:t>开展潜力计算。</w:t>
      </w:r>
    </w:p>
    <w:p>
      <w:pPr>
        <w:spacing w:before="140" w:line="220" w:lineRule="auto"/>
        <w:ind w:left="5"/>
        <w:rPr>
          <w:rFonts w:ascii="SimHei" w:eastAsia="SimHei" w:hAnsi="SimHei" w:cs="SimHei"/>
          <w:sz w:val="21"/>
          <w:szCs w:val="21"/>
        </w:rPr>
      </w:pPr>
      <w:r>
        <w:rPr>
          <w:rFonts w:ascii="SimHei" w:eastAsia="SimHei" w:hAnsi="SimHei" w:cs="SimHei"/>
          <w:sz w:val="21"/>
          <w:szCs w:val="21"/>
        </w:rPr>
        <w:t>4.3.3</w:t>
      </w:r>
      <w:r>
        <w:rPr>
          <w:rFonts w:ascii="SimHei" w:eastAsia="SimHei" w:hAnsi="SimHei" w:cs="SimHei"/>
          <w:sz w:val="21"/>
          <w:szCs w:val="21"/>
        </w:rPr>
        <w:t xml:space="preserve">  </w:t>
      </w:r>
      <w:r>
        <w:rPr>
          <w:rFonts w:ascii="SimHei" w:eastAsia="SimHei" w:hAnsi="SimHei" w:cs="SimHei"/>
          <w:sz w:val="21"/>
          <w:szCs w:val="21"/>
        </w:rPr>
        <w:t>综合评价</w:t>
      </w:r>
    </w:p>
    <w:p>
      <w:pPr>
        <w:pStyle w:val="BodyText"/>
        <w:spacing w:before="143" w:line="229" w:lineRule="auto"/>
        <w:ind w:left="10" w:right="158" w:firstLine="421"/>
      </w:pPr>
      <w:r>
        <w:rPr>
          <w:spacing w:val="-2"/>
        </w:rPr>
        <w:t>重点针对咸水层二氧化碳地质封存地质条件适宜性、技术容量规</w:t>
      </w:r>
      <w:r>
        <w:rPr>
          <w:spacing w:val="-3"/>
        </w:rPr>
        <w:t>模及丰度、经济性等开展综合分析</w:t>
      </w:r>
      <w:r>
        <w:t xml:space="preserve"> </w:t>
      </w:r>
      <w:r>
        <w:rPr>
          <w:spacing w:val="-1"/>
        </w:rPr>
        <w:t>评价，并提出封存工程选址与监管建议。</w:t>
      </w:r>
    </w:p>
    <w:p>
      <w:pPr>
        <w:spacing w:before="264" w:line="220" w:lineRule="auto"/>
        <w:ind w:left="6"/>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评价阶段划分</w:t>
      </w:r>
    </w:p>
    <w:p>
      <w:pPr>
        <w:spacing w:before="261" w:line="220" w:lineRule="auto"/>
        <w:rPr>
          <w:rFonts w:ascii="SimHei" w:eastAsia="SimHei" w:hAnsi="SimHei" w:cs="SimHei"/>
          <w:sz w:val="21"/>
          <w:szCs w:val="21"/>
        </w:rPr>
      </w:pPr>
      <w:r>
        <w:rPr>
          <w:rFonts w:ascii="SimHei" w:eastAsia="SimHei" w:hAnsi="SimHei" w:cs="SimHei"/>
          <w:sz w:val="21"/>
          <w:szCs w:val="21"/>
        </w:rPr>
        <w:drawing>
          <wp:inline distT="0" distB="0" distL="0" distR="0">
            <wp:extent cx="179069" cy="9982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179069" cy="99822"/>
                    </a:xfrm>
                    <a:prstGeom prst="rect">
                      <a:avLst/>
                    </a:prstGeom>
                  </pic:spPr>
                </pic:pic>
              </a:graphicData>
            </a:graphic>
          </wp:inline>
        </w:drawing>
      </w:r>
      <w:r>
        <w:rPr>
          <w:rFonts w:ascii="SimHei" w:eastAsia="SimHei" w:hAnsi="SimHei" w:cs="SimHei"/>
          <w:spacing w:val="28"/>
          <w:sz w:val="21"/>
          <w:szCs w:val="21"/>
        </w:rPr>
        <w:t xml:space="preserve">  </w:t>
      </w:r>
      <w:r>
        <w:rPr>
          <w:rFonts w:ascii="SimHei" w:eastAsia="SimHei" w:hAnsi="SimHei" w:cs="SimHei"/>
          <w:spacing w:val="-3"/>
          <w:sz w:val="21"/>
          <w:szCs w:val="21"/>
        </w:rPr>
        <w:t>阶段划分依据</w:t>
      </w:r>
    </w:p>
    <w:p>
      <w:pPr>
        <w:pStyle w:val="BodyText"/>
        <w:spacing w:before="145" w:line="232" w:lineRule="auto"/>
        <w:ind w:left="11" w:right="159" w:firstLine="420"/>
        <w:jc w:val="both"/>
      </w:pPr>
      <w:r>
        <w:rPr>
          <w:spacing w:val="-1"/>
        </w:rPr>
        <w:t>按照GB/T</w:t>
      </w:r>
      <w:r>
        <w:rPr>
          <w:spacing w:val="-15"/>
        </w:rPr>
        <w:t xml:space="preserve"> </w:t>
      </w:r>
      <w:r>
        <w:rPr>
          <w:spacing w:val="-1"/>
        </w:rPr>
        <w:t>13908、GB/T</w:t>
      </w:r>
      <w:r>
        <w:rPr>
          <w:spacing w:val="-37"/>
        </w:rPr>
        <w:t xml:space="preserve"> </w:t>
      </w:r>
      <w:r>
        <w:rPr>
          <w:spacing w:val="-1"/>
        </w:rPr>
        <w:t>25283的有关规定，考虑地震、钻井等地质勘查与工程注入两者的工作性质</w:t>
      </w:r>
      <w:r>
        <w:t xml:space="preserve"> </w:t>
      </w:r>
      <w:r>
        <w:rPr>
          <w:spacing w:val="-4"/>
        </w:rPr>
        <w:t>区别，</w:t>
      </w:r>
      <w:r>
        <w:rPr>
          <w:spacing w:val="-20"/>
        </w:rPr>
        <w:t xml:space="preserve"> </w:t>
      </w:r>
      <w:r>
        <w:rPr>
          <w:spacing w:val="-4"/>
        </w:rPr>
        <w:t>将咸水层二氧化碳地质封存潜力评价划分为普查、详查、勘探和注入四个阶</w:t>
      </w:r>
      <w:r>
        <w:rPr>
          <w:spacing w:val="-5"/>
        </w:rPr>
        <w:t>段，其中普查、详查</w:t>
      </w:r>
      <w:r>
        <w:t xml:space="preserve"> </w:t>
      </w:r>
      <w:r>
        <w:rPr>
          <w:spacing w:val="-1"/>
        </w:rPr>
        <w:t>和勘探属于勘查阶段。</w:t>
      </w:r>
    </w:p>
    <w:p>
      <w:pPr>
        <w:spacing w:before="143" w:line="221" w:lineRule="auto"/>
        <w:rPr>
          <w:rFonts w:ascii="SimHei" w:eastAsia="SimHei" w:hAnsi="SimHei" w:cs="SimHei"/>
          <w:sz w:val="21"/>
          <w:szCs w:val="21"/>
        </w:rPr>
      </w:pPr>
      <w:r>
        <w:rPr>
          <w:rFonts w:ascii="SimHei" w:eastAsia="SimHei" w:hAnsi="SimHei" w:cs="SimHei"/>
          <w:sz w:val="21"/>
          <w:szCs w:val="21"/>
        </w:rPr>
        <w:drawing>
          <wp:inline distT="0" distB="0" distL="0" distR="0">
            <wp:extent cx="197358" cy="9982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197358" cy="99821"/>
                    </a:xfrm>
                    <a:prstGeom prst="rect">
                      <a:avLst/>
                    </a:prstGeom>
                  </pic:spPr>
                </pic:pic>
              </a:graphicData>
            </a:graphic>
          </wp:inline>
        </w:drawing>
      </w:r>
      <w:r>
        <w:rPr>
          <w:rFonts w:ascii="SimHei" w:eastAsia="SimHei" w:hAnsi="SimHei" w:cs="SimHei"/>
          <w:spacing w:val="9"/>
          <w:sz w:val="21"/>
          <w:szCs w:val="21"/>
        </w:rPr>
        <w:t xml:space="preserve">  </w:t>
      </w:r>
      <w:r>
        <w:rPr>
          <w:rFonts w:ascii="SimHei" w:eastAsia="SimHei" w:hAnsi="SimHei" w:cs="SimHei"/>
          <w:spacing w:val="-2"/>
          <w:sz w:val="21"/>
          <w:szCs w:val="21"/>
        </w:rPr>
        <w:t>普查阶段</w:t>
      </w:r>
    </w:p>
    <w:p>
      <w:pPr>
        <w:pStyle w:val="BodyText"/>
        <w:spacing w:before="141" w:line="230" w:lineRule="auto"/>
        <w:ind w:left="10" w:right="158" w:firstLine="420"/>
      </w:pPr>
      <w:r>
        <w:rPr>
          <w:spacing w:val="-2"/>
        </w:rPr>
        <w:t>针对某一沉积盆地或其地质构造单元，选择性地完成地震普查，</w:t>
      </w:r>
      <w:r>
        <w:rPr>
          <w:spacing w:val="-3"/>
        </w:rPr>
        <w:t>结合已有其他矿产资源深部钻井数</w:t>
      </w:r>
      <w:r>
        <w:t xml:space="preserve"> </w:t>
      </w:r>
      <w:r>
        <w:rPr>
          <w:spacing w:val="-2"/>
        </w:rPr>
        <w:t>据，圈定适宜咸水层储层在平面上的投影分布区（</w:t>
      </w:r>
      <w:r>
        <w:rPr>
          <w:spacing w:val="-3"/>
        </w:rPr>
        <w:t>即远景区）</w:t>
      </w:r>
      <w:r>
        <w:rPr>
          <w:spacing w:val="-47"/>
        </w:rPr>
        <w:t xml:space="preserve"> </w:t>
      </w:r>
      <w:r>
        <w:rPr>
          <w:spacing w:val="-3"/>
        </w:rPr>
        <w:t>。</w:t>
      </w:r>
    </w:p>
    <w:p>
      <w:pPr>
        <w:spacing w:before="141" w:line="393" w:lineRule="exact"/>
        <w:ind w:left="6"/>
        <w:rPr>
          <w:rFonts w:ascii="SimHei" w:eastAsia="SimHei" w:hAnsi="SimHei" w:cs="SimHei"/>
          <w:sz w:val="21"/>
          <w:szCs w:val="21"/>
        </w:rPr>
      </w:pPr>
      <w:r>
        <w:rPr>
          <w:rFonts w:ascii="SimHei" w:eastAsia="SimHei" w:hAnsi="SimHei" w:cs="SimHei"/>
          <w:spacing w:val="-1"/>
          <w:position w:val="14"/>
          <w:sz w:val="21"/>
          <w:szCs w:val="21"/>
        </w:rPr>
        <w:t>5.2.1</w:t>
      </w:r>
      <w:r>
        <w:rPr>
          <w:rFonts w:ascii="SimHei" w:eastAsia="SimHei" w:hAnsi="SimHei" w:cs="SimHei"/>
          <w:spacing w:val="-1"/>
          <w:position w:val="14"/>
          <w:sz w:val="21"/>
          <w:szCs w:val="21"/>
        </w:rPr>
        <w:t xml:space="preserve">  </w:t>
      </w:r>
      <w:r>
        <w:rPr>
          <w:rFonts w:ascii="SimHei" w:eastAsia="SimHei" w:hAnsi="SimHei" w:cs="SimHei"/>
          <w:spacing w:val="-1"/>
          <w:position w:val="14"/>
          <w:sz w:val="21"/>
          <w:szCs w:val="21"/>
        </w:rPr>
        <w:t>勘查要求</w:t>
      </w:r>
    </w:p>
    <w:p>
      <w:pPr>
        <w:spacing w:before="1" w:line="219" w:lineRule="auto"/>
        <w:ind w:left="6"/>
        <w:rPr>
          <w:rFonts w:ascii="SimHei" w:eastAsia="SimHei" w:hAnsi="SimHei" w:cs="SimHei"/>
          <w:sz w:val="21"/>
          <w:szCs w:val="21"/>
        </w:rPr>
      </w:pPr>
      <w:hyperlink r:id="rId11" w:history="1">
        <w:r>
          <w:rPr>
            <w:rFonts w:ascii="SimHei" w:eastAsia="SimHei" w:hAnsi="SimHei" w:cs="SimHei"/>
            <w:sz w:val="21"/>
            <w:szCs w:val="21"/>
          </w:rPr>
          <w:t>5.2.1.1</w:t>
        </w:r>
      </w:hyperlink>
      <w:r>
        <w:rPr>
          <w:rFonts w:ascii="SimHei" w:eastAsia="SimHei" w:hAnsi="SimHei" w:cs="SimHei"/>
          <w:sz w:val="21"/>
          <w:szCs w:val="21"/>
        </w:rPr>
        <w:t xml:space="preserve">  </w:t>
      </w:r>
      <w:r>
        <w:rPr>
          <w:rFonts w:ascii="SimHei" w:eastAsia="SimHei" w:hAnsi="SimHei" w:cs="SimHei"/>
          <w:sz w:val="21"/>
          <w:szCs w:val="21"/>
        </w:rPr>
        <w:t>地震</w:t>
      </w:r>
    </w:p>
    <w:p>
      <w:pPr>
        <w:pStyle w:val="BodyText"/>
        <w:spacing w:before="141" w:line="394" w:lineRule="exact"/>
        <w:ind w:left="432"/>
      </w:pPr>
      <w:r>
        <w:rPr>
          <w:spacing w:val="-5"/>
          <w:position w:val="13"/>
        </w:rPr>
        <w:t>完成二维地震普查，</w:t>
      </w:r>
      <w:r>
        <w:rPr>
          <w:spacing w:val="-6"/>
          <w:position w:val="13"/>
        </w:rPr>
        <w:t xml:space="preserve"> </w:t>
      </w:r>
      <w:r>
        <w:rPr>
          <w:spacing w:val="-5"/>
          <w:position w:val="13"/>
        </w:rPr>
        <w:t>主测线距宜小于4 km。</w:t>
      </w:r>
    </w:p>
    <w:p>
      <w:pPr>
        <w:spacing w:line="222" w:lineRule="auto"/>
        <w:ind w:left="6"/>
        <w:rPr>
          <w:rFonts w:ascii="SimHei" w:eastAsia="SimHei" w:hAnsi="SimHei" w:cs="SimHei"/>
          <w:sz w:val="21"/>
          <w:szCs w:val="21"/>
        </w:rPr>
      </w:pPr>
      <w:hyperlink r:id="rId12" w:history="1">
        <w:r>
          <w:rPr>
            <w:rFonts w:ascii="SimHei" w:eastAsia="SimHei" w:hAnsi="SimHei" w:cs="SimHei"/>
            <w:sz w:val="21"/>
            <w:szCs w:val="21"/>
          </w:rPr>
          <w:t>5.2.1.2</w:t>
        </w:r>
      </w:hyperlink>
      <w:r>
        <w:rPr>
          <w:rFonts w:ascii="SimHei" w:eastAsia="SimHei" w:hAnsi="SimHei" w:cs="SimHei"/>
          <w:sz w:val="21"/>
          <w:szCs w:val="21"/>
        </w:rPr>
        <w:t xml:space="preserve">  </w:t>
      </w:r>
      <w:r>
        <w:rPr>
          <w:rFonts w:ascii="SimHei" w:eastAsia="SimHei" w:hAnsi="SimHei" w:cs="SimHei"/>
          <w:sz w:val="21"/>
          <w:szCs w:val="21"/>
        </w:rPr>
        <w:t>钻井</w:t>
      </w:r>
    </w:p>
    <w:p>
      <w:pPr>
        <w:pStyle w:val="BodyText"/>
        <w:spacing w:before="138" w:line="231" w:lineRule="auto"/>
        <w:ind w:left="19" w:right="101" w:firstLine="427"/>
      </w:pPr>
      <w:r>
        <w:rPr>
          <w:spacing w:val="-3"/>
        </w:rPr>
        <w:t>100 km×100 km范围内已有其他矿产资源深部钻井数据可参考， 且主</w:t>
      </w:r>
      <w:r>
        <w:rPr>
          <w:spacing w:val="-4"/>
        </w:rPr>
        <w:t>要目的层有取心或井壁取心，</w:t>
      </w:r>
      <w:r>
        <w:t xml:space="preserve"> </w:t>
      </w:r>
      <w:r>
        <w:rPr>
          <w:spacing w:val="-3"/>
        </w:rPr>
        <w:t>能够细化到岩石地层单位组。</w:t>
      </w:r>
    </w:p>
    <w:p>
      <w:pPr>
        <w:spacing w:before="141" w:line="222" w:lineRule="auto"/>
        <w:ind w:left="6"/>
        <w:rPr>
          <w:rFonts w:ascii="SimHei" w:eastAsia="SimHei" w:hAnsi="SimHei" w:cs="SimHei"/>
          <w:sz w:val="21"/>
          <w:szCs w:val="21"/>
        </w:rPr>
      </w:pPr>
      <w:hyperlink r:id="rId13" w:history="1">
        <w:r>
          <w:rPr>
            <w:rFonts w:ascii="SimHei" w:eastAsia="SimHei" w:hAnsi="SimHei" w:cs="SimHei"/>
            <w:sz w:val="21"/>
            <w:szCs w:val="21"/>
          </w:rPr>
          <w:t>5.2.1.3</w:t>
        </w:r>
      </w:hyperlink>
      <w:r>
        <w:rPr>
          <w:rFonts w:ascii="SimHei" w:eastAsia="SimHei" w:hAnsi="SimHei" w:cs="SimHei"/>
          <w:sz w:val="21"/>
          <w:szCs w:val="21"/>
        </w:rPr>
        <w:t xml:space="preserve">  </w:t>
      </w:r>
      <w:r>
        <w:rPr>
          <w:rFonts w:ascii="SimHei" w:eastAsia="SimHei" w:hAnsi="SimHei" w:cs="SimHei"/>
          <w:sz w:val="21"/>
          <w:szCs w:val="21"/>
        </w:rPr>
        <w:t>测井</w:t>
      </w:r>
    </w:p>
    <w:p>
      <w:pPr>
        <w:pStyle w:val="BodyText"/>
        <w:spacing w:before="141" w:line="391" w:lineRule="exact"/>
        <w:ind w:left="430"/>
      </w:pPr>
      <w:r>
        <w:rPr>
          <w:spacing w:val="-1"/>
          <w:position w:val="13"/>
        </w:rPr>
        <w:t>采用合适的测井系列，初步解释区域性咸水层与隔水层。</w:t>
      </w:r>
    </w:p>
    <w:p>
      <w:pPr>
        <w:spacing w:before="1" w:line="219" w:lineRule="auto"/>
        <w:ind w:left="6"/>
        <w:rPr>
          <w:rFonts w:ascii="SimHei" w:eastAsia="SimHei" w:hAnsi="SimHei" w:cs="SimHei"/>
          <w:sz w:val="21"/>
          <w:szCs w:val="21"/>
        </w:rPr>
      </w:pPr>
      <w:hyperlink r:id="rId14" w:history="1">
        <w:r>
          <w:rPr>
            <w:rFonts w:ascii="SimHei" w:eastAsia="SimHei" w:hAnsi="SimHei" w:cs="SimHei"/>
            <w:sz w:val="21"/>
            <w:szCs w:val="21"/>
          </w:rPr>
          <w:t>5.2.1.4</w:t>
        </w:r>
      </w:hyperlink>
      <w:r>
        <w:rPr>
          <w:rFonts w:ascii="SimHei" w:eastAsia="SimHei" w:hAnsi="SimHei" w:cs="SimHei"/>
          <w:sz w:val="21"/>
          <w:szCs w:val="21"/>
        </w:rPr>
        <w:t xml:space="preserve">  </w:t>
      </w:r>
      <w:r>
        <w:rPr>
          <w:rFonts w:ascii="SimHei" w:eastAsia="SimHei" w:hAnsi="SimHei" w:cs="SimHei"/>
          <w:sz w:val="21"/>
          <w:szCs w:val="21"/>
        </w:rPr>
        <w:t>分析化验</w:t>
      </w:r>
    </w:p>
    <w:p>
      <w:pPr>
        <w:pStyle w:val="BodyText"/>
        <w:spacing w:before="143" w:line="221" w:lineRule="auto"/>
        <w:ind w:left="429"/>
      </w:pPr>
      <w:r>
        <w:rPr>
          <w:spacing w:val="-2"/>
        </w:rPr>
        <w:t>进行常规的岩心与水化学分析。</w:t>
      </w:r>
    </w:p>
    <w:p>
      <w:pPr>
        <w:spacing w:before="140" w:line="220" w:lineRule="auto"/>
        <w:ind w:left="6"/>
        <w:rPr>
          <w:rFonts w:ascii="SimHei" w:eastAsia="SimHei" w:hAnsi="SimHei" w:cs="SimHei"/>
          <w:sz w:val="21"/>
          <w:szCs w:val="21"/>
        </w:rPr>
      </w:pPr>
      <w:r>
        <w:rPr>
          <w:rFonts w:ascii="SimHei" w:eastAsia="SimHei" w:hAnsi="SimHei" w:cs="SimHei"/>
          <w:spacing w:val="-1"/>
          <w:sz w:val="21"/>
          <w:szCs w:val="21"/>
        </w:rPr>
        <w:t>5.2.2</w:t>
      </w:r>
      <w:r>
        <w:rPr>
          <w:rFonts w:ascii="SimHei" w:eastAsia="SimHei" w:hAnsi="SimHei" w:cs="SimHei"/>
          <w:spacing w:val="-1"/>
          <w:sz w:val="21"/>
          <w:szCs w:val="21"/>
        </w:rPr>
        <w:t xml:space="preserve">  </w:t>
      </w:r>
      <w:r>
        <w:rPr>
          <w:rFonts w:ascii="SimHei" w:eastAsia="SimHei" w:hAnsi="SimHei" w:cs="SimHei"/>
          <w:spacing w:val="-1"/>
          <w:sz w:val="21"/>
          <w:szCs w:val="21"/>
        </w:rPr>
        <w:t>地质认识程度要求</w:t>
      </w:r>
    </w:p>
    <w:p>
      <w:pPr>
        <w:pStyle w:val="BodyText"/>
        <w:spacing w:before="143" w:line="221" w:lineRule="auto"/>
        <w:ind w:left="430"/>
      </w:pPr>
      <w:r>
        <w:rPr>
          <w:spacing w:val="-2"/>
        </w:rPr>
        <w:t>普查阶段地质认识宜达到以下程度：</w:t>
      </w:r>
    </w:p>
    <w:p>
      <w:pPr>
        <w:pStyle w:val="BodyText"/>
        <w:spacing w:before="21" w:line="230" w:lineRule="auto"/>
        <w:ind w:left="432" w:firstLine="4"/>
      </w:pPr>
      <w:r>
        <w:rPr>
          <w:spacing w:val="-2"/>
        </w:rPr>
        <w:t>a)  能够圈定封存远景区，目标咸水层储层及盖层构造形态勘查精度能</w:t>
      </w:r>
      <w:r>
        <w:rPr>
          <w:spacing w:val="-3"/>
        </w:rPr>
        <w:t>够达到</w:t>
      </w:r>
      <w:r>
        <w:rPr>
          <w:spacing w:val="-28"/>
        </w:rPr>
        <w:t xml:space="preserve"> </w:t>
      </w:r>
      <w:r>
        <w:rPr>
          <w:spacing w:val="-3"/>
        </w:rPr>
        <w:t>1:100000-1:250000；</w:t>
      </w:r>
      <w:r>
        <w:t xml:space="preserve"> </w:t>
      </w:r>
      <w:r>
        <w:rPr>
          <w:spacing w:val="-3"/>
        </w:rPr>
        <w:t>b)  咸水层储层细化到岩石地层单位组， 能够基本明确目标咸水层储层岩性；</w:t>
      </w:r>
    </w:p>
    <w:p>
      <w:pPr>
        <w:pStyle w:val="BodyText"/>
        <w:spacing w:before="20" w:line="221" w:lineRule="auto"/>
        <w:ind w:left="440"/>
        <w:sectPr>
          <w:headerReference w:type="default" r:id="rId15"/>
          <w:footerReference w:type="default" r:id="rId16"/>
          <w:pgSz w:w="11907" w:h="16839"/>
          <w:pgMar w:top="1763" w:right="969" w:bottom="1292" w:left="1416" w:header="1583" w:footer="1132" w:gutter="0"/>
          <w:pgNumType w:start="5"/>
          <w:cols w:space="708"/>
        </w:sectPr>
      </w:pPr>
      <w:r>
        <w:rPr>
          <w:spacing w:val="2"/>
        </w:rPr>
        <w:t>c)  掌握控制盆地沉积及其一、二级构造单元分界线的区域性断裂，初步查明了封存体地质稳定</w:t>
      </w:r>
    </w:p>
    <w:p>
      <w:pPr>
        <w:pStyle w:val="BodyText"/>
        <w:spacing w:before="24" w:line="238" w:lineRule="auto"/>
        <w:ind w:left="864"/>
      </w:pPr>
      <w:r>
        <w:rPr>
          <w:spacing w:val="-1"/>
        </w:rPr>
        <w:t>条件，关于沉积盆地及次级构造单元划分具体按照</w:t>
      </w:r>
      <w:r>
        <w:rPr>
          <w:spacing w:val="-35"/>
        </w:rPr>
        <w:t xml:space="preserve"> </w:t>
      </w:r>
      <w:r>
        <w:rPr>
          <w:spacing w:val="-1"/>
        </w:rPr>
        <w:t>GB/T 16792</w:t>
      </w:r>
      <w:r>
        <w:rPr>
          <w:spacing w:val="-44"/>
        </w:rPr>
        <w:t xml:space="preserve"> </w:t>
      </w:r>
      <w:r>
        <w:rPr>
          <w:spacing w:val="-1"/>
        </w:rPr>
        <w:t>执行；</w:t>
      </w:r>
    </w:p>
    <w:p>
      <w:pPr>
        <w:pStyle w:val="BodyText"/>
        <w:spacing w:before="1" w:line="220" w:lineRule="auto"/>
        <w:ind w:left="440"/>
      </w:pPr>
      <w:r>
        <w:rPr>
          <w:spacing w:val="-1"/>
        </w:rPr>
        <w:t>d)  能够预测确定咸水层储层有效体积。</w:t>
      </w:r>
    </w:p>
    <w:p>
      <w:pPr>
        <w:spacing w:line="220" w:lineRule="auto"/>
        <w:sectPr>
          <w:headerReference w:type="default" r:id="rId17"/>
          <w:footerReference w:type="default" r:id="rId18"/>
          <w:type w:val="nextPage"/>
          <w:pgSz w:w="11907" w:h="16839"/>
          <w:pgMar w:top="1763" w:right="969" w:bottom="1292" w:left="1416" w:header="1583" w:footer="1132" w:gutter="0"/>
          <w:pgNumType w:start="6"/>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4"/>
          <w:sz w:val="21"/>
          <w:szCs w:val="21"/>
        </w:rPr>
        <w:t>5.3</w:t>
      </w:r>
      <w:r>
        <w:rPr>
          <w:rFonts w:ascii="SimHei" w:eastAsia="SimHei" w:hAnsi="SimHei" w:cs="SimHei"/>
          <w:spacing w:val="76"/>
          <w:sz w:val="21"/>
          <w:szCs w:val="21"/>
        </w:rPr>
        <w:t xml:space="preserve"> </w:t>
      </w:r>
      <w:r>
        <w:rPr>
          <w:rFonts w:ascii="SimHei" w:eastAsia="SimHei" w:hAnsi="SimHei" w:cs="SimHei"/>
          <w:b/>
          <w:bCs/>
          <w:spacing w:val="-4"/>
          <w:sz w:val="21"/>
          <w:szCs w:val="21"/>
        </w:rPr>
        <w:t>详查阶段</w:t>
      </w:r>
    </w:p>
    <w:p>
      <w:pPr>
        <w:pStyle w:val="BodyText"/>
        <w:spacing w:before="161" w:line="231" w:lineRule="auto"/>
        <w:ind w:right="3" w:firstLine="419"/>
        <w:jc w:val="both"/>
      </w:pPr>
      <w:r>
        <w:rPr>
          <w:spacing w:val="-2"/>
        </w:rPr>
        <w:t>在有利封存远景区内，进一步开展地震等地球物</w:t>
      </w:r>
      <w:r>
        <w:rPr>
          <w:spacing w:val="-3"/>
        </w:rPr>
        <w:t>理详查，查明有利二氧化碳封存的圈闭构造与地质</w:t>
      </w:r>
      <w:r>
        <w:t xml:space="preserve"> </w:t>
      </w:r>
      <w:r>
        <w:rPr>
          <w:spacing w:val="-2"/>
        </w:rPr>
        <w:t>条件，通过预探井钻探，并合理配置重要矿产资源勘查开发，进一步圈定</w:t>
      </w:r>
      <w:r>
        <w:rPr>
          <w:spacing w:val="-3"/>
        </w:rPr>
        <w:t>适宜咸水层储层在平面上的投</w:t>
      </w:r>
      <w:r>
        <w:t xml:space="preserve"> </w:t>
      </w:r>
      <w:r>
        <w:rPr>
          <w:spacing w:val="15"/>
        </w:rPr>
        <w:t>影分布区(即靶区)。</w:t>
      </w:r>
    </w:p>
    <w:p>
      <w:pPr>
        <w:spacing w:before="128" w:line="400" w:lineRule="exact"/>
        <w:ind w:left="3"/>
        <w:rPr>
          <w:rFonts w:ascii="SimHei" w:eastAsia="SimHei" w:hAnsi="SimHei" w:cs="SimHei"/>
          <w:sz w:val="21"/>
          <w:szCs w:val="21"/>
        </w:rPr>
      </w:pPr>
      <w:r>
        <w:rPr>
          <w:rFonts w:ascii="SimHei" w:eastAsia="SimHei" w:hAnsi="SimHei" w:cs="SimHei"/>
          <w:b/>
          <w:bCs/>
          <w:spacing w:val="-4"/>
          <w:position w:val="14"/>
          <w:sz w:val="21"/>
          <w:szCs w:val="21"/>
        </w:rPr>
        <w:t>5.3.1</w:t>
      </w:r>
      <w:r>
        <w:rPr>
          <w:rFonts w:ascii="SimHei" w:eastAsia="SimHei" w:hAnsi="SimHei" w:cs="SimHei"/>
          <w:spacing w:val="79"/>
          <w:position w:val="14"/>
          <w:sz w:val="21"/>
          <w:szCs w:val="21"/>
        </w:rPr>
        <w:t xml:space="preserve"> </w:t>
      </w:r>
      <w:r>
        <w:rPr>
          <w:rFonts w:ascii="SimHei" w:eastAsia="SimHei" w:hAnsi="SimHei" w:cs="SimHei"/>
          <w:b/>
          <w:bCs/>
          <w:spacing w:val="-4"/>
          <w:position w:val="14"/>
          <w:sz w:val="21"/>
          <w:szCs w:val="21"/>
        </w:rPr>
        <w:t>勘查要求</w:t>
      </w:r>
    </w:p>
    <w:p>
      <w:pPr>
        <w:spacing w:line="221" w:lineRule="auto"/>
        <w:ind w:left="3"/>
        <w:rPr>
          <w:rFonts w:ascii="SimHei" w:eastAsia="SimHei" w:hAnsi="SimHei" w:cs="SimHei"/>
          <w:sz w:val="21"/>
          <w:szCs w:val="21"/>
        </w:rPr>
      </w:pPr>
      <w:hyperlink r:id="rId19" w:history="1">
        <w:r>
          <w:rPr>
            <w:rFonts w:ascii="SimHei" w:eastAsia="SimHei" w:hAnsi="SimHei" w:cs="SimHei"/>
            <w:b/>
            <w:bCs/>
            <w:spacing w:val="-4"/>
            <w:sz w:val="21"/>
            <w:szCs w:val="21"/>
          </w:rPr>
          <w:t>5.3.1.1</w:t>
        </w:r>
      </w:hyperlink>
      <w:r>
        <w:rPr>
          <w:rFonts w:ascii="SimHei" w:eastAsia="SimHei" w:hAnsi="SimHei" w:cs="SimHei"/>
          <w:spacing w:val="90"/>
          <w:sz w:val="21"/>
          <w:szCs w:val="21"/>
        </w:rPr>
        <w:t xml:space="preserve"> </w:t>
      </w:r>
      <w:r>
        <w:rPr>
          <w:rFonts w:ascii="SimHei" w:eastAsia="SimHei" w:hAnsi="SimHei" w:cs="SimHei"/>
          <w:b/>
          <w:bCs/>
          <w:spacing w:val="-4"/>
          <w:sz w:val="21"/>
          <w:szCs w:val="21"/>
        </w:rPr>
        <w:t>地震</w:t>
      </w:r>
    </w:p>
    <w:p>
      <w:pPr>
        <w:pStyle w:val="BodyText"/>
        <w:spacing w:before="152" w:line="219" w:lineRule="auto"/>
        <w:ind w:left="419"/>
      </w:pPr>
      <w:r>
        <w:rPr>
          <w:spacing w:val="-4"/>
        </w:rPr>
        <w:t xml:space="preserve">完成二维地震详查，主测线距宜小于2 </w:t>
      </w:r>
      <w:r>
        <w:rPr>
          <w:rFonts w:ascii="Times New Roman" w:eastAsia="Times New Roman" w:hAnsi="Times New Roman" w:cs="Times New Roman"/>
          <w:spacing w:val="-4"/>
        </w:rPr>
        <w:t>km</w:t>
      </w:r>
      <w:r>
        <w:rPr>
          <w:spacing w:val="-4"/>
        </w:rPr>
        <w:t>。</w:t>
      </w:r>
    </w:p>
    <w:p>
      <w:pPr>
        <w:spacing w:before="138" w:line="224" w:lineRule="auto"/>
        <w:ind w:left="3"/>
        <w:outlineLvl w:val="0"/>
        <w:rPr>
          <w:rFonts w:ascii="SimHei" w:eastAsia="SimHei" w:hAnsi="SimHei" w:cs="SimHei"/>
          <w:sz w:val="21"/>
          <w:szCs w:val="21"/>
        </w:rPr>
      </w:pPr>
      <w:hyperlink r:id="rId20" w:history="1">
        <w:r>
          <w:rPr>
            <w:rFonts w:ascii="SimHei" w:eastAsia="SimHei" w:hAnsi="SimHei" w:cs="SimHei"/>
            <w:b/>
            <w:bCs/>
            <w:spacing w:val="-3"/>
            <w:sz w:val="21"/>
            <w:szCs w:val="21"/>
          </w:rPr>
          <w:t>5.3.1.2</w:t>
        </w:r>
      </w:hyperlink>
      <w:r>
        <w:rPr>
          <w:rFonts w:ascii="SimHei" w:eastAsia="SimHei" w:hAnsi="SimHei" w:cs="SimHei"/>
          <w:spacing w:val="73"/>
          <w:sz w:val="21"/>
          <w:szCs w:val="21"/>
        </w:rPr>
        <w:t xml:space="preserve"> </w:t>
      </w:r>
      <w:r>
        <w:rPr>
          <w:rFonts w:ascii="SimHei" w:eastAsia="SimHei" w:hAnsi="SimHei" w:cs="SimHei"/>
          <w:b/>
          <w:bCs/>
          <w:spacing w:val="-3"/>
          <w:sz w:val="21"/>
          <w:szCs w:val="21"/>
        </w:rPr>
        <w:t>钻井</w:t>
      </w:r>
    </w:p>
    <w:p>
      <w:pPr>
        <w:pStyle w:val="BodyText"/>
        <w:spacing w:before="137" w:line="219" w:lineRule="auto"/>
        <w:ind w:left="419"/>
      </w:pPr>
      <w:r>
        <w:rPr>
          <w:spacing w:val="-1"/>
        </w:rPr>
        <w:t>20 km×20 km范围内已有预探井，主要咸水层段有代表性岩心，宜细化到岩石地层单位段。</w:t>
      </w:r>
    </w:p>
    <w:p>
      <w:pPr>
        <w:spacing w:before="149" w:line="224" w:lineRule="auto"/>
        <w:ind w:left="3"/>
        <w:outlineLvl w:val="0"/>
        <w:rPr>
          <w:rFonts w:ascii="SimHei" w:eastAsia="SimHei" w:hAnsi="SimHei" w:cs="SimHei"/>
          <w:sz w:val="21"/>
          <w:szCs w:val="21"/>
        </w:rPr>
      </w:pPr>
      <w:hyperlink r:id="rId21" w:history="1">
        <w:r>
          <w:rPr>
            <w:rFonts w:ascii="SimHei" w:eastAsia="SimHei" w:hAnsi="SimHei" w:cs="SimHei"/>
            <w:b/>
            <w:bCs/>
            <w:spacing w:val="-3"/>
            <w:sz w:val="21"/>
            <w:szCs w:val="21"/>
          </w:rPr>
          <w:t>5.3.1.3</w:t>
        </w:r>
      </w:hyperlink>
      <w:r>
        <w:rPr>
          <w:rFonts w:ascii="SimHei" w:eastAsia="SimHei" w:hAnsi="SimHei" w:cs="SimHei"/>
          <w:spacing w:val="93"/>
          <w:sz w:val="21"/>
          <w:szCs w:val="21"/>
        </w:rPr>
        <w:t xml:space="preserve"> </w:t>
      </w:r>
      <w:r>
        <w:rPr>
          <w:rFonts w:ascii="SimHei" w:eastAsia="SimHei" w:hAnsi="SimHei" w:cs="SimHei"/>
          <w:b/>
          <w:bCs/>
          <w:spacing w:val="-3"/>
          <w:sz w:val="21"/>
          <w:szCs w:val="21"/>
        </w:rPr>
        <w:t>测井</w:t>
      </w:r>
    </w:p>
    <w:p>
      <w:pPr>
        <w:pStyle w:val="BodyText"/>
        <w:spacing w:before="125" w:line="218" w:lineRule="auto"/>
        <w:ind w:left="419"/>
      </w:pPr>
      <w:r>
        <w:rPr>
          <w:spacing w:val="-2"/>
        </w:rPr>
        <w:t>采用适合评价区特点的测井系列，解释确定咸水层储层及盖层。</w:t>
      </w:r>
    </w:p>
    <w:p>
      <w:pPr>
        <w:spacing w:before="149" w:line="221" w:lineRule="auto"/>
        <w:ind w:left="2"/>
        <w:outlineLvl w:val="0"/>
        <w:rPr>
          <w:rFonts w:ascii="SimHei" w:eastAsia="SimHei" w:hAnsi="SimHei" w:cs="SimHei"/>
          <w:sz w:val="21"/>
          <w:szCs w:val="21"/>
        </w:rPr>
      </w:pPr>
      <w:hyperlink r:id="rId22" w:history="1">
        <w:r>
          <w:rPr>
            <w:rFonts w:ascii="SimHei" w:eastAsia="SimHei" w:hAnsi="SimHei" w:cs="SimHei"/>
            <w:b/>
            <w:bCs/>
            <w:spacing w:val="-5"/>
            <w:sz w:val="21"/>
            <w:szCs w:val="21"/>
          </w:rPr>
          <w:t>5.3.1.4</w:t>
        </w:r>
      </w:hyperlink>
      <w:r>
        <w:rPr>
          <w:rFonts w:ascii="SimHei" w:eastAsia="SimHei" w:hAnsi="SimHei" w:cs="SimHei"/>
          <w:spacing w:val="-5"/>
          <w:sz w:val="21"/>
          <w:szCs w:val="21"/>
        </w:rPr>
        <w:t xml:space="preserve">  </w:t>
      </w:r>
      <w:r>
        <w:rPr>
          <w:rFonts w:ascii="SimHei" w:eastAsia="SimHei" w:hAnsi="SimHei" w:cs="SimHei"/>
          <w:b/>
          <w:bCs/>
          <w:spacing w:val="-5"/>
          <w:sz w:val="21"/>
          <w:szCs w:val="21"/>
        </w:rPr>
        <w:t>试井</w:t>
      </w:r>
    </w:p>
    <w:p>
      <w:pPr>
        <w:pStyle w:val="BodyText"/>
        <w:spacing w:before="144" w:line="219" w:lineRule="auto"/>
        <w:ind w:left="419"/>
      </w:pPr>
      <w:r>
        <w:rPr>
          <w:spacing w:val="-2"/>
        </w:rPr>
        <w:t>通过试井取得了流体性质、温度和压力资料。</w:t>
      </w:r>
    </w:p>
    <w:p>
      <w:pPr>
        <w:spacing w:before="146" w:line="222" w:lineRule="auto"/>
        <w:ind w:left="3"/>
        <w:outlineLvl w:val="0"/>
        <w:rPr>
          <w:rFonts w:ascii="SimHei" w:eastAsia="SimHei" w:hAnsi="SimHei" w:cs="SimHei"/>
          <w:sz w:val="21"/>
          <w:szCs w:val="21"/>
        </w:rPr>
      </w:pPr>
      <w:hyperlink r:id="rId23" w:history="1">
        <w:r>
          <w:rPr>
            <w:rFonts w:ascii="SimHei" w:eastAsia="SimHei" w:hAnsi="SimHei" w:cs="SimHei"/>
            <w:b/>
            <w:bCs/>
            <w:spacing w:val="-4"/>
            <w:sz w:val="21"/>
            <w:szCs w:val="21"/>
          </w:rPr>
          <w:t>5.3.1.5</w:t>
        </w:r>
      </w:hyperlink>
      <w:r>
        <w:rPr>
          <w:rFonts w:ascii="SimHei" w:eastAsia="SimHei" w:hAnsi="SimHei" w:cs="SimHei"/>
          <w:spacing w:val="98"/>
          <w:sz w:val="21"/>
          <w:szCs w:val="21"/>
        </w:rPr>
        <w:t xml:space="preserve"> </w:t>
      </w:r>
      <w:r>
        <w:rPr>
          <w:rFonts w:ascii="SimHei" w:eastAsia="SimHei" w:hAnsi="SimHei" w:cs="SimHei"/>
          <w:b/>
          <w:bCs/>
          <w:spacing w:val="-4"/>
          <w:sz w:val="21"/>
          <w:szCs w:val="21"/>
        </w:rPr>
        <w:t>分析化验</w:t>
      </w:r>
    </w:p>
    <w:p>
      <w:pPr>
        <w:pStyle w:val="BodyText"/>
        <w:spacing w:before="121" w:line="233" w:lineRule="auto"/>
        <w:ind w:right="2" w:firstLine="419"/>
      </w:pPr>
      <w:r>
        <w:rPr>
          <w:spacing w:val="-2"/>
        </w:rPr>
        <w:t>进行常规的岩心分析及必要的特殊岩心分析，取得了地层流体</w:t>
      </w:r>
      <w:r>
        <w:rPr>
          <w:spacing w:val="-3"/>
        </w:rPr>
        <w:t>性质分析资料，以及盖层岩石矿物成</w:t>
      </w:r>
      <w:r>
        <w:t xml:space="preserve"> </w:t>
      </w:r>
      <w:r>
        <w:rPr>
          <w:spacing w:val="-8"/>
        </w:rPr>
        <w:t>分等岩心分析资料。</w:t>
      </w:r>
    </w:p>
    <w:p>
      <w:pPr>
        <w:spacing w:before="137" w:line="222" w:lineRule="auto"/>
        <w:ind w:left="3"/>
        <w:outlineLvl w:val="0"/>
        <w:rPr>
          <w:rFonts w:ascii="SimHei" w:eastAsia="SimHei" w:hAnsi="SimHei" w:cs="SimHei"/>
          <w:sz w:val="21"/>
          <w:szCs w:val="21"/>
        </w:rPr>
      </w:pPr>
      <w:r>
        <w:rPr>
          <w:rFonts w:ascii="SimHei" w:eastAsia="SimHei" w:hAnsi="SimHei" w:cs="SimHei"/>
          <w:b/>
          <w:bCs/>
          <w:spacing w:val="-2"/>
          <w:sz w:val="21"/>
          <w:szCs w:val="21"/>
        </w:rPr>
        <w:t>5.3.2</w:t>
      </w:r>
      <w:r>
        <w:rPr>
          <w:rFonts w:ascii="SimHei" w:eastAsia="SimHei" w:hAnsi="SimHei" w:cs="SimHei"/>
          <w:spacing w:val="81"/>
          <w:sz w:val="21"/>
          <w:szCs w:val="21"/>
        </w:rPr>
        <w:t xml:space="preserve"> </w:t>
      </w:r>
      <w:r>
        <w:rPr>
          <w:rFonts w:ascii="SimHei" w:eastAsia="SimHei" w:hAnsi="SimHei" w:cs="SimHei"/>
          <w:b/>
          <w:bCs/>
          <w:spacing w:val="-2"/>
          <w:sz w:val="21"/>
          <w:szCs w:val="21"/>
        </w:rPr>
        <w:t>地质认识程度要求</w:t>
      </w:r>
    </w:p>
    <w:p>
      <w:pPr>
        <w:pStyle w:val="BodyText"/>
        <w:spacing w:before="142" w:line="220" w:lineRule="auto"/>
        <w:ind w:left="419"/>
      </w:pPr>
      <w:r>
        <w:rPr>
          <w:spacing w:val="-4"/>
        </w:rPr>
        <w:t>详查阶段地质认识宜达到以下程度：</w:t>
      </w:r>
    </w:p>
    <w:p>
      <w:pPr>
        <w:pStyle w:val="BodyText"/>
        <w:spacing w:before="16" w:line="212" w:lineRule="auto"/>
        <w:ind w:left="419"/>
      </w:pPr>
      <w:r>
        <w:rPr>
          <w:rFonts w:ascii="Times New Roman" w:eastAsia="Times New Roman" w:hAnsi="Times New Roman" w:cs="Times New Roman"/>
          <w:spacing w:val="3"/>
        </w:rPr>
        <w:t xml:space="preserve">a)    </w:t>
      </w:r>
      <w:r>
        <w:rPr>
          <w:spacing w:val="3"/>
        </w:rPr>
        <w:t>能够圈定封存靶区，储盖层构造形</w:t>
      </w:r>
      <w:r>
        <w:rPr>
          <w:spacing w:val="2"/>
        </w:rPr>
        <w:t>态勘查精度能够达到1:50000-1:100000;</w:t>
      </w:r>
    </w:p>
    <w:p>
      <w:pPr>
        <w:pStyle w:val="BodyText"/>
        <w:spacing w:before="62" w:line="219" w:lineRule="auto"/>
        <w:ind w:left="859" w:right="3" w:hanging="440"/>
      </w:pPr>
      <w:r>
        <w:rPr>
          <w:spacing w:val="3"/>
        </w:rPr>
        <w:t>b)  咸水层储层细化到岩石地层单位段</w:t>
      </w:r>
      <w:r>
        <w:rPr>
          <w:spacing w:val="2"/>
        </w:rPr>
        <w:t>，基本查明咸水层储层岩性、物性，储层发育裂隙时需基</w:t>
      </w:r>
      <w:r>
        <w:t xml:space="preserve"> </w:t>
      </w:r>
      <w:r>
        <w:rPr>
          <w:spacing w:val="-7"/>
        </w:rPr>
        <w:t>本查明裂隙系统；</w:t>
      </w:r>
    </w:p>
    <w:p>
      <w:pPr>
        <w:pStyle w:val="BodyText"/>
        <w:spacing w:before="51" w:line="208" w:lineRule="auto"/>
        <w:ind w:left="419"/>
      </w:pPr>
      <w:r>
        <w:rPr>
          <w:spacing w:val="-1"/>
        </w:rPr>
        <w:t>c)  基本查明咸水层储层流体性质、温度及压力系统；</w:t>
      </w:r>
    </w:p>
    <w:p>
      <w:pPr>
        <w:pStyle w:val="BodyText"/>
        <w:spacing w:before="1" w:line="212" w:lineRule="auto"/>
        <w:ind w:left="419"/>
      </w:pPr>
      <w:r>
        <w:rPr>
          <w:rFonts w:ascii="Times New Roman" w:eastAsia="Times New Roman" w:hAnsi="Times New Roman" w:cs="Times New Roman"/>
          <w:spacing w:val="-2"/>
        </w:rPr>
        <w:t xml:space="preserve">d)    </w:t>
      </w:r>
      <w:r>
        <w:rPr>
          <w:spacing w:val="-2"/>
        </w:rPr>
        <w:t>基本查明盖层岩性、物性，以及</w:t>
      </w:r>
      <w:r>
        <w:rPr>
          <w:spacing w:val="-52"/>
        </w:rPr>
        <w:t xml:space="preserve"> </w:t>
      </w:r>
      <w:r>
        <w:rPr>
          <w:rFonts w:ascii="Times New Roman" w:eastAsia="Times New Roman" w:hAnsi="Times New Roman" w:cs="Times New Roman"/>
          <w:spacing w:val="-2"/>
        </w:rPr>
        <w:t>CO₂-</w:t>
      </w:r>
      <w:r>
        <w:rPr>
          <w:spacing w:val="-2"/>
        </w:rPr>
        <w:t>水-岩反应溶蚀特征；</w:t>
      </w:r>
    </w:p>
    <w:p>
      <w:pPr>
        <w:pStyle w:val="BodyText"/>
        <w:spacing w:before="39" w:line="220" w:lineRule="auto"/>
        <w:ind w:left="419" w:right="575"/>
      </w:pPr>
      <w:r>
        <w:rPr>
          <w:rFonts w:ascii="Times New Roman" w:eastAsia="Times New Roman" w:hAnsi="Times New Roman" w:cs="Times New Roman"/>
          <w:spacing w:val="-1"/>
        </w:rPr>
        <w:t xml:space="preserve">e)     </w:t>
      </w:r>
      <w:r>
        <w:rPr>
          <w:spacing w:val="-1"/>
        </w:rPr>
        <w:t>掌握控制沉积盆地三级构造单元分界线的局部性断裂，基本查明封存体地质</w:t>
      </w:r>
      <w:r>
        <w:rPr>
          <w:spacing w:val="-2"/>
        </w:rPr>
        <w:t>稳定条件；</w:t>
      </w:r>
      <w:r>
        <w:t xml:space="preserve"> </w:t>
      </w:r>
      <w:r>
        <w:rPr>
          <w:rFonts w:ascii="Times New Roman" w:eastAsia="Times New Roman" w:hAnsi="Times New Roman" w:cs="Times New Roman"/>
        </w:rPr>
        <w:t xml:space="preserve">f)     </w:t>
      </w:r>
      <w:r>
        <w:t>了解重要矿产资源勘查开发</w:t>
      </w:r>
      <w:r>
        <w:rPr>
          <w:spacing w:val="-1"/>
        </w:rPr>
        <w:t>情况，合理配置二氧化碳封存与资源开发。</w:t>
      </w:r>
    </w:p>
    <w:p>
      <w:pPr>
        <w:spacing w:before="160" w:line="222" w:lineRule="auto"/>
        <w:ind w:left="3"/>
        <w:outlineLvl w:val="0"/>
        <w:rPr>
          <w:rFonts w:ascii="SimHei" w:eastAsia="SimHei" w:hAnsi="SimHei" w:cs="SimHei"/>
          <w:sz w:val="21"/>
          <w:szCs w:val="21"/>
        </w:rPr>
      </w:pPr>
      <w:r>
        <w:rPr>
          <w:rFonts w:ascii="SimHei" w:eastAsia="SimHei" w:hAnsi="SimHei" w:cs="SimHei"/>
          <w:b/>
          <w:bCs/>
          <w:spacing w:val="-4"/>
          <w:sz w:val="21"/>
          <w:szCs w:val="21"/>
        </w:rPr>
        <w:t>5.4</w:t>
      </w:r>
      <w:r>
        <w:rPr>
          <w:rFonts w:ascii="SimHei" w:eastAsia="SimHei" w:hAnsi="SimHei" w:cs="SimHei"/>
          <w:spacing w:val="76"/>
          <w:sz w:val="21"/>
          <w:szCs w:val="21"/>
        </w:rPr>
        <w:t xml:space="preserve"> </w:t>
      </w:r>
      <w:r>
        <w:rPr>
          <w:rFonts w:ascii="SimHei" w:eastAsia="SimHei" w:hAnsi="SimHei" w:cs="SimHei"/>
          <w:b/>
          <w:bCs/>
          <w:spacing w:val="-4"/>
          <w:sz w:val="21"/>
          <w:szCs w:val="21"/>
        </w:rPr>
        <w:t>勘探阶段</w:t>
      </w:r>
    </w:p>
    <w:p>
      <w:pPr>
        <w:pStyle w:val="BodyText"/>
        <w:spacing w:before="140" w:line="231" w:lineRule="auto"/>
        <w:ind w:firstLine="419"/>
        <w:jc w:val="both"/>
      </w:pPr>
      <w:r>
        <w:rPr>
          <w:spacing w:val="-3"/>
        </w:rPr>
        <w:t>在有利封存靶区内，开展二维地震精查或三维地震勘探，在满足井筒防腐、泄漏等条件下进行补充</w:t>
      </w:r>
      <w:r>
        <w:rPr>
          <w:spacing w:val="10"/>
        </w:rPr>
        <w:t xml:space="preserve"> </w:t>
      </w:r>
      <w:r>
        <w:rPr>
          <w:spacing w:val="-2"/>
        </w:rPr>
        <w:t>钻探，合理配置重要矿产资源勘查开发并规避其他钻井二氧化碳泄漏风险，进一步</w:t>
      </w:r>
      <w:r>
        <w:rPr>
          <w:spacing w:val="-3"/>
        </w:rPr>
        <w:t>圈定适宜咸水层储层</w:t>
      </w:r>
      <w:r>
        <w:t xml:space="preserve"> </w:t>
      </w:r>
      <w:r>
        <w:rPr>
          <w:spacing w:val="5"/>
        </w:rPr>
        <w:t>在平面上的投影分布区(即场地)及注入层，并完成注入方案设计。</w:t>
      </w:r>
    </w:p>
    <w:p>
      <w:pPr>
        <w:spacing w:before="159" w:line="379" w:lineRule="exact"/>
        <w:ind w:left="3"/>
        <w:rPr>
          <w:rFonts w:ascii="SimHei" w:eastAsia="SimHei" w:hAnsi="SimHei" w:cs="SimHei"/>
          <w:sz w:val="21"/>
          <w:szCs w:val="21"/>
        </w:rPr>
      </w:pPr>
      <w:r>
        <w:rPr>
          <w:rFonts w:ascii="SimHei" w:eastAsia="SimHei" w:hAnsi="SimHei" w:cs="SimHei"/>
          <w:b/>
          <w:bCs/>
          <w:spacing w:val="-4"/>
          <w:position w:val="12"/>
          <w:sz w:val="21"/>
          <w:szCs w:val="21"/>
        </w:rPr>
        <w:t>5.4.1</w:t>
      </w:r>
      <w:r>
        <w:rPr>
          <w:rFonts w:ascii="SimHei" w:eastAsia="SimHei" w:hAnsi="SimHei" w:cs="SimHei"/>
          <w:spacing w:val="79"/>
          <w:position w:val="12"/>
          <w:sz w:val="21"/>
          <w:szCs w:val="21"/>
        </w:rPr>
        <w:t xml:space="preserve"> </w:t>
      </w:r>
      <w:r>
        <w:rPr>
          <w:rFonts w:ascii="SimHei" w:eastAsia="SimHei" w:hAnsi="SimHei" w:cs="SimHei"/>
          <w:b/>
          <w:bCs/>
          <w:spacing w:val="-4"/>
          <w:position w:val="12"/>
          <w:sz w:val="21"/>
          <w:szCs w:val="21"/>
        </w:rPr>
        <w:t>勘查要求</w:t>
      </w:r>
    </w:p>
    <w:p>
      <w:pPr>
        <w:spacing w:before="1" w:line="221" w:lineRule="auto"/>
        <w:ind w:left="3"/>
        <w:rPr>
          <w:rFonts w:ascii="SimHei" w:eastAsia="SimHei" w:hAnsi="SimHei" w:cs="SimHei"/>
          <w:sz w:val="21"/>
          <w:szCs w:val="21"/>
        </w:rPr>
      </w:pPr>
      <w:hyperlink r:id="rId24" w:history="1">
        <w:r>
          <w:rPr>
            <w:rFonts w:ascii="SimHei" w:eastAsia="SimHei" w:hAnsi="SimHei" w:cs="SimHei"/>
            <w:b/>
            <w:bCs/>
            <w:spacing w:val="-4"/>
            <w:sz w:val="21"/>
            <w:szCs w:val="21"/>
          </w:rPr>
          <w:t>5.4.1.1</w:t>
        </w:r>
      </w:hyperlink>
      <w:r>
        <w:rPr>
          <w:rFonts w:ascii="SimHei" w:eastAsia="SimHei" w:hAnsi="SimHei" w:cs="SimHei"/>
          <w:spacing w:val="90"/>
          <w:sz w:val="21"/>
          <w:szCs w:val="21"/>
        </w:rPr>
        <w:t xml:space="preserve"> </w:t>
      </w:r>
      <w:r>
        <w:rPr>
          <w:rFonts w:ascii="SimHei" w:eastAsia="SimHei" w:hAnsi="SimHei" w:cs="SimHei"/>
          <w:b/>
          <w:bCs/>
          <w:spacing w:val="-4"/>
          <w:sz w:val="21"/>
          <w:szCs w:val="21"/>
        </w:rPr>
        <w:t>地震</w:t>
      </w:r>
    </w:p>
    <w:p>
      <w:pPr>
        <w:pStyle w:val="BodyText"/>
        <w:spacing w:before="149" w:line="216" w:lineRule="auto"/>
        <w:ind w:left="419"/>
        <w:sectPr>
          <w:headerReference w:type="default" r:id="rId25"/>
          <w:footerReference w:type="default" r:id="rId26"/>
          <w:pgSz w:w="11910" w:h="16840"/>
          <w:pgMar w:top="400" w:right="1437" w:bottom="1286" w:left="1120" w:header="0" w:footer="1107" w:gutter="0"/>
          <w:pgNumType w:start="7"/>
          <w:cols w:space="708"/>
        </w:sectPr>
      </w:pPr>
      <w:r>
        <w:rPr>
          <w:spacing w:val="-2"/>
        </w:rPr>
        <w:t>除复杂施工条件外，高精度二维地震测网宜小于1</w:t>
      </w:r>
      <w:r>
        <w:rPr>
          <w:spacing w:val="-32"/>
        </w:rPr>
        <w:t xml:space="preserve"> </w:t>
      </w:r>
      <w:r>
        <w:rPr>
          <w:spacing w:val="-2"/>
        </w:rPr>
        <w:t>km×</w:t>
      </w:r>
      <w:r>
        <w:rPr>
          <w:spacing w:val="42"/>
        </w:rPr>
        <w:t xml:space="preserve"> </w:t>
      </w:r>
      <w:r>
        <w:rPr>
          <w:spacing w:val="-2"/>
        </w:rPr>
        <w:t>1</w:t>
      </w:r>
      <w:r>
        <w:rPr>
          <w:spacing w:val="50"/>
        </w:rPr>
        <w:t xml:space="preserve"> </w:t>
      </w:r>
      <w:r>
        <w:rPr>
          <w:spacing w:val="-2"/>
        </w:rPr>
        <w:t>km,</w:t>
      </w:r>
      <w:r>
        <w:rPr>
          <w:spacing w:val="-40"/>
        </w:rPr>
        <w:t xml:space="preserve"> </w:t>
      </w:r>
      <w:r>
        <w:rPr>
          <w:spacing w:val="-2"/>
        </w:rPr>
        <w:t>或有三维地震。</w:t>
      </w:r>
    </w:p>
    <w:p>
      <w:pPr>
        <w:spacing w:before="145" w:line="224" w:lineRule="auto"/>
        <w:ind w:left="3"/>
        <w:outlineLvl w:val="0"/>
        <w:rPr>
          <w:rFonts w:ascii="SimHei" w:eastAsia="SimHei" w:hAnsi="SimHei" w:cs="SimHei"/>
          <w:sz w:val="21"/>
          <w:szCs w:val="21"/>
        </w:rPr>
      </w:pPr>
      <w:hyperlink r:id="rId27" w:history="1">
        <w:r>
          <w:rPr>
            <w:rFonts w:ascii="SimHei" w:eastAsia="SimHei" w:hAnsi="SimHei" w:cs="SimHei"/>
            <w:b/>
            <w:bCs/>
            <w:spacing w:val="-3"/>
            <w:sz w:val="21"/>
            <w:szCs w:val="21"/>
          </w:rPr>
          <w:t>5.4.1.2</w:t>
        </w:r>
      </w:hyperlink>
      <w:r>
        <w:rPr>
          <w:rFonts w:ascii="SimHei" w:eastAsia="SimHei" w:hAnsi="SimHei" w:cs="SimHei"/>
          <w:spacing w:val="83"/>
          <w:sz w:val="21"/>
          <w:szCs w:val="21"/>
        </w:rPr>
        <w:t xml:space="preserve"> </w:t>
      </w:r>
      <w:r>
        <w:rPr>
          <w:rFonts w:ascii="SimHei" w:eastAsia="SimHei" w:hAnsi="SimHei" w:cs="SimHei"/>
          <w:b/>
          <w:bCs/>
          <w:spacing w:val="-3"/>
          <w:sz w:val="21"/>
          <w:szCs w:val="21"/>
        </w:rPr>
        <w:t>钻井</w:t>
      </w:r>
    </w:p>
    <w:p>
      <w:pPr>
        <w:pStyle w:val="BodyText"/>
        <w:spacing w:before="156" w:line="220" w:lineRule="auto"/>
        <w:ind w:firstLine="419"/>
      </w:pPr>
      <w:r>
        <w:t>5km×5km</w:t>
      </w:r>
      <w:r>
        <w:rPr>
          <w:spacing w:val="27"/>
        </w:rPr>
        <w:t xml:space="preserve"> </w:t>
      </w:r>
      <w:r>
        <w:t>基本单元范围内已完成钻探，潜在封</w:t>
      </w:r>
      <w:r>
        <w:rPr>
          <w:spacing w:val="-1"/>
        </w:rPr>
        <w:t>存储盖层段至少有一个完整的取心剖面，岩心收获</w:t>
      </w:r>
      <w:r>
        <w:t xml:space="preserve"> </w:t>
      </w:r>
      <w:r>
        <w:rPr>
          <w:spacing w:val="-4"/>
        </w:rPr>
        <w:t>率需能满足对测井资料进行标定的需求。</w:t>
      </w:r>
    </w:p>
    <w:p>
      <w:pPr>
        <w:spacing w:before="139" w:line="224" w:lineRule="auto"/>
        <w:ind w:left="3"/>
        <w:outlineLvl w:val="0"/>
        <w:rPr>
          <w:rFonts w:ascii="SimHei" w:eastAsia="SimHei" w:hAnsi="SimHei" w:cs="SimHei"/>
          <w:sz w:val="21"/>
          <w:szCs w:val="21"/>
        </w:rPr>
      </w:pPr>
      <w:hyperlink r:id="rId28" w:history="1">
        <w:r>
          <w:rPr>
            <w:rFonts w:ascii="SimHei" w:eastAsia="SimHei" w:hAnsi="SimHei" w:cs="SimHei"/>
            <w:b/>
            <w:bCs/>
            <w:spacing w:val="-3"/>
            <w:sz w:val="21"/>
            <w:szCs w:val="21"/>
          </w:rPr>
          <w:t>5.4.1.3</w:t>
        </w:r>
      </w:hyperlink>
      <w:r>
        <w:rPr>
          <w:rFonts w:ascii="SimHei" w:eastAsia="SimHei" w:hAnsi="SimHei" w:cs="SimHei"/>
          <w:spacing w:val="103"/>
          <w:sz w:val="21"/>
          <w:szCs w:val="21"/>
        </w:rPr>
        <w:t xml:space="preserve"> </w:t>
      </w:r>
      <w:r>
        <w:rPr>
          <w:rFonts w:ascii="SimHei" w:eastAsia="SimHei" w:hAnsi="SimHei" w:cs="SimHei"/>
          <w:b/>
          <w:bCs/>
          <w:spacing w:val="-3"/>
          <w:sz w:val="21"/>
          <w:szCs w:val="21"/>
        </w:rPr>
        <w:t>测井</w:t>
      </w:r>
    </w:p>
    <w:p>
      <w:pPr>
        <w:pStyle w:val="BodyText"/>
        <w:spacing w:before="147" w:line="219" w:lineRule="auto"/>
        <w:ind w:left="419"/>
      </w:pPr>
      <w:r>
        <w:rPr>
          <w:spacing w:val="-1"/>
        </w:rPr>
        <w:t>有合适的测井系列，较清晰地划分咸水层储层及盖层，有效地划分较好的渗透</w:t>
      </w:r>
      <w:r>
        <w:rPr>
          <w:spacing w:val="-2"/>
        </w:rPr>
        <w:t>层段。</w:t>
      </w:r>
    </w:p>
    <w:p>
      <w:pPr>
        <w:spacing w:before="136" w:line="221" w:lineRule="auto"/>
        <w:ind w:left="2"/>
        <w:outlineLvl w:val="0"/>
        <w:rPr>
          <w:rFonts w:ascii="SimHei" w:eastAsia="SimHei" w:hAnsi="SimHei" w:cs="SimHei"/>
          <w:sz w:val="21"/>
          <w:szCs w:val="21"/>
        </w:rPr>
      </w:pPr>
      <w:hyperlink r:id="rId29" w:history="1">
        <w:r>
          <w:rPr>
            <w:rFonts w:ascii="SimHei" w:eastAsia="SimHei" w:hAnsi="SimHei" w:cs="SimHei"/>
            <w:b/>
            <w:bCs/>
            <w:spacing w:val="-4"/>
            <w:sz w:val="21"/>
            <w:szCs w:val="21"/>
          </w:rPr>
          <w:t>5.4.1.4</w:t>
        </w:r>
      </w:hyperlink>
      <w:r>
        <w:rPr>
          <w:rFonts w:ascii="SimHei" w:eastAsia="SimHei" w:hAnsi="SimHei" w:cs="SimHei"/>
          <w:spacing w:val="106"/>
          <w:sz w:val="21"/>
          <w:szCs w:val="21"/>
        </w:rPr>
        <w:t xml:space="preserve"> </w:t>
      </w:r>
      <w:r>
        <w:rPr>
          <w:rFonts w:ascii="SimHei" w:eastAsia="SimHei" w:hAnsi="SimHei" w:cs="SimHei"/>
          <w:b/>
          <w:bCs/>
          <w:spacing w:val="-4"/>
          <w:sz w:val="21"/>
          <w:szCs w:val="21"/>
        </w:rPr>
        <w:t>试井与灌注试验</w:t>
      </w:r>
    </w:p>
    <w:p>
      <w:pPr>
        <w:spacing w:line="221" w:lineRule="auto"/>
        <w:rPr>
          <w:rFonts w:ascii="SimHei" w:eastAsia="SimHei" w:hAnsi="SimHei" w:cs="SimHei"/>
          <w:sz w:val="21"/>
          <w:szCs w:val="21"/>
        </w:rPr>
        <w:sectPr>
          <w:headerReference w:type="default" r:id="rId30"/>
          <w:footerReference w:type="default" r:id="rId31"/>
          <w:type w:val="nextPage"/>
          <w:pgSz w:w="11910" w:h="16840"/>
          <w:pgMar w:top="400" w:right="1437" w:bottom="1286" w:left="1120" w:header="0" w:footer="1107" w:gutter="0"/>
          <w:pgNumType w:start="8"/>
          <w:cols w:space="708"/>
          <w:titlePg w:val="0"/>
        </w:sect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69" w:line="224" w:lineRule="auto"/>
        <w:jc w:val="right"/>
      </w:pPr>
      <w:r>
        <w:rPr>
          <w:spacing w:val="-17"/>
        </w:rPr>
        <w:t>DZ/T□</w:t>
      </w:r>
      <w:r>
        <w:rPr>
          <w:spacing w:val="-16"/>
        </w:rPr>
        <w:t>32-0</w:t>
      </w:r>
      <w:r>
        <w:rPr>
          <w:spacing w:val="-11"/>
        </w:rPr>
        <w:t>0</w:t>
      </w:r>
    </w:p>
    <w:p>
      <w:pPr>
        <w:pStyle w:val="BodyText"/>
        <w:spacing w:before="128" w:line="233" w:lineRule="auto"/>
        <w:ind w:left="30" w:right="47" w:firstLine="409"/>
      </w:pPr>
      <w:r>
        <w:rPr>
          <w:spacing w:val="-3"/>
        </w:rPr>
        <w:t>钻井已取全取准注入层流体性质、温度和压力资料，年十万吨级及以上规模进行了注入试验，并掌</w:t>
      </w:r>
      <w:r>
        <w:t xml:space="preserve"> </w:t>
      </w:r>
      <w:r>
        <w:rPr>
          <w:spacing w:val="-4"/>
        </w:rPr>
        <w:t>握了储层可注入性资料。</w:t>
      </w:r>
    </w:p>
    <w:p>
      <w:pPr>
        <w:spacing w:before="136" w:line="222" w:lineRule="auto"/>
        <w:ind w:left="33"/>
        <w:outlineLvl w:val="0"/>
        <w:rPr>
          <w:rFonts w:ascii="SimHei" w:eastAsia="SimHei" w:hAnsi="SimHei" w:cs="SimHei"/>
          <w:sz w:val="21"/>
          <w:szCs w:val="21"/>
        </w:rPr>
      </w:pPr>
      <w:hyperlink r:id="rId32" w:history="1">
        <w:r>
          <w:rPr>
            <w:rFonts w:ascii="SimHei" w:eastAsia="SimHei" w:hAnsi="SimHei" w:cs="SimHei"/>
            <w:b/>
            <w:bCs/>
            <w:spacing w:val="-4"/>
            <w:sz w:val="21"/>
            <w:szCs w:val="21"/>
          </w:rPr>
          <w:t>5.4.1.5</w:t>
        </w:r>
      </w:hyperlink>
      <w:r>
        <w:rPr>
          <w:rFonts w:ascii="SimHei" w:eastAsia="SimHei" w:hAnsi="SimHei" w:cs="SimHei"/>
          <w:spacing w:val="88"/>
          <w:sz w:val="21"/>
          <w:szCs w:val="21"/>
        </w:rPr>
        <w:t xml:space="preserve"> </w:t>
      </w:r>
      <w:r>
        <w:rPr>
          <w:rFonts w:ascii="SimHei" w:eastAsia="SimHei" w:hAnsi="SimHei" w:cs="SimHei"/>
          <w:b/>
          <w:bCs/>
          <w:spacing w:val="-4"/>
          <w:sz w:val="21"/>
          <w:szCs w:val="21"/>
        </w:rPr>
        <w:t>分析化验</w:t>
      </w:r>
    </w:p>
    <w:p>
      <w:pPr>
        <w:pStyle w:val="BodyText"/>
        <w:spacing w:before="161" w:line="224" w:lineRule="auto"/>
        <w:ind w:left="30" w:right="35" w:firstLine="409"/>
      </w:pPr>
      <w:r>
        <w:t>在常规岩性与地层流体性质分析基础上，进一步取得目的层位毛</w:t>
      </w:r>
      <w:r>
        <w:rPr>
          <w:spacing w:val="-1"/>
        </w:rPr>
        <w:t>管压力、相对渗透率及</w:t>
      </w:r>
      <w:r>
        <w:rPr>
          <w:rFonts w:ascii="Times New Roman" w:eastAsia="Times New Roman" w:hAnsi="Times New Roman" w:cs="Times New Roman"/>
          <w:spacing w:val="-1"/>
        </w:rPr>
        <w:t>CO₂-</w:t>
      </w:r>
      <w:r>
        <w:rPr>
          <w:spacing w:val="-1"/>
        </w:rPr>
        <w:t>水-岩</w:t>
      </w:r>
      <w:r>
        <w:t xml:space="preserve"> </w:t>
      </w:r>
      <w:r>
        <w:rPr>
          <w:spacing w:val="-3"/>
        </w:rPr>
        <w:t>反应特征，以及盖层封闭性等分析数据。</w:t>
      </w:r>
    </w:p>
    <w:p>
      <w:pPr>
        <w:spacing w:before="146" w:line="222" w:lineRule="auto"/>
        <w:ind w:left="33"/>
        <w:outlineLvl w:val="0"/>
        <w:rPr>
          <w:rFonts w:ascii="SimHei" w:eastAsia="SimHei" w:hAnsi="SimHei" w:cs="SimHei"/>
          <w:sz w:val="21"/>
          <w:szCs w:val="21"/>
        </w:rPr>
      </w:pPr>
      <w:r>
        <w:rPr>
          <w:rFonts w:ascii="SimHei" w:eastAsia="SimHei" w:hAnsi="SimHei" w:cs="SimHei"/>
          <w:b/>
          <w:bCs/>
          <w:spacing w:val="-4"/>
          <w:sz w:val="21"/>
          <w:szCs w:val="21"/>
        </w:rPr>
        <w:t>5.4.2</w:t>
      </w:r>
      <w:r>
        <w:rPr>
          <w:rFonts w:ascii="SimHei" w:eastAsia="SimHei" w:hAnsi="SimHei" w:cs="SimHei"/>
          <w:spacing w:val="94"/>
          <w:sz w:val="21"/>
          <w:szCs w:val="21"/>
        </w:rPr>
        <w:t xml:space="preserve"> </w:t>
      </w:r>
      <w:r>
        <w:rPr>
          <w:rFonts w:ascii="SimHei" w:eastAsia="SimHei" w:hAnsi="SimHei" w:cs="SimHei"/>
          <w:b/>
          <w:bCs/>
          <w:spacing w:val="-4"/>
          <w:sz w:val="21"/>
          <w:szCs w:val="21"/>
        </w:rPr>
        <w:t>地质认识程度要求</w:t>
      </w:r>
    </w:p>
    <w:p>
      <w:pPr>
        <w:pStyle w:val="BodyText"/>
        <w:spacing w:before="132" w:line="219" w:lineRule="auto"/>
        <w:ind w:left="439"/>
      </w:pPr>
      <w:r>
        <w:rPr>
          <w:spacing w:val="-4"/>
        </w:rPr>
        <w:t>勘探阶段地质认识宜达到以下程度：</w:t>
      </w:r>
    </w:p>
    <w:p>
      <w:pPr>
        <w:pStyle w:val="BodyText"/>
        <w:spacing w:before="17" w:line="212" w:lineRule="auto"/>
        <w:ind w:left="439"/>
      </w:pPr>
      <w:r>
        <w:rPr>
          <w:rFonts w:ascii="Times New Roman" w:eastAsia="Times New Roman" w:hAnsi="Times New Roman" w:cs="Times New Roman"/>
          <w:spacing w:val="3"/>
        </w:rPr>
        <w:t xml:space="preserve">a)    </w:t>
      </w:r>
      <w:r>
        <w:rPr>
          <w:spacing w:val="3"/>
        </w:rPr>
        <w:t>能够圈定封存场地，储盖层构造形态勘查精</w:t>
      </w:r>
      <w:r>
        <w:rPr>
          <w:spacing w:val="2"/>
        </w:rPr>
        <w:t>度能够达到1:5000-1:10000;</w:t>
      </w:r>
    </w:p>
    <w:p>
      <w:pPr>
        <w:pStyle w:val="BodyText"/>
        <w:spacing w:before="49" w:line="216" w:lineRule="auto"/>
        <w:ind w:left="439"/>
      </w:pPr>
      <w:r>
        <w:rPr>
          <w:spacing w:val="7"/>
        </w:rPr>
        <w:t>b)</w:t>
      </w:r>
      <w:r>
        <w:rPr>
          <w:spacing w:val="100"/>
        </w:rPr>
        <w:t xml:space="preserve"> </w:t>
      </w:r>
      <w:r>
        <w:rPr>
          <w:spacing w:val="7"/>
        </w:rPr>
        <w:t>咸水层储层岩石地层单位进一步细化(如砂层组或砂层),全面掌</w:t>
      </w:r>
      <w:r>
        <w:rPr>
          <w:spacing w:val="6"/>
        </w:rPr>
        <w:t>握其岩石物理化学性质；</w:t>
      </w:r>
    </w:p>
    <w:p>
      <w:pPr>
        <w:pStyle w:val="BodyText"/>
        <w:spacing w:before="26" w:line="219" w:lineRule="auto"/>
        <w:ind w:left="439"/>
      </w:pPr>
      <w:r>
        <w:rPr>
          <w:spacing w:val="-1"/>
        </w:rPr>
        <w:t>c)</w:t>
      </w:r>
      <w:r>
        <w:rPr>
          <w:spacing w:val="97"/>
        </w:rPr>
        <w:t xml:space="preserve"> </w:t>
      </w:r>
      <w:r>
        <w:rPr>
          <w:spacing w:val="-1"/>
        </w:rPr>
        <w:t>已查明咸水层储层流体性质、温度及压力系统，以及二</w:t>
      </w:r>
      <w:r>
        <w:rPr>
          <w:spacing w:val="-2"/>
        </w:rPr>
        <w:t>氧化碳溶解与矿化特征；</w:t>
      </w:r>
    </w:p>
    <w:p>
      <w:pPr>
        <w:pStyle w:val="BodyText"/>
        <w:spacing w:before="8" w:line="212" w:lineRule="auto"/>
        <w:ind w:left="439"/>
      </w:pPr>
      <w:r>
        <w:rPr>
          <w:rFonts w:ascii="Times New Roman" w:eastAsia="Times New Roman" w:hAnsi="Times New Roman" w:cs="Times New Roman"/>
          <w:spacing w:val="-2"/>
        </w:rPr>
        <w:t xml:space="preserve">d)     </w:t>
      </w:r>
      <w:r>
        <w:rPr>
          <w:spacing w:val="-2"/>
        </w:rPr>
        <w:t>已查明盖层岩石物理化学性质，以及</w:t>
      </w:r>
      <w:r>
        <w:rPr>
          <w:rFonts w:ascii="Times New Roman" w:eastAsia="Times New Roman" w:hAnsi="Times New Roman" w:cs="Times New Roman"/>
          <w:spacing w:val="-2"/>
        </w:rPr>
        <w:t>CO₂-</w:t>
      </w:r>
      <w:r>
        <w:rPr>
          <w:spacing w:val="-2"/>
        </w:rPr>
        <w:t>水-岩反应溶蚀特征；</w:t>
      </w:r>
    </w:p>
    <w:p>
      <w:pPr>
        <w:pStyle w:val="BodyText"/>
        <w:spacing w:before="19" w:line="212" w:lineRule="auto"/>
        <w:ind w:left="439"/>
      </w:pPr>
      <w:r>
        <w:rPr>
          <w:rFonts w:ascii="Times New Roman" w:eastAsia="Times New Roman" w:hAnsi="Times New Roman" w:cs="Times New Roman"/>
          <w:spacing w:val="-1"/>
        </w:rPr>
        <w:t xml:space="preserve">e)     </w:t>
      </w:r>
      <w:r>
        <w:rPr>
          <w:spacing w:val="-1"/>
        </w:rPr>
        <w:t>掌握对控制局部构造的断裂及</w:t>
      </w:r>
      <w:r>
        <w:rPr>
          <w:spacing w:val="-2"/>
        </w:rPr>
        <w:t>伴生断层、小断层等特征，查明封存体地质稳定条件；</w:t>
      </w:r>
    </w:p>
    <w:p>
      <w:pPr>
        <w:pStyle w:val="BodyText"/>
        <w:spacing w:before="40" w:line="239" w:lineRule="auto"/>
        <w:ind w:left="869" w:right="25" w:hanging="430"/>
      </w:pPr>
      <w:r>
        <w:rPr>
          <w:rFonts w:ascii="Times New Roman" w:eastAsia="Times New Roman" w:hAnsi="Times New Roman" w:cs="Times New Roman"/>
          <w:spacing w:val="3"/>
        </w:rPr>
        <w:t xml:space="preserve">f)     </w:t>
      </w:r>
      <w:r>
        <w:rPr>
          <w:spacing w:val="3"/>
        </w:rPr>
        <w:t>合理配置二氧化碳封存与重要矿产资源开</w:t>
      </w:r>
      <w:r>
        <w:rPr>
          <w:spacing w:val="2"/>
        </w:rPr>
        <w:t>发，规避资源开发或废弃钻井引发的二氧化碳泄漏</w:t>
      </w:r>
      <w:r>
        <w:t xml:space="preserve"> </w:t>
      </w:r>
      <w:r>
        <w:rPr>
          <w:spacing w:val="-9"/>
        </w:rPr>
        <w:t>风险。</w:t>
      </w:r>
    </w:p>
    <w:p>
      <w:pPr>
        <w:spacing w:before="125" w:line="222" w:lineRule="auto"/>
        <w:ind w:left="33"/>
        <w:outlineLvl w:val="0"/>
        <w:rPr>
          <w:rFonts w:ascii="SimHei" w:eastAsia="SimHei" w:hAnsi="SimHei" w:cs="SimHei"/>
          <w:sz w:val="21"/>
          <w:szCs w:val="21"/>
        </w:rPr>
      </w:pPr>
      <w:r>
        <w:rPr>
          <w:rFonts w:ascii="SimHei" w:eastAsia="SimHei" w:hAnsi="SimHei" w:cs="SimHei"/>
          <w:b/>
          <w:bCs/>
          <w:spacing w:val="-4"/>
          <w:sz w:val="21"/>
          <w:szCs w:val="21"/>
        </w:rPr>
        <w:t>5.5</w:t>
      </w:r>
      <w:r>
        <w:rPr>
          <w:rFonts w:ascii="SimHei" w:eastAsia="SimHei" w:hAnsi="SimHei" w:cs="SimHei"/>
          <w:spacing w:val="93"/>
          <w:sz w:val="21"/>
          <w:szCs w:val="21"/>
        </w:rPr>
        <w:t xml:space="preserve"> </w:t>
      </w:r>
      <w:r>
        <w:rPr>
          <w:rFonts w:ascii="SimHei" w:eastAsia="SimHei" w:hAnsi="SimHei" w:cs="SimHei"/>
          <w:b/>
          <w:bCs/>
          <w:spacing w:val="-4"/>
          <w:sz w:val="21"/>
          <w:szCs w:val="21"/>
        </w:rPr>
        <w:t>注入阶段</w:t>
      </w:r>
    </w:p>
    <w:p>
      <w:pPr>
        <w:pStyle w:val="BodyText"/>
        <w:spacing w:before="142" w:line="220" w:lineRule="auto"/>
        <w:ind w:left="439"/>
      </w:pPr>
      <w:r>
        <w:rPr>
          <w:spacing w:val="-5"/>
        </w:rPr>
        <w:t>注入阶段需具备以下前提：</w:t>
      </w:r>
    </w:p>
    <w:p>
      <w:pPr>
        <w:pStyle w:val="BodyText"/>
        <w:spacing w:before="40" w:line="223" w:lineRule="auto"/>
        <w:ind w:left="869" w:right="31" w:hanging="430"/>
      </w:pPr>
      <w:r>
        <w:rPr>
          <w:spacing w:val="2"/>
        </w:rPr>
        <w:t>a)</w:t>
      </w:r>
      <w:r>
        <w:rPr>
          <w:spacing w:val="118"/>
        </w:rPr>
        <w:t xml:space="preserve"> </w:t>
      </w:r>
      <w:r>
        <w:rPr>
          <w:spacing w:val="2"/>
        </w:rPr>
        <w:t>基于已有勘探基础和成果，编制工程设计并已获有关部门审批并备案，针对获批的封存场地</w:t>
      </w:r>
      <w:r>
        <w:t xml:space="preserve"> </w:t>
      </w:r>
      <w:r>
        <w:rPr>
          <w:spacing w:val="-5"/>
        </w:rPr>
        <w:t>有科学明确的注入方案；</w:t>
      </w:r>
    </w:p>
    <w:p>
      <w:pPr>
        <w:pStyle w:val="BodyText"/>
        <w:spacing w:before="31" w:line="225" w:lineRule="auto"/>
        <w:ind w:left="919" w:right="74" w:hanging="480"/>
      </w:pPr>
      <w:r>
        <w:rPr>
          <w:spacing w:val="1"/>
        </w:rPr>
        <w:t>b)  针对咸水层储层中二氧化碳运移分布及二氧化碳泄漏风险，已制定科学、全面的监测方案，</w:t>
      </w:r>
      <w:r>
        <w:rPr>
          <w:spacing w:val="10"/>
        </w:rPr>
        <w:t xml:space="preserve"> </w:t>
      </w:r>
      <w:r>
        <w:rPr>
          <w:spacing w:val="-4"/>
        </w:rPr>
        <w:t>且覆盖注入前、注入期间和注入后全周期。</w:t>
      </w:r>
    </w:p>
    <w:p>
      <w:pPr>
        <w:spacing w:before="264" w:line="221" w:lineRule="auto"/>
        <w:ind w:left="33"/>
        <w:rPr>
          <w:rFonts w:ascii="SimHei" w:eastAsia="SimHei" w:hAnsi="SimHei" w:cs="SimHei"/>
          <w:sz w:val="21"/>
          <w:szCs w:val="21"/>
        </w:rPr>
      </w:pPr>
      <w:r>
        <w:rPr>
          <w:rFonts w:ascii="SimHei" w:eastAsia="SimHei" w:hAnsi="SimHei" w:cs="SimHei"/>
          <w:b/>
          <w:bCs/>
          <w:spacing w:val="-5"/>
          <w:sz w:val="21"/>
          <w:szCs w:val="21"/>
        </w:rPr>
        <w:t>6</w:t>
      </w:r>
      <w:r>
        <w:rPr>
          <w:rFonts w:ascii="SimHei" w:eastAsia="SimHei" w:hAnsi="SimHei" w:cs="SimHei"/>
          <w:spacing w:val="92"/>
          <w:sz w:val="21"/>
          <w:szCs w:val="21"/>
        </w:rPr>
        <w:t xml:space="preserve"> </w:t>
      </w:r>
      <w:r>
        <w:rPr>
          <w:rFonts w:ascii="SimHei" w:eastAsia="SimHei" w:hAnsi="SimHei" w:cs="SimHei"/>
          <w:b/>
          <w:bCs/>
          <w:spacing w:val="-5"/>
          <w:sz w:val="21"/>
          <w:szCs w:val="21"/>
        </w:rPr>
        <w:t>潜力分类分级</w:t>
      </w:r>
    </w:p>
    <w:p>
      <w:pPr>
        <w:spacing w:before="259" w:line="221" w:lineRule="auto"/>
        <w:ind w:left="33"/>
        <w:outlineLvl w:val="0"/>
        <w:rPr>
          <w:rFonts w:ascii="SimHei" w:eastAsia="SimHei" w:hAnsi="SimHei" w:cs="SimHei"/>
          <w:sz w:val="21"/>
          <w:szCs w:val="21"/>
        </w:rPr>
      </w:pPr>
      <w:r>
        <w:rPr>
          <w:rFonts w:ascii="SimHei" w:eastAsia="SimHei" w:hAnsi="SimHei" w:cs="SimHei"/>
          <w:b/>
          <w:bCs/>
          <w:spacing w:val="-5"/>
          <w:sz w:val="21"/>
          <w:szCs w:val="21"/>
        </w:rPr>
        <w:t>6.1</w:t>
      </w:r>
      <w:r>
        <w:rPr>
          <w:rFonts w:ascii="SimHei" w:eastAsia="SimHei" w:hAnsi="SimHei" w:cs="SimHei"/>
          <w:spacing w:val="83"/>
          <w:sz w:val="21"/>
          <w:szCs w:val="21"/>
        </w:rPr>
        <w:t xml:space="preserve"> </w:t>
      </w:r>
      <w:r>
        <w:rPr>
          <w:rFonts w:ascii="SimHei" w:eastAsia="SimHei" w:hAnsi="SimHei" w:cs="SimHei"/>
          <w:b/>
          <w:bCs/>
          <w:spacing w:val="-5"/>
          <w:sz w:val="21"/>
          <w:szCs w:val="21"/>
        </w:rPr>
        <w:t>潜力分类</w:t>
      </w:r>
    </w:p>
    <w:p>
      <w:pPr>
        <w:pStyle w:val="BodyText"/>
        <w:spacing w:before="161" w:line="229" w:lineRule="auto"/>
        <w:ind w:left="30" w:right="28" w:firstLine="409"/>
      </w:pPr>
      <w:r>
        <w:rPr>
          <w:spacing w:val="-3"/>
        </w:rPr>
        <w:t>依据地质、技术、经济等因素，以及工程注入阶段，将咸水层二氧化碳地质封存潜力划分为地质潜</w:t>
      </w:r>
      <w:r>
        <w:rPr>
          <w:spacing w:val="18"/>
        </w:rPr>
        <w:t xml:space="preserve"> </w:t>
      </w:r>
      <w:r>
        <w:rPr>
          <w:spacing w:val="-2"/>
        </w:rPr>
        <w:t>力、技术容量、技术经济容量和工程封存量四类。</w:t>
      </w:r>
    </w:p>
    <w:p>
      <w:pPr>
        <w:spacing w:before="126" w:line="221" w:lineRule="auto"/>
        <w:ind w:left="33"/>
        <w:outlineLvl w:val="0"/>
        <w:rPr>
          <w:rFonts w:ascii="SimHei" w:eastAsia="SimHei" w:hAnsi="SimHei" w:cs="SimHei"/>
          <w:sz w:val="21"/>
          <w:szCs w:val="21"/>
        </w:rPr>
      </w:pPr>
      <w:r>
        <w:rPr>
          <w:rFonts w:ascii="SimHei" w:eastAsia="SimHei" w:hAnsi="SimHei" w:cs="SimHei"/>
          <w:b/>
          <w:bCs/>
          <w:spacing w:val="-5"/>
          <w:sz w:val="21"/>
          <w:szCs w:val="21"/>
        </w:rPr>
        <w:t>6.2</w:t>
      </w:r>
      <w:r>
        <w:rPr>
          <w:rFonts w:ascii="SimHei" w:eastAsia="SimHei" w:hAnsi="SimHei" w:cs="SimHei"/>
          <w:spacing w:val="93"/>
          <w:sz w:val="21"/>
          <w:szCs w:val="21"/>
        </w:rPr>
        <w:t xml:space="preserve"> </w:t>
      </w:r>
      <w:r>
        <w:rPr>
          <w:rFonts w:ascii="SimHei" w:eastAsia="SimHei" w:hAnsi="SimHei" w:cs="SimHei"/>
          <w:b/>
          <w:bCs/>
          <w:spacing w:val="-5"/>
          <w:sz w:val="21"/>
          <w:szCs w:val="21"/>
        </w:rPr>
        <w:t>潜力分级</w:t>
      </w:r>
    </w:p>
    <w:p>
      <w:pPr>
        <w:pStyle w:val="BodyText"/>
        <w:spacing w:before="133" w:line="228" w:lineRule="auto"/>
        <w:ind w:left="30" w:right="21" w:firstLine="409"/>
        <w:jc w:val="both"/>
      </w:pPr>
      <w:r>
        <w:rPr>
          <w:spacing w:val="-1"/>
        </w:rPr>
        <w:t>按照GB/T</w:t>
      </w:r>
      <w:r>
        <w:rPr>
          <w:spacing w:val="35"/>
        </w:rPr>
        <w:t xml:space="preserve"> </w:t>
      </w:r>
      <w:r>
        <w:rPr>
          <w:spacing w:val="-1"/>
        </w:rPr>
        <w:t>15218、GB/T</w:t>
      </w:r>
      <w:r>
        <w:rPr>
          <w:spacing w:val="36"/>
        </w:rPr>
        <w:t xml:space="preserve"> </w:t>
      </w:r>
      <w:r>
        <w:rPr>
          <w:spacing w:val="-1"/>
        </w:rPr>
        <w:t>17766、G</w:t>
      </w:r>
      <w:r>
        <w:rPr>
          <w:spacing w:val="-2"/>
        </w:rPr>
        <w:t>B/T19492等有关地下水、固体矿产和油气矿产资源储量分类分级</w:t>
      </w:r>
      <w:r>
        <w:t xml:space="preserve"> </w:t>
      </w:r>
      <w:r>
        <w:rPr>
          <w:spacing w:val="2"/>
        </w:rPr>
        <w:t>的有关规定，针对咸水层二氧化碳地质封存不同评价阶段，将封存潜力划分为预测级别</w:t>
      </w:r>
      <w:r>
        <w:rPr>
          <w:spacing w:val="-5"/>
        </w:rPr>
        <w:t xml:space="preserve"> </w:t>
      </w:r>
      <w:r>
        <w:rPr>
          <w:rFonts w:ascii="Times New Roman" w:eastAsia="Times New Roman" w:hAnsi="Times New Roman" w:cs="Times New Roman"/>
          <w:spacing w:val="2"/>
        </w:rPr>
        <w:t>(D</w:t>
      </w:r>
      <w:r>
        <w:rPr>
          <w:spacing w:val="2"/>
        </w:rPr>
        <w:t>级)、控制</w:t>
      </w:r>
      <w:r>
        <w:t xml:space="preserve"> </w:t>
      </w:r>
      <w:r>
        <w:rPr>
          <w:spacing w:val="8"/>
        </w:rPr>
        <w:t>级别</w:t>
      </w:r>
      <w:r>
        <w:rPr>
          <w:spacing w:val="-23"/>
        </w:rPr>
        <w:t xml:space="preserve"> </w:t>
      </w:r>
      <w:r>
        <w:rPr>
          <w:rFonts w:ascii="Times New Roman" w:eastAsia="Times New Roman" w:hAnsi="Times New Roman" w:cs="Times New Roman"/>
          <w:spacing w:val="8"/>
        </w:rPr>
        <w:t>(C</w:t>
      </w:r>
      <w:r>
        <w:rPr>
          <w:spacing w:val="8"/>
        </w:rPr>
        <w:t xml:space="preserve">级)、探明级别 </w:t>
      </w:r>
      <w:r>
        <w:rPr>
          <w:rFonts w:ascii="Times New Roman" w:eastAsia="Times New Roman" w:hAnsi="Times New Roman" w:cs="Times New Roman"/>
          <w:spacing w:val="8"/>
        </w:rPr>
        <w:t>(B</w:t>
      </w:r>
      <w:r>
        <w:rPr>
          <w:spacing w:val="8"/>
        </w:rPr>
        <w:t>级)和工程级别</w:t>
      </w:r>
      <w:r>
        <w:rPr>
          <w:spacing w:val="-22"/>
        </w:rPr>
        <w:t xml:space="preserve"> </w:t>
      </w:r>
      <w:r>
        <w:rPr>
          <w:rFonts w:ascii="Times New Roman" w:eastAsia="Times New Roman" w:hAnsi="Times New Roman" w:cs="Times New Roman"/>
          <w:spacing w:val="8"/>
        </w:rPr>
        <w:t>(A</w:t>
      </w:r>
      <w:r>
        <w:rPr>
          <w:spacing w:val="8"/>
        </w:rPr>
        <w:t>级</w:t>
      </w:r>
      <w:r>
        <w:rPr>
          <w:spacing w:val="-30"/>
        </w:rPr>
        <w:t xml:space="preserve"> </w:t>
      </w:r>
      <w:r>
        <w:rPr>
          <w:spacing w:val="7"/>
        </w:rPr>
        <w:t>)</w:t>
      </w:r>
      <w:r>
        <w:rPr>
          <w:spacing w:val="-39"/>
        </w:rPr>
        <w:t xml:space="preserve"> </w:t>
      </w:r>
      <w:r>
        <w:rPr>
          <w:spacing w:val="7"/>
        </w:rPr>
        <w:t>。</w:t>
      </w:r>
    </w:p>
    <w:p>
      <w:pPr>
        <w:spacing w:before="180" w:line="222" w:lineRule="auto"/>
        <w:ind w:left="33"/>
        <w:outlineLvl w:val="0"/>
        <w:rPr>
          <w:rFonts w:ascii="SimHei" w:eastAsia="SimHei" w:hAnsi="SimHei" w:cs="SimHei"/>
          <w:sz w:val="21"/>
          <w:szCs w:val="21"/>
        </w:rPr>
      </w:pPr>
      <w:r>
        <w:rPr>
          <w:rFonts w:ascii="SimHei" w:eastAsia="SimHei" w:hAnsi="SimHei" w:cs="SimHei"/>
          <w:b/>
          <w:bCs/>
          <w:spacing w:val="-4"/>
          <w:sz w:val="21"/>
          <w:szCs w:val="21"/>
        </w:rPr>
        <w:t>6.3</w:t>
      </w:r>
      <w:r>
        <w:rPr>
          <w:rFonts w:ascii="SimHei" w:eastAsia="SimHei" w:hAnsi="SimHei" w:cs="SimHei"/>
          <w:spacing w:val="77"/>
          <w:sz w:val="21"/>
          <w:szCs w:val="21"/>
        </w:rPr>
        <w:t xml:space="preserve"> </w:t>
      </w:r>
      <w:r>
        <w:rPr>
          <w:rFonts w:ascii="SimHei" w:eastAsia="SimHei" w:hAnsi="SimHei" w:cs="SimHei"/>
          <w:b/>
          <w:bCs/>
          <w:spacing w:val="-4"/>
          <w:sz w:val="21"/>
          <w:szCs w:val="21"/>
        </w:rPr>
        <w:t>对应关系</w:t>
      </w:r>
    </w:p>
    <w:p>
      <w:pPr>
        <w:pStyle w:val="BodyText"/>
        <w:spacing w:before="130" w:line="219" w:lineRule="auto"/>
        <w:ind w:left="439"/>
      </w:pPr>
      <w:r>
        <w:rPr>
          <w:spacing w:val="8"/>
        </w:rPr>
        <w:t>勘查注入阶段与潜力分类分级对应关系如下(见表1):</w:t>
      </w:r>
    </w:p>
    <w:p>
      <w:pPr>
        <w:pStyle w:val="BodyText"/>
        <w:spacing w:before="7" w:line="212" w:lineRule="auto"/>
        <w:ind w:left="439"/>
      </w:pPr>
      <w:r>
        <w:rPr>
          <w:rFonts w:ascii="Times New Roman" w:eastAsia="Times New Roman" w:hAnsi="Times New Roman" w:cs="Times New Roman"/>
          <w:spacing w:val="6"/>
        </w:rPr>
        <w:t xml:space="preserve">a)    </w:t>
      </w:r>
      <w:r>
        <w:rPr>
          <w:spacing w:val="6"/>
        </w:rPr>
        <w:t>普查阶段对应预测级别</w:t>
      </w:r>
      <w:r>
        <w:rPr>
          <w:spacing w:val="-32"/>
        </w:rPr>
        <w:t xml:space="preserve"> </w:t>
      </w:r>
      <w:r>
        <w:rPr>
          <w:rFonts w:ascii="Times New Roman" w:eastAsia="Times New Roman" w:hAnsi="Times New Roman" w:cs="Times New Roman"/>
          <w:spacing w:val="6"/>
        </w:rPr>
        <w:t xml:space="preserve">(D </w:t>
      </w:r>
      <w:r>
        <w:rPr>
          <w:spacing w:val="6"/>
        </w:rPr>
        <w:t>级),包</w:t>
      </w:r>
      <w:r>
        <w:rPr>
          <w:spacing w:val="5"/>
        </w:rPr>
        <w:t>括预测地质潜力与预测技术容量两类；</w:t>
      </w:r>
    </w:p>
    <w:p>
      <w:pPr>
        <w:pStyle w:val="BodyText"/>
        <w:spacing w:before="39" w:line="212" w:lineRule="auto"/>
        <w:ind w:left="439"/>
      </w:pPr>
      <w:r>
        <w:rPr>
          <w:rFonts w:ascii="Times New Roman" w:eastAsia="Times New Roman" w:hAnsi="Times New Roman" w:cs="Times New Roman"/>
          <w:spacing w:val="1"/>
        </w:rPr>
        <w:t xml:space="preserve">b)    </w:t>
      </w:r>
      <w:r>
        <w:rPr>
          <w:spacing w:val="1"/>
        </w:rPr>
        <w:t>详查阶段对应控制级别</w:t>
      </w:r>
      <w:r>
        <w:rPr>
          <w:rFonts w:ascii="Times New Roman" w:eastAsia="Times New Roman" w:hAnsi="Times New Roman" w:cs="Times New Roman"/>
          <w:spacing w:val="1"/>
        </w:rPr>
        <w:t xml:space="preserve">(C </w:t>
      </w:r>
      <w:r>
        <w:rPr>
          <w:spacing w:val="1"/>
        </w:rPr>
        <w:t>级),包括控制地质潜力、控制技术容量</w:t>
      </w:r>
      <w:r>
        <w:t>和控制技术经济容量三类；</w:t>
      </w:r>
    </w:p>
    <w:p>
      <w:pPr>
        <w:pStyle w:val="BodyText"/>
        <w:spacing w:before="70" w:line="218" w:lineRule="auto"/>
        <w:ind w:left="439" w:right="1284"/>
        <w:sectPr>
          <w:headerReference w:type="default" r:id="rId33"/>
          <w:footerReference w:type="default" r:id="rId34"/>
          <w:pgSz w:w="11910" w:h="16840"/>
          <w:pgMar w:top="400" w:right="1140" w:bottom="1267" w:left="1380" w:header="0" w:footer="1129" w:gutter="0"/>
          <w:pgNumType w:start="9"/>
          <w:cols w:space="708"/>
        </w:sectPr>
      </w:pPr>
      <w:r>
        <w:rPr>
          <w:spacing w:val="4"/>
        </w:rPr>
        <w:t>c)</w:t>
      </w:r>
      <w:r>
        <w:rPr>
          <w:spacing w:val="97"/>
        </w:rPr>
        <w:t xml:space="preserve"> </w:t>
      </w:r>
      <w:r>
        <w:rPr>
          <w:spacing w:val="4"/>
        </w:rPr>
        <w:t>勘探阶段对应探明级别</w:t>
      </w:r>
      <w:r>
        <w:rPr>
          <w:spacing w:val="-22"/>
        </w:rPr>
        <w:t xml:space="preserve"> </w:t>
      </w:r>
      <w:r>
        <w:rPr>
          <w:spacing w:val="4"/>
        </w:rPr>
        <w:t>(B 级),包</w:t>
      </w:r>
      <w:r>
        <w:rPr>
          <w:spacing w:val="3"/>
        </w:rPr>
        <w:t>括探明技术容量和探明技术经济容量两类；</w:t>
      </w:r>
      <w:r>
        <w:t xml:space="preserve"> </w:t>
      </w:r>
      <w:r>
        <w:rPr>
          <w:spacing w:val="5"/>
        </w:rPr>
        <w:t>d)</w:t>
      </w:r>
      <w:r>
        <w:rPr>
          <w:spacing w:val="88"/>
        </w:rPr>
        <w:t xml:space="preserve"> </w:t>
      </w:r>
      <w:r>
        <w:rPr>
          <w:spacing w:val="5"/>
        </w:rPr>
        <w:t>注入阶段对应工程级别</w:t>
      </w:r>
      <w:r>
        <w:rPr>
          <w:spacing w:val="-23"/>
        </w:rPr>
        <w:t xml:space="preserve"> </w:t>
      </w:r>
      <w:r>
        <w:rPr>
          <w:spacing w:val="5"/>
        </w:rPr>
        <w:t>(A 级),包括设计封存量和实</w:t>
      </w:r>
      <w:r>
        <w:rPr>
          <w:spacing w:val="4"/>
        </w:rPr>
        <w:t>际封存量两类。</w:t>
      </w:r>
    </w:p>
    <w:p>
      <w:pPr>
        <w:spacing w:before="262" w:line="221" w:lineRule="auto"/>
        <w:ind w:left="33"/>
        <w:rPr>
          <w:rFonts w:ascii="SimHei" w:eastAsia="SimHei" w:hAnsi="SimHei" w:cs="SimHei"/>
          <w:sz w:val="21"/>
          <w:szCs w:val="21"/>
        </w:rPr>
      </w:pPr>
      <w:r>
        <w:rPr>
          <w:rFonts w:ascii="SimHei" w:eastAsia="SimHei" w:hAnsi="SimHei" w:cs="SimHei"/>
          <w:b/>
          <w:bCs/>
          <w:spacing w:val="-5"/>
          <w:sz w:val="21"/>
          <w:szCs w:val="21"/>
        </w:rPr>
        <w:t>7</w:t>
      </w:r>
      <w:r>
        <w:rPr>
          <w:rFonts w:ascii="SimHei" w:eastAsia="SimHei" w:hAnsi="SimHei" w:cs="SimHei"/>
          <w:spacing w:val="89"/>
          <w:sz w:val="21"/>
          <w:szCs w:val="21"/>
        </w:rPr>
        <w:t xml:space="preserve"> </w:t>
      </w:r>
      <w:r>
        <w:rPr>
          <w:rFonts w:ascii="SimHei" w:eastAsia="SimHei" w:hAnsi="SimHei" w:cs="SimHei"/>
          <w:b/>
          <w:bCs/>
          <w:spacing w:val="-5"/>
          <w:sz w:val="21"/>
          <w:szCs w:val="21"/>
        </w:rPr>
        <w:t>储层筛选</w:t>
      </w:r>
    </w:p>
    <w:p>
      <w:pPr>
        <w:spacing w:before="271" w:line="222" w:lineRule="auto"/>
        <w:ind w:left="33"/>
        <w:outlineLvl w:val="0"/>
        <w:rPr>
          <w:rFonts w:ascii="SimHei" w:eastAsia="SimHei" w:hAnsi="SimHei" w:cs="SimHei"/>
          <w:sz w:val="21"/>
          <w:szCs w:val="21"/>
        </w:rPr>
      </w:pPr>
      <w:r>
        <w:rPr>
          <w:rFonts w:ascii="SimHei" w:eastAsia="SimHei" w:hAnsi="SimHei" w:cs="SimHei"/>
          <w:b/>
          <w:bCs/>
          <w:spacing w:val="-5"/>
          <w:sz w:val="21"/>
          <w:szCs w:val="21"/>
        </w:rPr>
        <w:t>7.1</w:t>
      </w:r>
      <w:r>
        <w:rPr>
          <w:rFonts w:ascii="SimHei" w:eastAsia="SimHei" w:hAnsi="SimHei" w:cs="SimHei"/>
          <w:spacing w:val="91"/>
          <w:sz w:val="21"/>
          <w:szCs w:val="21"/>
        </w:rPr>
        <w:t xml:space="preserve"> </w:t>
      </w:r>
      <w:r>
        <w:rPr>
          <w:rFonts w:ascii="SimHei" w:eastAsia="SimHei" w:hAnsi="SimHei" w:cs="SimHei"/>
          <w:b/>
          <w:bCs/>
          <w:spacing w:val="-5"/>
          <w:sz w:val="21"/>
          <w:szCs w:val="21"/>
        </w:rPr>
        <w:t>基本要求</w:t>
      </w:r>
    </w:p>
    <w:p>
      <w:pPr>
        <w:pStyle w:val="BodyText"/>
        <w:spacing w:before="120" w:line="232" w:lineRule="auto"/>
        <w:ind w:left="30" w:right="30" w:firstLine="409"/>
      </w:pPr>
      <w:r>
        <w:rPr>
          <w:spacing w:val="-3"/>
        </w:rPr>
        <w:t>咸水层储层需重点考虑储集条件、盖层封闭性、封存体地质稳定条件，以及深部资源开发互馈等基</w:t>
      </w:r>
      <w:r>
        <w:rPr>
          <w:spacing w:val="16"/>
        </w:rPr>
        <w:t xml:space="preserve"> </w:t>
      </w:r>
      <w:r>
        <w:rPr>
          <w:spacing w:val="-2"/>
        </w:rPr>
        <w:t>本要求，充分利用地震、钻井、测井和测试等资料进行综合筛选。</w:t>
      </w:r>
    </w:p>
    <w:p>
      <w:pPr>
        <w:spacing w:line="232" w:lineRule="auto"/>
        <w:sectPr>
          <w:headerReference w:type="default" r:id="rId35"/>
          <w:footerReference w:type="default" r:id="rId36"/>
          <w:type w:val="nextPage"/>
          <w:pgSz w:w="11910" w:h="16840"/>
          <w:pgMar w:top="400" w:right="1140" w:bottom="1267" w:left="1380" w:header="0" w:footer="1129" w:gutter="0"/>
          <w:pgNumType w:start="10"/>
          <w:cols w:space="708"/>
          <w:titlePg w:val="0"/>
        </w:sect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8" w:line="219" w:lineRule="auto"/>
        <w:ind w:left="2676"/>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勘查注入阶段与潜力分类分级对应关系</w:t>
      </w:r>
    </w:p>
    <w:p>
      <w:pPr>
        <w:spacing w:line="114" w:lineRule="exact"/>
      </w:pPr>
    </w:p>
    <w:tbl>
      <w:tblPr>
        <w:tblStyle w:val="TableNormal0"/>
        <w:tblW w:w="94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2"/>
        <w:gridCol w:w="1184"/>
        <w:gridCol w:w="1448"/>
        <w:gridCol w:w="1447"/>
        <w:gridCol w:w="1845"/>
        <w:gridCol w:w="1244"/>
        <w:gridCol w:w="1251"/>
      </w:tblGrid>
      <w:tr>
        <w:tblPrEx>
          <w:tblW w:w="9411"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5"/>
        </w:trPr>
        <w:tc>
          <w:tcPr>
            <w:tcW w:w="992" w:type="dxa"/>
            <w:vMerge w:val="restart"/>
            <w:tcBorders>
              <w:top w:val="single" w:sz="6" w:space="0" w:color="000000"/>
              <w:left w:val="single" w:sz="6" w:space="0" w:color="000000"/>
              <w:bottom w:val="nil"/>
            </w:tcBorders>
            <w:vAlign w:val="top"/>
          </w:tcPr>
          <w:p>
            <w:pPr>
              <w:spacing w:line="412" w:lineRule="auto"/>
              <w:rPr>
                <w:rFonts w:ascii="Arial"/>
                <w:sz w:val="21"/>
              </w:rPr>
            </w:pPr>
          </w:p>
          <w:p>
            <w:pPr>
              <w:pStyle w:val="TableText"/>
              <w:spacing w:before="59" w:line="218" w:lineRule="auto"/>
              <w:ind w:left="133"/>
            </w:pPr>
            <w:r>
              <w:rPr>
                <w:spacing w:val="-2"/>
              </w:rPr>
              <w:t>评价阶段</w:t>
            </w:r>
          </w:p>
        </w:tc>
        <w:tc>
          <w:tcPr>
            <w:tcW w:w="1184" w:type="dxa"/>
            <w:vMerge w:val="restart"/>
            <w:tcBorders>
              <w:top w:val="single" w:sz="6" w:space="0" w:color="000000"/>
              <w:bottom w:val="nil"/>
            </w:tcBorders>
            <w:vAlign w:val="top"/>
          </w:tcPr>
          <w:p>
            <w:pPr>
              <w:spacing w:line="295" w:lineRule="auto"/>
              <w:rPr>
                <w:rFonts w:ascii="Arial"/>
                <w:sz w:val="21"/>
              </w:rPr>
            </w:pPr>
          </w:p>
          <w:p>
            <w:pPr>
              <w:pStyle w:val="TableText"/>
              <w:spacing w:before="58" w:line="239" w:lineRule="auto"/>
              <w:ind w:left="411"/>
            </w:pPr>
            <w:r>
              <w:rPr>
                <w:spacing w:val="-2"/>
              </w:rPr>
              <w:t>潜力</w:t>
            </w:r>
          </w:p>
          <w:p>
            <w:pPr>
              <w:pStyle w:val="TableText"/>
              <w:spacing w:line="220" w:lineRule="auto"/>
              <w:ind w:left="414"/>
            </w:pPr>
            <w:r>
              <w:rPr>
                <w:spacing w:val="-3"/>
              </w:rPr>
              <w:t>级别</w:t>
            </w:r>
          </w:p>
        </w:tc>
        <w:tc>
          <w:tcPr>
            <w:tcW w:w="7235" w:type="dxa"/>
            <w:gridSpan w:val="5"/>
            <w:tcBorders>
              <w:top w:val="single" w:sz="6" w:space="0" w:color="000000"/>
              <w:right w:val="single" w:sz="6" w:space="0" w:color="000000"/>
            </w:tcBorders>
            <w:vAlign w:val="top"/>
          </w:tcPr>
          <w:p>
            <w:pPr>
              <w:pStyle w:val="TableText"/>
              <w:spacing w:before="187" w:line="220" w:lineRule="auto"/>
              <w:ind w:left="3260"/>
            </w:pPr>
            <w:r>
              <w:rPr>
                <w:spacing w:val="-2"/>
              </w:rPr>
              <w:t>潜力类别</w:t>
            </w:r>
          </w:p>
        </w:tc>
      </w:tr>
      <w:tr>
        <w:tblPrEx>
          <w:tblW w:w="9411" w:type="dxa"/>
          <w:tblInd w:w="7" w:type="dxa"/>
          <w:tblLayout w:type="fixed"/>
        </w:tblPrEx>
        <w:trPr>
          <w:trHeight w:val="565"/>
        </w:trPr>
        <w:tc>
          <w:tcPr>
            <w:tcW w:w="992" w:type="dxa"/>
            <w:vMerge/>
            <w:tcBorders>
              <w:top w:val="nil"/>
              <w:left w:val="single" w:sz="6" w:space="0" w:color="000000"/>
              <w:bottom w:val="single" w:sz="6" w:space="0" w:color="000000"/>
            </w:tcBorders>
            <w:vAlign w:val="top"/>
          </w:tcPr>
          <w:p>
            <w:pPr>
              <w:rPr>
                <w:rFonts w:ascii="Arial"/>
                <w:sz w:val="21"/>
              </w:rPr>
            </w:pPr>
          </w:p>
        </w:tc>
        <w:tc>
          <w:tcPr>
            <w:tcW w:w="1184" w:type="dxa"/>
            <w:vMerge/>
            <w:tcBorders>
              <w:top w:val="nil"/>
              <w:bottom w:val="single" w:sz="6" w:space="0" w:color="000000"/>
            </w:tcBorders>
            <w:vAlign w:val="top"/>
          </w:tcPr>
          <w:p>
            <w:pPr>
              <w:rPr>
                <w:rFonts w:ascii="Arial"/>
                <w:sz w:val="21"/>
              </w:rPr>
            </w:pPr>
          </w:p>
        </w:tc>
        <w:tc>
          <w:tcPr>
            <w:tcW w:w="1448" w:type="dxa"/>
            <w:tcBorders>
              <w:bottom w:val="single" w:sz="6" w:space="0" w:color="000000"/>
            </w:tcBorders>
            <w:vAlign w:val="top"/>
          </w:tcPr>
          <w:p>
            <w:pPr>
              <w:pStyle w:val="TableText"/>
              <w:spacing w:before="191" w:line="220" w:lineRule="auto"/>
              <w:ind w:left="367"/>
            </w:pPr>
            <w:r>
              <w:rPr>
                <w:spacing w:val="-2"/>
              </w:rPr>
              <w:t>地质潜力</w:t>
            </w:r>
          </w:p>
        </w:tc>
        <w:tc>
          <w:tcPr>
            <w:tcW w:w="1447" w:type="dxa"/>
            <w:tcBorders>
              <w:bottom w:val="single" w:sz="6" w:space="0" w:color="000000"/>
            </w:tcBorders>
            <w:vAlign w:val="top"/>
          </w:tcPr>
          <w:p>
            <w:pPr>
              <w:pStyle w:val="TableText"/>
              <w:spacing w:before="191" w:line="220" w:lineRule="auto"/>
              <w:ind w:left="370"/>
            </w:pPr>
            <w:r>
              <w:rPr>
                <w:spacing w:val="-2"/>
              </w:rPr>
              <w:t>技术容量</w:t>
            </w:r>
          </w:p>
        </w:tc>
        <w:tc>
          <w:tcPr>
            <w:tcW w:w="1845" w:type="dxa"/>
            <w:tcBorders>
              <w:bottom w:val="single" w:sz="6" w:space="0" w:color="000000"/>
            </w:tcBorders>
            <w:vAlign w:val="top"/>
          </w:tcPr>
          <w:p>
            <w:pPr>
              <w:pStyle w:val="TableText"/>
              <w:spacing w:before="191" w:line="220" w:lineRule="auto"/>
              <w:ind w:left="390"/>
            </w:pPr>
            <w:r>
              <w:rPr>
                <w:spacing w:val="-2"/>
              </w:rPr>
              <w:t>技术经济容量</w:t>
            </w:r>
          </w:p>
        </w:tc>
        <w:tc>
          <w:tcPr>
            <w:tcW w:w="2495" w:type="dxa"/>
            <w:gridSpan w:val="2"/>
            <w:tcBorders>
              <w:bottom w:val="single" w:sz="6" w:space="0" w:color="000000"/>
              <w:right w:val="single" w:sz="6" w:space="0" w:color="000000"/>
            </w:tcBorders>
            <w:vAlign w:val="top"/>
          </w:tcPr>
          <w:p>
            <w:pPr>
              <w:pStyle w:val="TableText"/>
              <w:spacing w:before="191" w:line="220" w:lineRule="auto"/>
              <w:ind w:left="808"/>
            </w:pPr>
            <w:r>
              <w:rPr>
                <w:spacing w:val="-2"/>
              </w:rPr>
              <w:t>工程封存量</w:t>
            </w:r>
          </w:p>
        </w:tc>
      </w:tr>
      <w:tr>
        <w:tblPrEx>
          <w:tblW w:w="9411" w:type="dxa"/>
          <w:tblInd w:w="7" w:type="dxa"/>
          <w:tblLayout w:type="fixed"/>
        </w:tblPrEx>
        <w:trPr>
          <w:trHeight w:val="547"/>
        </w:trPr>
        <w:tc>
          <w:tcPr>
            <w:tcW w:w="992" w:type="dxa"/>
            <w:tcBorders>
              <w:top w:val="single" w:sz="6" w:space="0" w:color="000000"/>
              <w:left w:val="single" w:sz="6" w:space="0" w:color="000000"/>
            </w:tcBorders>
            <w:vAlign w:val="top"/>
          </w:tcPr>
          <w:p>
            <w:pPr>
              <w:pStyle w:val="TableText"/>
              <w:spacing w:before="182" w:line="220" w:lineRule="auto"/>
              <w:ind w:left="313"/>
            </w:pPr>
            <w:r>
              <w:rPr>
                <w:spacing w:val="-2"/>
              </w:rPr>
              <w:t>普查</w:t>
            </w:r>
          </w:p>
        </w:tc>
        <w:tc>
          <w:tcPr>
            <w:tcW w:w="1184" w:type="dxa"/>
            <w:tcBorders>
              <w:top w:val="single" w:sz="6" w:space="0" w:color="000000"/>
            </w:tcBorders>
            <w:vAlign w:val="top"/>
          </w:tcPr>
          <w:p>
            <w:pPr>
              <w:pStyle w:val="TableText"/>
              <w:spacing w:before="66" w:line="231" w:lineRule="auto"/>
              <w:ind w:left="260" w:right="234" w:hanging="27"/>
            </w:pPr>
            <w:r>
              <w:rPr>
                <w:spacing w:val="-3"/>
              </w:rPr>
              <w:t>预测级别</w:t>
            </w:r>
            <w:r>
              <w:rPr>
                <w:spacing w:val="2"/>
              </w:rPr>
              <w:t xml:space="preserve"> </w:t>
            </w:r>
            <w:r>
              <w:rPr>
                <w:spacing w:val="-6"/>
              </w:rPr>
              <w:t>（D</w:t>
            </w:r>
            <w:r>
              <w:rPr>
                <w:spacing w:val="-33"/>
              </w:rPr>
              <w:t xml:space="preserve"> </w:t>
            </w:r>
            <w:r>
              <w:rPr>
                <w:spacing w:val="-6"/>
              </w:rPr>
              <w:t>级）</w:t>
            </w:r>
          </w:p>
        </w:tc>
        <w:tc>
          <w:tcPr>
            <w:tcW w:w="1448" w:type="dxa"/>
            <w:tcBorders>
              <w:top w:val="single" w:sz="6" w:space="0" w:color="000000"/>
            </w:tcBorders>
            <w:vAlign w:val="top"/>
          </w:tcPr>
          <w:p>
            <w:pPr>
              <w:pStyle w:val="TableText"/>
              <w:spacing w:before="182" w:line="220" w:lineRule="auto"/>
              <w:ind w:left="189"/>
            </w:pPr>
            <w:r>
              <w:rPr>
                <w:spacing w:val="-2"/>
              </w:rPr>
              <w:t>预测地质潜力</w:t>
            </w:r>
          </w:p>
        </w:tc>
        <w:tc>
          <w:tcPr>
            <w:tcW w:w="1447" w:type="dxa"/>
            <w:tcBorders>
              <w:top w:val="single" w:sz="6" w:space="0" w:color="000000"/>
            </w:tcBorders>
            <w:vAlign w:val="top"/>
          </w:tcPr>
          <w:p>
            <w:pPr>
              <w:pStyle w:val="TableText"/>
              <w:spacing w:before="182" w:line="220" w:lineRule="auto"/>
              <w:ind w:left="191"/>
            </w:pPr>
            <w:r>
              <w:rPr>
                <w:spacing w:val="-2"/>
              </w:rPr>
              <w:t>预测技术容量</w:t>
            </w:r>
          </w:p>
        </w:tc>
        <w:tc>
          <w:tcPr>
            <w:tcW w:w="1845" w:type="dxa"/>
            <w:tcBorders>
              <w:top w:val="single" w:sz="6" w:space="0" w:color="000000"/>
            </w:tcBorders>
            <w:vAlign w:val="top"/>
          </w:tcPr>
          <w:p>
            <w:pPr>
              <w:pStyle w:val="TableText"/>
              <w:spacing w:before="182" w:line="225" w:lineRule="auto"/>
              <w:ind w:left="883"/>
            </w:pPr>
            <w:r>
              <w:t>/</w:t>
            </w:r>
          </w:p>
        </w:tc>
        <w:tc>
          <w:tcPr>
            <w:tcW w:w="2495" w:type="dxa"/>
            <w:gridSpan w:val="2"/>
            <w:tcBorders>
              <w:top w:val="single" w:sz="6" w:space="0" w:color="000000"/>
              <w:right w:val="single" w:sz="6" w:space="0" w:color="000000"/>
            </w:tcBorders>
            <w:vAlign w:val="top"/>
          </w:tcPr>
          <w:p>
            <w:pPr>
              <w:pStyle w:val="TableText"/>
              <w:spacing w:before="182" w:line="225" w:lineRule="auto"/>
              <w:ind w:left="1208"/>
            </w:pPr>
            <w:r>
              <w:t>/</w:t>
            </w:r>
          </w:p>
        </w:tc>
      </w:tr>
      <w:tr>
        <w:tblPrEx>
          <w:tblW w:w="9411" w:type="dxa"/>
          <w:tblInd w:w="7" w:type="dxa"/>
          <w:tblLayout w:type="fixed"/>
        </w:tblPrEx>
        <w:trPr>
          <w:trHeight w:val="560"/>
        </w:trPr>
        <w:tc>
          <w:tcPr>
            <w:tcW w:w="992" w:type="dxa"/>
            <w:tcBorders>
              <w:left w:val="single" w:sz="6" w:space="0" w:color="000000"/>
            </w:tcBorders>
            <w:vAlign w:val="top"/>
          </w:tcPr>
          <w:p>
            <w:pPr>
              <w:pStyle w:val="TableText"/>
              <w:spacing w:before="192" w:line="221" w:lineRule="auto"/>
              <w:ind w:left="316"/>
            </w:pPr>
            <w:r>
              <w:rPr>
                <w:spacing w:val="-3"/>
              </w:rPr>
              <w:t>详查</w:t>
            </w:r>
          </w:p>
        </w:tc>
        <w:tc>
          <w:tcPr>
            <w:tcW w:w="1184" w:type="dxa"/>
            <w:vAlign w:val="top"/>
          </w:tcPr>
          <w:p>
            <w:pPr>
              <w:pStyle w:val="TableText"/>
              <w:spacing w:before="78" w:line="230" w:lineRule="auto"/>
              <w:ind w:left="260" w:right="234" w:hanging="29"/>
            </w:pPr>
            <w:r>
              <w:rPr>
                <w:spacing w:val="-2"/>
              </w:rPr>
              <w:t>控制级别</w:t>
            </w:r>
            <w:r>
              <w:t xml:space="preserve"> </w:t>
            </w:r>
            <w:r>
              <w:rPr>
                <w:spacing w:val="-6"/>
              </w:rPr>
              <w:t>（C</w:t>
            </w:r>
            <w:r>
              <w:rPr>
                <w:spacing w:val="-33"/>
              </w:rPr>
              <w:t xml:space="preserve"> </w:t>
            </w:r>
            <w:r>
              <w:rPr>
                <w:spacing w:val="-6"/>
              </w:rPr>
              <w:t>级）</w:t>
            </w:r>
          </w:p>
        </w:tc>
        <w:tc>
          <w:tcPr>
            <w:tcW w:w="1448" w:type="dxa"/>
            <w:vAlign w:val="top"/>
          </w:tcPr>
          <w:p>
            <w:pPr>
              <w:pStyle w:val="TableText"/>
              <w:spacing w:before="192" w:line="220" w:lineRule="auto"/>
              <w:ind w:left="187"/>
            </w:pPr>
            <w:r>
              <w:rPr>
                <w:spacing w:val="-1"/>
              </w:rPr>
              <w:t>控制地质潜力</w:t>
            </w:r>
          </w:p>
        </w:tc>
        <w:tc>
          <w:tcPr>
            <w:tcW w:w="1447" w:type="dxa"/>
            <w:vAlign w:val="top"/>
          </w:tcPr>
          <w:p>
            <w:pPr>
              <w:pStyle w:val="TableText"/>
              <w:spacing w:before="192" w:line="220" w:lineRule="auto"/>
              <w:ind w:left="189"/>
            </w:pPr>
            <w:r>
              <w:rPr>
                <w:spacing w:val="-1"/>
              </w:rPr>
              <w:t>控制技术容量</w:t>
            </w:r>
          </w:p>
        </w:tc>
        <w:tc>
          <w:tcPr>
            <w:tcW w:w="1845" w:type="dxa"/>
            <w:vAlign w:val="top"/>
          </w:tcPr>
          <w:p>
            <w:pPr>
              <w:pStyle w:val="TableText"/>
              <w:spacing w:before="192" w:line="220" w:lineRule="auto"/>
              <w:ind w:left="209"/>
            </w:pPr>
            <w:r>
              <w:rPr>
                <w:spacing w:val="-1"/>
              </w:rPr>
              <w:t>控制技术经济容量</w:t>
            </w:r>
          </w:p>
        </w:tc>
        <w:tc>
          <w:tcPr>
            <w:tcW w:w="2495" w:type="dxa"/>
            <w:gridSpan w:val="2"/>
            <w:tcBorders>
              <w:right w:val="single" w:sz="6" w:space="0" w:color="000000"/>
            </w:tcBorders>
            <w:vAlign w:val="top"/>
          </w:tcPr>
          <w:p>
            <w:pPr>
              <w:pStyle w:val="TableText"/>
              <w:spacing w:before="192" w:line="225" w:lineRule="auto"/>
              <w:ind w:left="1208"/>
            </w:pPr>
            <w:r>
              <w:t>/</w:t>
            </w:r>
          </w:p>
        </w:tc>
      </w:tr>
      <w:tr>
        <w:tblPrEx>
          <w:tblW w:w="9411" w:type="dxa"/>
          <w:tblInd w:w="7" w:type="dxa"/>
          <w:tblLayout w:type="fixed"/>
        </w:tblPrEx>
        <w:trPr>
          <w:trHeight w:val="560"/>
        </w:trPr>
        <w:tc>
          <w:tcPr>
            <w:tcW w:w="992" w:type="dxa"/>
            <w:tcBorders>
              <w:left w:val="single" w:sz="6" w:space="0" w:color="000000"/>
            </w:tcBorders>
            <w:vAlign w:val="top"/>
          </w:tcPr>
          <w:p>
            <w:pPr>
              <w:pStyle w:val="TableText"/>
              <w:spacing w:before="194" w:line="220" w:lineRule="auto"/>
              <w:ind w:left="313"/>
            </w:pPr>
            <w:r>
              <w:rPr>
                <w:spacing w:val="-2"/>
              </w:rPr>
              <w:t>勘探</w:t>
            </w:r>
          </w:p>
        </w:tc>
        <w:tc>
          <w:tcPr>
            <w:tcW w:w="1184" w:type="dxa"/>
            <w:vAlign w:val="top"/>
          </w:tcPr>
          <w:p>
            <w:pPr>
              <w:pStyle w:val="TableText"/>
              <w:spacing w:before="80" w:line="230" w:lineRule="auto"/>
              <w:ind w:left="260" w:right="234" w:hanging="29"/>
            </w:pPr>
            <w:r>
              <w:rPr>
                <w:spacing w:val="-2"/>
              </w:rPr>
              <w:t>探明级别</w:t>
            </w:r>
            <w:r>
              <w:t xml:space="preserve"> </w:t>
            </w:r>
            <w:r>
              <w:rPr>
                <w:spacing w:val="-6"/>
              </w:rPr>
              <w:t>（B</w:t>
            </w:r>
            <w:r>
              <w:rPr>
                <w:spacing w:val="-33"/>
              </w:rPr>
              <w:t xml:space="preserve"> </w:t>
            </w:r>
            <w:r>
              <w:rPr>
                <w:spacing w:val="-6"/>
              </w:rPr>
              <w:t>级）</w:t>
            </w:r>
          </w:p>
        </w:tc>
        <w:tc>
          <w:tcPr>
            <w:tcW w:w="1448" w:type="dxa"/>
            <w:vAlign w:val="top"/>
          </w:tcPr>
          <w:p>
            <w:pPr>
              <w:pStyle w:val="TableText"/>
              <w:spacing w:before="194" w:line="225" w:lineRule="auto"/>
              <w:ind w:left="682"/>
            </w:pPr>
            <w:r>
              <w:t>/</w:t>
            </w:r>
          </w:p>
        </w:tc>
        <w:tc>
          <w:tcPr>
            <w:tcW w:w="1447" w:type="dxa"/>
            <w:vAlign w:val="top"/>
          </w:tcPr>
          <w:p>
            <w:pPr>
              <w:pStyle w:val="TableText"/>
              <w:spacing w:before="194" w:line="220" w:lineRule="auto"/>
              <w:ind w:left="189"/>
            </w:pPr>
            <w:r>
              <w:rPr>
                <w:spacing w:val="-1"/>
              </w:rPr>
              <w:t>探明技术容量</w:t>
            </w:r>
          </w:p>
        </w:tc>
        <w:tc>
          <w:tcPr>
            <w:tcW w:w="1845" w:type="dxa"/>
            <w:vAlign w:val="top"/>
          </w:tcPr>
          <w:p>
            <w:pPr>
              <w:pStyle w:val="TableText"/>
              <w:spacing w:before="194" w:line="220" w:lineRule="auto"/>
              <w:ind w:left="209"/>
            </w:pPr>
            <w:r>
              <w:rPr>
                <w:spacing w:val="-1"/>
              </w:rPr>
              <w:t>探明技术经济容量</w:t>
            </w:r>
          </w:p>
        </w:tc>
        <w:tc>
          <w:tcPr>
            <w:tcW w:w="2495" w:type="dxa"/>
            <w:gridSpan w:val="2"/>
            <w:tcBorders>
              <w:right w:val="single" w:sz="6" w:space="0" w:color="000000"/>
            </w:tcBorders>
            <w:vAlign w:val="top"/>
          </w:tcPr>
          <w:p>
            <w:pPr>
              <w:pStyle w:val="TableText"/>
              <w:spacing w:before="194" w:line="225" w:lineRule="auto"/>
              <w:ind w:left="1208"/>
            </w:pPr>
            <w:r>
              <w:t>/</w:t>
            </w:r>
          </w:p>
        </w:tc>
      </w:tr>
      <w:tr>
        <w:tblPrEx>
          <w:tblW w:w="9411" w:type="dxa"/>
          <w:tblInd w:w="7" w:type="dxa"/>
          <w:tblLayout w:type="fixed"/>
        </w:tblPrEx>
        <w:trPr>
          <w:trHeight w:val="564"/>
        </w:trPr>
        <w:tc>
          <w:tcPr>
            <w:tcW w:w="992" w:type="dxa"/>
            <w:tcBorders>
              <w:left w:val="single" w:sz="6" w:space="0" w:color="000000"/>
              <w:bottom w:val="single" w:sz="6" w:space="0" w:color="000000"/>
            </w:tcBorders>
            <w:vAlign w:val="top"/>
          </w:tcPr>
          <w:p>
            <w:pPr>
              <w:pStyle w:val="TableText"/>
              <w:spacing w:before="198" w:line="224" w:lineRule="auto"/>
              <w:ind w:left="314"/>
            </w:pPr>
            <w:r>
              <w:rPr>
                <w:spacing w:val="-2"/>
              </w:rPr>
              <w:t>注入</w:t>
            </w:r>
          </w:p>
        </w:tc>
        <w:tc>
          <w:tcPr>
            <w:tcW w:w="1184" w:type="dxa"/>
            <w:tcBorders>
              <w:bottom w:val="single" w:sz="6" w:space="0" w:color="000000"/>
            </w:tcBorders>
            <w:vAlign w:val="top"/>
          </w:tcPr>
          <w:p>
            <w:pPr>
              <w:pStyle w:val="TableText"/>
              <w:spacing w:before="81" w:line="230" w:lineRule="auto"/>
              <w:ind w:left="259" w:right="234" w:hanging="26"/>
            </w:pPr>
            <w:r>
              <w:rPr>
                <w:spacing w:val="-3"/>
              </w:rPr>
              <w:t>工程级别</w:t>
            </w:r>
            <w:r>
              <w:rPr>
                <w:spacing w:val="1"/>
              </w:rPr>
              <w:t xml:space="preserve"> </w:t>
            </w:r>
            <w:r>
              <w:rPr>
                <w:spacing w:val="-6"/>
              </w:rPr>
              <w:t>（A</w:t>
            </w:r>
            <w:r>
              <w:rPr>
                <w:spacing w:val="-33"/>
              </w:rPr>
              <w:t xml:space="preserve"> </w:t>
            </w:r>
            <w:r>
              <w:rPr>
                <w:spacing w:val="-6"/>
              </w:rPr>
              <w:t>级）</w:t>
            </w:r>
          </w:p>
        </w:tc>
        <w:tc>
          <w:tcPr>
            <w:tcW w:w="1448" w:type="dxa"/>
            <w:tcBorders>
              <w:bottom w:val="single" w:sz="6" w:space="0" w:color="000000"/>
            </w:tcBorders>
            <w:vAlign w:val="top"/>
          </w:tcPr>
          <w:p>
            <w:pPr>
              <w:pStyle w:val="TableText"/>
              <w:spacing w:before="198" w:line="225" w:lineRule="auto"/>
              <w:ind w:left="682"/>
            </w:pPr>
            <w:r>
              <w:t>/</w:t>
            </w:r>
          </w:p>
        </w:tc>
        <w:tc>
          <w:tcPr>
            <w:tcW w:w="1447" w:type="dxa"/>
            <w:tcBorders>
              <w:bottom w:val="single" w:sz="6" w:space="0" w:color="000000"/>
            </w:tcBorders>
            <w:vAlign w:val="top"/>
          </w:tcPr>
          <w:p>
            <w:pPr>
              <w:pStyle w:val="TableText"/>
              <w:spacing w:before="198" w:line="225" w:lineRule="auto"/>
              <w:ind w:left="683"/>
            </w:pPr>
            <w:r>
              <w:t>/</w:t>
            </w:r>
          </w:p>
        </w:tc>
        <w:tc>
          <w:tcPr>
            <w:tcW w:w="1845" w:type="dxa"/>
            <w:tcBorders>
              <w:bottom w:val="single" w:sz="6" w:space="0" w:color="000000"/>
            </w:tcBorders>
            <w:vAlign w:val="top"/>
          </w:tcPr>
          <w:p>
            <w:pPr>
              <w:pStyle w:val="TableText"/>
              <w:spacing w:before="198" w:line="225" w:lineRule="auto"/>
              <w:ind w:left="883"/>
            </w:pPr>
            <w:r>
              <w:t>/</w:t>
            </w:r>
          </w:p>
        </w:tc>
        <w:tc>
          <w:tcPr>
            <w:tcW w:w="1244" w:type="dxa"/>
            <w:tcBorders>
              <w:bottom w:val="single" w:sz="6" w:space="0" w:color="000000"/>
            </w:tcBorders>
            <w:vAlign w:val="top"/>
          </w:tcPr>
          <w:p>
            <w:pPr>
              <w:pStyle w:val="TableText"/>
              <w:spacing w:before="198" w:line="220" w:lineRule="auto"/>
              <w:ind w:left="186"/>
            </w:pPr>
            <w:r>
              <w:rPr>
                <w:spacing w:val="-2"/>
              </w:rPr>
              <w:t>设计封存量</w:t>
            </w:r>
          </w:p>
        </w:tc>
        <w:tc>
          <w:tcPr>
            <w:tcW w:w="1251" w:type="dxa"/>
            <w:tcBorders>
              <w:bottom w:val="single" w:sz="6" w:space="0" w:color="000000"/>
              <w:right w:val="single" w:sz="6" w:space="0" w:color="000000"/>
            </w:tcBorders>
            <w:vAlign w:val="top"/>
          </w:tcPr>
          <w:p>
            <w:pPr>
              <w:pStyle w:val="TableText"/>
              <w:spacing w:before="198" w:line="220" w:lineRule="auto"/>
              <w:ind w:left="185"/>
            </w:pPr>
            <w:r>
              <w:rPr>
                <w:spacing w:val="-2"/>
              </w:rPr>
              <w:t>实际封存量</w:t>
            </w:r>
          </w:p>
        </w:tc>
      </w:tr>
      <w:tr>
        <w:tblPrEx>
          <w:tblW w:w="9411" w:type="dxa"/>
          <w:tblInd w:w="7" w:type="dxa"/>
          <w:tblLayout w:type="fixed"/>
        </w:tblPrEx>
        <w:trPr>
          <w:trHeight w:val="1888"/>
        </w:trPr>
        <w:tc>
          <w:tcPr>
            <w:tcW w:w="9411" w:type="dxa"/>
            <w:gridSpan w:val="7"/>
            <w:tcBorders>
              <w:top w:val="single" w:sz="6" w:space="0" w:color="000000"/>
              <w:left w:val="single" w:sz="6" w:space="0" w:color="000000"/>
              <w:bottom w:val="single" w:sz="6" w:space="0" w:color="000000"/>
              <w:right w:val="single" w:sz="6" w:space="0" w:color="000000"/>
            </w:tcBorders>
            <w:vAlign w:val="top"/>
          </w:tcPr>
          <w:p>
            <w:pPr>
              <w:pStyle w:val="TableText"/>
              <w:spacing w:before="153" w:line="230" w:lineRule="auto"/>
              <w:ind w:left="920" w:right="101" w:hanging="446"/>
            </w:pPr>
            <w:r>
              <w:rPr>
                <w:rFonts w:ascii="SimHei" w:eastAsia="SimHei" w:hAnsi="SimHei" w:cs="SimHei"/>
                <w:spacing w:val="-6"/>
              </w:rPr>
              <w:t>注1：</w:t>
            </w:r>
            <w:r>
              <w:rPr>
                <w:spacing w:val="-6"/>
              </w:rPr>
              <w:t>考虑探明阶段地质认识程度较高、潜力评价数据较丰富，</w:t>
            </w:r>
            <w:r>
              <w:rPr>
                <w:spacing w:val="21"/>
              </w:rPr>
              <w:t xml:space="preserve"> </w:t>
            </w:r>
            <w:r>
              <w:rPr>
                <w:spacing w:val="-6"/>
              </w:rPr>
              <w:t>且应用了地质</w:t>
            </w:r>
            <w:r>
              <w:rPr>
                <w:spacing w:val="-7"/>
              </w:rPr>
              <w:t>建模与数值模拟技术手段，</w:t>
            </w:r>
            <w:r>
              <w:rPr>
                <w:spacing w:val="24"/>
              </w:rPr>
              <w:t xml:space="preserve"> </w:t>
            </w:r>
            <w:r>
              <w:rPr>
                <w:spacing w:val="-7"/>
              </w:rPr>
              <w:t>不再体现</w:t>
            </w:r>
            <w:r>
              <w:t xml:space="preserve"> </w:t>
            </w:r>
            <w:r>
              <w:rPr>
                <w:spacing w:val="-6"/>
              </w:rPr>
              <w:t>地质潜力。</w:t>
            </w:r>
          </w:p>
          <w:p>
            <w:pPr>
              <w:pStyle w:val="TableText"/>
              <w:spacing w:before="19" w:line="228" w:lineRule="auto"/>
              <w:ind w:left="929" w:right="101" w:hanging="455"/>
            </w:pPr>
            <w:r>
              <w:rPr>
                <w:rFonts w:ascii="SimHei" w:eastAsia="SimHei" w:hAnsi="SimHei" w:cs="SimHei"/>
                <w:spacing w:val="-3"/>
              </w:rPr>
              <w:t>注2：</w:t>
            </w:r>
            <w:r>
              <w:rPr>
                <w:spacing w:val="-3"/>
              </w:rPr>
              <w:t>技术容量对咸水层二氧化碳地质封存工程项目</w:t>
            </w:r>
            <w:r>
              <w:rPr>
                <w:spacing w:val="-4"/>
              </w:rPr>
              <w:t>预可研、可研及设计等不同实施阶段具有重要参考意义， 需重</w:t>
            </w:r>
            <w:r>
              <w:t xml:space="preserve"> </w:t>
            </w:r>
            <w:r>
              <w:rPr>
                <w:spacing w:val="-3"/>
              </w:rPr>
              <w:t>点体现并作为潜力评价的重要依据。</w:t>
            </w:r>
          </w:p>
          <w:p>
            <w:pPr>
              <w:pStyle w:val="TableText"/>
              <w:spacing w:before="19" w:line="219" w:lineRule="auto"/>
              <w:ind w:left="474"/>
            </w:pPr>
            <w:r>
              <w:rPr>
                <w:rFonts w:ascii="SimHei" w:eastAsia="SimHei" w:hAnsi="SimHei" w:cs="SimHei"/>
                <w:spacing w:val="-3"/>
              </w:rPr>
              <w:t>注3：</w:t>
            </w:r>
            <w:r>
              <w:rPr>
                <w:spacing w:val="-3"/>
              </w:rPr>
              <w:t>技术经济容量主要服务碳捕集与封存（CCS）产业集群及对碳中和目标贡献等战略性研究，</w:t>
            </w:r>
            <w:r>
              <w:rPr>
                <w:spacing w:val="62"/>
              </w:rPr>
              <w:t xml:space="preserve"> </w:t>
            </w:r>
            <w:r>
              <w:rPr>
                <w:spacing w:val="-3"/>
              </w:rPr>
              <w:t>一般情况下详查</w:t>
            </w:r>
          </w:p>
          <w:p>
            <w:pPr>
              <w:pStyle w:val="TableText"/>
              <w:spacing w:before="21" w:line="229" w:lineRule="auto"/>
              <w:ind w:left="474" w:right="227" w:firstLine="454"/>
            </w:pPr>
            <w:r>
              <w:rPr>
                <w:spacing w:val="-1"/>
              </w:rPr>
              <w:t>阶段的靶区和勘探阶段的场地才能够支持源汇匹配要求，因此在详查和勘探阶段予以体现技术经济容量。</w:t>
            </w:r>
            <w:r>
              <w:rPr>
                <w:spacing w:val="4"/>
              </w:rPr>
              <w:t xml:space="preserve"> </w:t>
            </w:r>
            <w:r>
              <w:rPr>
                <w:rFonts w:ascii="SimHei" w:eastAsia="SimHei" w:hAnsi="SimHei" w:cs="SimHei"/>
                <w:spacing w:val="-1"/>
              </w:rPr>
              <w:t>注4：</w:t>
            </w:r>
            <w:r>
              <w:rPr>
                <w:spacing w:val="-1"/>
              </w:rPr>
              <w:t>工程封存量主要服务咸水层二氧化碳地质封存地下空间有效开发利用及科学监管。</w:t>
            </w:r>
          </w:p>
        </w:tc>
      </w:tr>
    </w:tbl>
    <w:p>
      <w:pPr>
        <w:spacing w:line="352" w:lineRule="auto"/>
        <w:rPr>
          <w:rFonts w:ascii="Arial"/>
          <w:sz w:val="21"/>
        </w:rPr>
      </w:pPr>
    </w:p>
    <w:p>
      <w:pPr>
        <w:spacing w:before="69" w:line="221" w:lineRule="auto"/>
        <w:ind w:left="38"/>
        <w:rPr>
          <w:rFonts w:ascii="SimHei" w:eastAsia="SimHei" w:hAnsi="SimHei" w:cs="SimHei"/>
          <w:sz w:val="21"/>
          <w:szCs w:val="21"/>
        </w:rPr>
      </w:pPr>
      <w:r>
        <w:rPr>
          <w:rFonts w:ascii="SimHei" w:eastAsia="SimHei" w:hAnsi="SimHei" w:cs="SimHei"/>
          <w:sz w:val="21"/>
          <w:szCs w:val="21"/>
        </w:rPr>
        <w:drawing>
          <wp:inline distT="0" distB="0" distL="0" distR="0">
            <wp:extent cx="194310" cy="9829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7"/>
                    <a:stretch>
                      <a:fillRect/>
                    </a:stretch>
                  </pic:blipFill>
                  <pic:spPr>
                    <a:xfrm>
                      <a:off x="0" y="0"/>
                      <a:ext cx="194310" cy="98297"/>
                    </a:xfrm>
                    <a:prstGeom prst="rect">
                      <a:avLst/>
                    </a:prstGeom>
                  </pic:spPr>
                </pic:pic>
              </a:graphicData>
            </a:graphic>
          </wp:inline>
        </w:drawing>
      </w:r>
      <w:r>
        <w:rPr>
          <w:rFonts w:ascii="SimHei" w:eastAsia="SimHei" w:hAnsi="SimHei" w:cs="SimHei"/>
          <w:spacing w:val="7"/>
          <w:sz w:val="21"/>
          <w:szCs w:val="21"/>
        </w:rPr>
        <w:t xml:space="preserve">  </w:t>
      </w:r>
      <w:r>
        <w:rPr>
          <w:rFonts w:ascii="SimHei" w:eastAsia="SimHei" w:hAnsi="SimHei" w:cs="SimHei"/>
          <w:spacing w:val="-1"/>
          <w:sz w:val="21"/>
          <w:szCs w:val="21"/>
        </w:rPr>
        <w:t>储集条件</w:t>
      </w:r>
    </w:p>
    <w:p>
      <w:pPr>
        <w:pStyle w:val="BodyText"/>
        <w:spacing w:before="140" w:line="220" w:lineRule="auto"/>
        <w:ind w:left="464"/>
      </w:pPr>
      <w:r>
        <w:rPr>
          <w:spacing w:val="-1"/>
        </w:rPr>
        <w:t>咸水层储层筛选时重点考虑影响储集条件的</w:t>
      </w:r>
      <w:r>
        <w:rPr>
          <w:spacing w:val="-2"/>
        </w:rPr>
        <w:t>以下因素：</w:t>
      </w:r>
    </w:p>
    <w:p>
      <w:pPr>
        <w:pStyle w:val="BodyText"/>
        <w:spacing w:before="20" w:line="231" w:lineRule="auto"/>
        <w:ind w:left="895" w:right="46" w:hanging="425"/>
      </w:pPr>
      <w:r>
        <w:rPr>
          <w:spacing w:val="-1"/>
        </w:rPr>
        <w:t>a)  咸水层储层深度宜大于</w:t>
      </w:r>
      <w:r>
        <w:rPr>
          <w:spacing w:val="-26"/>
        </w:rPr>
        <w:t xml:space="preserve"> </w:t>
      </w:r>
      <w:r>
        <w:rPr>
          <w:spacing w:val="-1"/>
        </w:rPr>
        <w:t>800</w:t>
      </w:r>
      <w:r>
        <w:rPr>
          <w:spacing w:val="-50"/>
        </w:rPr>
        <w:t xml:space="preserve"> </w:t>
      </w:r>
      <w:r>
        <w:rPr>
          <w:spacing w:val="-1"/>
        </w:rPr>
        <w:t>m，或通过钻探测量实际地层压力和温度能够满足二氧化碳注入后</w:t>
      </w:r>
      <w:r>
        <w:t xml:space="preserve"> </w:t>
      </w:r>
      <w:r>
        <w:rPr>
          <w:spacing w:val="-1"/>
        </w:rPr>
        <w:t>达到超临界态；</w:t>
      </w:r>
    </w:p>
    <w:p>
      <w:pPr>
        <w:pStyle w:val="BodyText"/>
        <w:spacing w:before="20" w:line="220" w:lineRule="auto"/>
        <w:ind w:left="466"/>
      </w:pPr>
      <w:r>
        <w:t>b)  咸水层储层岩石类型宜重点考虑碎屑岩、碳酸盐岩及岩浆岩；</w:t>
      </w:r>
    </w:p>
    <w:p>
      <w:pPr>
        <w:pStyle w:val="BodyText"/>
        <w:spacing w:before="23" w:line="230" w:lineRule="auto"/>
        <w:ind w:left="901" w:right="31" w:hanging="428"/>
      </w:pPr>
      <w:r>
        <w:rPr>
          <w:spacing w:val="-2"/>
        </w:rPr>
        <w:t>c)  按照地层层序以组、段或砂层组等为单</w:t>
      </w:r>
      <w:r>
        <w:rPr>
          <w:spacing w:val="-3"/>
        </w:rPr>
        <w:t>位统计分析时，</w:t>
      </w:r>
      <w:r>
        <w:rPr>
          <w:spacing w:val="-23"/>
        </w:rPr>
        <w:t xml:space="preserve"> </w:t>
      </w:r>
      <w:r>
        <w:rPr>
          <w:spacing w:val="-3"/>
        </w:rPr>
        <w:t>咸水层储层单层厚度宜大于</w:t>
      </w:r>
      <w:r>
        <w:rPr>
          <w:spacing w:val="-28"/>
        </w:rPr>
        <w:t xml:space="preserve"> </w:t>
      </w:r>
      <w:r>
        <w:rPr>
          <w:spacing w:val="-3"/>
        </w:rPr>
        <w:t>1</w:t>
      </w:r>
      <w:r>
        <w:rPr>
          <w:spacing w:val="-50"/>
        </w:rPr>
        <w:t xml:space="preserve"> </w:t>
      </w:r>
      <w:r>
        <w:rPr>
          <w:spacing w:val="-3"/>
        </w:rPr>
        <w:t>m，叠加</w:t>
      </w:r>
      <w:r>
        <w:t xml:space="preserve"> </w:t>
      </w:r>
      <w:r>
        <w:rPr>
          <w:spacing w:val="-3"/>
        </w:rPr>
        <w:t>厚度宜大于</w:t>
      </w:r>
      <w:r>
        <w:rPr>
          <w:spacing w:val="-37"/>
        </w:rPr>
        <w:t xml:space="preserve"> </w:t>
      </w:r>
      <w:r>
        <w:rPr>
          <w:spacing w:val="-3"/>
        </w:rPr>
        <w:t>5 m；</w:t>
      </w:r>
    </w:p>
    <w:p>
      <w:pPr>
        <w:pStyle w:val="BodyText"/>
        <w:spacing w:before="16" w:line="225" w:lineRule="auto"/>
        <w:ind w:left="473"/>
      </w:pPr>
      <w:r>
        <w:rPr>
          <w:spacing w:val="-2"/>
        </w:rPr>
        <w:t>d)  咸水层储层平均有效孔隙度宜高于</w:t>
      </w:r>
      <w:r>
        <w:rPr>
          <w:spacing w:val="-39"/>
        </w:rPr>
        <w:t xml:space="preserve"> </w:t>
      </w:r>
      <w:r>
        <w:rPr>
          <w:spacing w:val="-2"/>
        </w:rPr>
        <w:t>5%，平均渗透率宜高</w:t>
      </w:r>
      <w:r>
        <w:rPr>
          <w:spacing w:val="-3"/>
        </w:rPr>
        <w:t>于</w:t>
      </w:r>
      <w:r>
        <w:rPr>
          <w:spacing w:val="-29"/>
        </w:rPr>
        <w:t xml:space="preserve"> </w:t>
      </w:r>
      <w:r>
        <w:rPr>
          <w:spacing w:val="-3"/>
        </w:rPr>
        <w:t>1×10</w:t>
      </w:r>
      <w:r>
        <w:rPr>
          <w:spacing w:val="-3"/>
          <w:position w:val="10"/>
          <w:sz w:val="11"/>
          <w:szCs w:val="11"/>
        </w:rPr>
        <w:t xml:space="preserve">-3   </w:t>
      </w:r>
      <w:r>
        <w:rPr>
          <w:spacing w:val="-3"/>
        </w:rPr>
        <w:t>μm</w:t>
      </w:r>
      <w:r>
        <w:rPr>
          <w:spacing w:val="-3"/>
          <w:position w:val="10"/>
          <w:sz w:val="11"/>
          <w:szCs w:val="11"/>
        </w:rPr>
        <w:t>2</w:t>
      </w:r>
      <w:r>
        <w:rPr>
          <w:spacing w:val="-3"/>
        </w:rPr>
        <w:t>；</w:t>
      </w:r>
    </w:p>
    <w:p>
      <w:pPr>
        <w:pStyle w:val="BodyText"/>
        <w:spacing w:before="20" w:line="228" w:lineRule="auto"/>
        <w:ind w:left="899" w:right="30" w:hanging="425"/>
      </w:pPr>
      <w:r>
        <w:t>e)  按照</w:t>
      </w:r>
      <w:r>
        <w:rPr>
          <w:spacing w:val="-46"/>
        </w:rPr>
        <w:t xml:space="preserve"> </w:t>
      </w:r>
      <w:r>
        <w:t>GB/T 14157</w:t>
      </w:r>
      <w:r>
        <w:rPr>
          <w:spacing w:val="-41"/>
        </w:rPr>
        <w:t xml:space="preserve"> </w:t>
      </w:r>
      <w:r>
        <w:t>关于地下咸水和地下盐</w:t>
      </w:r>
      <w:r>
        <w:rPr>
          <w:spacing w:val="-1"/>
        </w:rPr>
        <w:t>水总矿化度的有关规定，进一步从保护地下水资源的</w:t>
      </w:r>
      <w:r>
        <w:t xml:space="preserve"> </w:t>
      </w:r>
      <w:r>
        <w:rPr>
          <w:spacing w:val="-5"/>
        </w:rPr>
        <w:t>角度， 咸水层储层的地下水总矿化度应大于</w:t>
      </w:r>
      <w:r>
        <w:rPr>
          <w:spacing w:val="-36"/>
        </w:rPr>
        <w:t xml:space="preserve"> </w:t>
      </w:r>
      <w:r>
        <w:rPr>
          <w:spacing w:val="-5"/>
        </w:rPr>
        <w:t>8 g/L；</w:t>
      </w:r>
    </w:p>
    <w:p>
      <w:pPr>
        <w:pStyle w:val="BodyText"/>
        <w:spacing w:before="26" w:line="221" w:lineRule="auto"/>
        <w:ind w:left="472"/>
      </w:pPr>
      <w:r>
        <w:t>f)  咸水层储层应为半封闭或封闭型水文地质结构，地下水交替缓慢或十分缓慢。</w:t>
      </w:r>
    </w:p>
    <w:p>
      <w:pPr>
        <w:spacing w:before="143" w:line="219" w:lineRule="auto"/>
        <w:ind w:left="38"/>
        <w:rPr>
          <w:rFonts w:ascii="SimHei" w:eastAsia="SimHei" w:hAnsi="SimHei" w:cs="SimHei"/>
          <w:sz w:val="21"/>
          <w:szCs w:val="21"/>
        </w:rPr>
      </w:pPr>
      <w:r>
        <w:rPr>
          <w:rFonts w:ascii="SimHei" w:eastAsia="SimHei" w:hAnsi="SimHei" w:cs="SimHei"/>
          <w:sz w:val="21"/>
          <w:szCs w:val="21"/>
        </w:rPr>
        <w:drawing>
          <wp:inline distT="0" distB="0" distL="0" distR="0">
            <wp:extent cx="194310" cy="9829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8"/>
                    <a:stretch>
                      <a:fillRect/>
                    </a:stretch>
                  </pic:blipFill>
                  <pic:spPr>
                    <a:xfrm>
                      <a:off x="0" y="0"/>
                      <a:ext cx="194310" cy="98297"/>
                    </a:xfrm>
                    <a:prstGeom prst="rect">
                      <a:avLst/>
                    </a:prstGeom>
                  </pic:spPr>
                </pic:pic>
              </a:graphicData>
            </a:graphic>
          </wp:inline>
        </w:drawing>
      </w:r>
      <w:r>
        <w:rPr>
          <w:rFonts w:ascii="SimHei" w:eastAsia="SimHei" w:hAnsi="SimHei" w:cs="SimHei"/>
          <w:spacing w:val="7"/>
          <w:sz w:val="21"/>
          <w:szCs w:val="21"/>
        </w:rPr>
        <w:t xml:space="preserve">  </w:t>
      </w:r>
      <w:r>
        <w:rPr>
          <w:rFonts w:ascii="SimHei" w:eastAsia="SimHei" w:hAnsi="SimHei" w:cs="SimHei"/>
          <w:spacing w:val="-1"/>
          <w:sz w:val="21"/>
          <w:szCs w:val="21"/>
        </w:rPr>
        <w:t>盖层封闭性</w:t>
      </w:r>
    </w:p>
    <w:p>
      <w:pPr>
        <w:pStyle w:val="BodyText"/>
        <w:spacing w:before="142" w:line="220" w:lineRule="auto"/>
        <w:ind w:left="465"/>
        <w:sectPr>
          <w:headerReference w:type="default" r:id="rId39"/>
          <w:footerReference w:type="default" r:id="rId40"/>
          <w:pgSz w:w="11907" w:h="16839"/>
          <w:pgMar w:top="400" w:right="1382" w:bottom="1309" w:left="1096" w:header="0" w:footer="1133" w:gutter="0"/>
          <w:pgNumType w:start="11"/>
          <w:cols w:space="708"/>
        </w:sectPr>
      </w:pPr>
      <w:r>
        <w:rPr>
          <w:spacing w:val="-1"/>
        </w:rPr>
        <w:t>盖层识别需重点考虑影响其封闭性的以下因素：</w:t>
      </w:r>
    </w:p>
    <w:p>
      <w:pPr>
        <w:pStyle w:val="BodyText"/>
        <w:spacing w:before="23" w:line="220" w:lineRule="auto"/>
        <w:ind w:left="470"/>
      </w:pPr>
      <w:r>
        <w:t>a)  盖层考虑为连续、稳定的低渗透性岩石，无张性贯穿断裂发育；</w:t>
      </w:r>
    </w:p>
    <w:p>
      <w:pPr>
        <w:pStyle w:val="BodyText"/>
        <w:spacing w:before="21" w:line="231" w:lineRule="auto"/>
        <w:ind w:left="894" w:right="31" w:hanging="428"/>
      </w:pPr>
      <w:r>
        <w:rPr>
          <w:spacing w:val="-2"/>
        </w:rPr>
        <w:t>b)  需考虑盖层岩石矿物成分， 黏土矿物含量低于 30%或富含长石、碳酸盐岩等矿物</w:t>
      </w:r>
      <w:r>
        <w:rPr>
          <w:spacing w:val="-3"/>
        </w:rPr>
        <w:t>时， 易发生</w:t>
      </w:r>
      <w:r>
        <w:t xml:space="preserve"> </w:t>
      </w:r>
      <w:r>
        <w:t>CO</w:t>
      </w:r>
      <w:r>
        <w:rPr>
          <w:sz w:val="11"/>
          <w:szCs w:val="11"/>
        </w:rPr>
        <w:t>2</w:t>
      </w:r>
      <w:r>
        <w:t>-水-岩反应溶蚀作用，该类岩石不</w:t>
      </w:r>
      <w:r>
        <w:rPr>
          <w:spacing w:val="-1"/>
        </w:rPr>
        <w:t>宜作为盖层；</w:t>
      </w:r>
    </w:p>
    <w:p>
      <w:pPr>
        <w:pStyle w:val="BodyText"/>
        <w:spacing w:before="19" w:line="221" w:lineRule="auto"/>
        <w:ind w:left="473"/>
      </w:pPr>
      <w:r>
        <w:t>c)  咸水层储层除覆盖较好的直接盖层外，直接盖层上部宜发育有一定厚度的次级盖层。</w:t>
      </w:r>
    </w:p>
    <w:p>
      <w:pPr>
        <w:spacing w:before="143" w:line="220" w:lineRule="auto"/>
        <w:ind w:left="38"/>
        <w:rPr>
          <w:rFonts w:ascii="SimHei" w:eastAsia="SimHei" w:hAnsi="SimHei" w:cs="SimHei"/>
          <w:sz w:val="21"/>
          <w:szCs w:val="21"/>
        </w:rPr>
      </w:pPr>
      <w:r>
        <w:rPr>
          <w:rFonts w:ascii="SimHei" w:eastAsia="SimHei" w:hAnsi="SimHei" w:cs="SimHei"/>
          <w:sz w:val="21"/>
          <w:szCs w:val="21"/>
        </w:rPr>
        <w:drawing>
          <wp:inline distT="0" distB="0" distL="0" distR="0">
            <wp:extent cx="200405" cy="9829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1"/>
                    <a:stretch>
                      <a:fillRect/>
                    </a:stretch>
                  </pic:blipFill>
                  <pic:spPr>
                    <a:xfrm>
                      <a:off x="0" y="0"/>
                      <a:ext cx="200405" cy="98298"/>
                    </a:xfrm>
                    <a:prstGeom prst="rect">
                      <a:avLst/>
                    </a:prstGeom>
                  </pic:spPr>
                </pic:pic>
              </a:graphicData>
            </a:graphic>
          </wp:inline>
        </w:drawing>
      </w:r>
      <w:r>
        <w:rPr>
          <w:rFonts w:ascii="SimHei" w:eastAsia="SimHei" w:hAnsi="SimHei" w:cs="SimHei"/>
          <w:spacing w:val="4"/>
          <w:sz w:val="21"/>
          <w:szCs w:val="21"/>
        </w:rPr>
        <w:t xml:space="preserve">  </w:t>
      </w:r>
      <w:r>
        <w:rPr>
          <w:rFonts w:ascii="SimHei" w:eastAsia="SimHei" w:hAnsi="SimHei" w:cs="SimHei"/>
          <w:spacing w:val="-1"/>
          <w:sz w:val="21"/>
          <w:szCs w:val="21"/>
        </w:rPr>
        <w:t>封存体地质稳定条件</w:t>
      </w:r>
    </w:p>
    <w:p>
      <w:pPr>
        <w:pStyle w:val="BodyText"/>
        <w:spacing w:before="141" w:line="220" w:lineRule="auto"/>
        <w:ind w:left="463"/>
      </w:pPr>
      <w:r>
        <w:rPr>
          <w:spacing w:val="-2"/>
        </w:rPr>
        <w:t>封存体地质稳定条件重点考虑以下因素：</w:t>
      </w:r>
    </w:p>
    <w:p>
      <w:pPr>
        <w:pStyle w:val="BodyText"/>
        <w:spacing w:before="22" w:line="236" w:lineRule="auto"/>
        <w:ind w:left="895" w:right="30" w:hanging="425"/>
      </w:pPr>
      <w:r>
        <w:rPr>
          <w:spacing w:val="-2"/>
        </w:rPr>
        <w:t>a)  需要考虑活动断层因素，</w:t>
      </w:r>
      <w:r>
        <w:rPr>
          <w:spacing w:val="-20"/>
        </w:rPr>
        <w:t xml:space="preserve"> </w:t>
      </w:r>
      <w:r>
        <w:rPr>
          <w:spacing w:val="-2"/>
        </w:rPr>
        <w:t>按照</w:t>
      </w:r>
      <w:r>
        <w:rPr>
          <w:spacing w:val="-47"/>
        </w:rPr>
        <w:t xml:space="preserve"> </w:t>
      </w:r>
      <w:r>
        <w:rPr>
          <w:spacing w:val="-2"/>
        </w:rPr>
        <w:t>GB 17741</w:t>
      </w:r>
      <w:r>
        <w:rPr>
          <w:spacing w:val="-43"/>
        </w:rPr>
        <w:t xml:space="preserve"> </w:t>
      </w:r>
      <w:r>
        <w:rPr>
          <w:spacing w:val="-2"/>
        </w:rPr>
        <w:t>关于Ⅰ级场地地震安全性评价工作近场区</w:t>
      </w:r>
      <w:r>
        <w:rPr>
          <w:spacing w:val="-3"/>
        </w:rPr>
        <w:t>范围应外延</w:t>
      </w:r>
      <w:r>
        <w:t xml:space="preserve"> </w:t>
      </w:r>
      <w:r>
        <w:t>至半径 25 km 范围的规定，以及《中国地震构造环境探查规划》地震构造分</w:t>
      </w:r>
      <w:r>
        <w:rPr>
          <w:spacing w:val="-1"/>
        </w:rPr>
        <w:t>级原则，咸水层</w:t>
      </w:r>
      <w:r>
        <w:t xml:space="preserve"> </w:t>
      </w:r>
      <w:r>
        <w:rPr>
          <w:spacing w:val="2"/>
        </w:rPr>
        <w:t xml:space="preserve">储层在地表的垂直投影分布 25 </w:t>
      </w:r>
      <w:r>
        <w:t>km</w:t>
      </w:r>
      <w:r>
        <w:rPr>
          <w:spacing w:val="2"/>
        </w:rPr>
        <w:t xml:space="preserve"> 范围内不存在一级断裂带(Ⅰ级、Ⅱ级地块边界活动的断</w:t>
      </w:r>
      <w:r>
        <w:rPr>
          <w:spacing w:val="14"/>
        </w:rPr>
        <w:t xml:space="preserve"> </w:t>
      </w:r>
      <w:r>
        <w:t>层带）</w:t>
      </w:r>
      <w:r>
        <w:rPr>
          <w:spacing w:val="-19"/>
        </w:rPr>
        <w:t xml:space="preserve"> </w:t>
      </w:r>
      <w:r>
        <w:t>和二级断裂(Ⅱ级地块内部活动的断层，一般控制构造单元</w:t>
      </w:r>
      <w:r>
        <w:rPr>
          <w:spacing w:val="-37"/>
        </w:rPr>
        <w:t>），</w:t>
      </w:r>
      <w:r>
        <w:rPr>
          <w:spacing w:val="-19"/>
        </w:rPr>
        <w:t xml:space="preserve"> </w:t>
      </w:r>
      <w:r>
        <w:t xml:space="preserve">5 km 范围内不存在三 </w:t>
      </w:r>
      <w:r>
        <w:rPr>
          <w:spacing w:val="3"/>
        </w:rPr>
        <w:t>级断裂(Ⅰ级、Ⅱ级地块内部规模较小的活动断层和一定规模的第四纪断层</w:t>
      </w:r>
      <w:r>
        <w:rPr>
          <w:spacing w:val="1"/>
        </w:rPr>
        <w:t>）；</w:t>
      </w:r>
    </w:p>
    <w:p>
      <w:pPr>
        <w:spacing w:line="236" w:lineRule="auto"/>
        <w:sectPr>
          <w:headerReference w:type="default" r:id="rId42"/>
          <w:footerReference w:type="default" r:id="rId43"/>
          <w:type w:val="nextPage"/>
          <w:pgSz w:w="11907" w:h="16839"/>
          <w:pgMar w:top="400" w:right="1382" w:bottom="1309" w:left="1096" w:header="0" w:footer="1133" w:gutter="0"/>
          <w:pgNumType w:start="12"/>
          <w:cols w:space="708"/>
          <w:titlePg w:val="0"/>
        </w:sect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69" w:line="224" w:lineRule="auto"/>
        <w:ind w:left="8379"/>
      </w:pPr>
      <w:r>
        <w:rPr>
          <w:spacing w:val="-15"/>
        </w:rPr>
        <w:t>DZ/T□32-00</w:t>
      </w:r>
    </w:p>
    <w:p>
      <w:pPr>
        <w:pStyle w:val="BodyText"/>
        <w:spacing w:before="125" w:line="233" w:lineRule="auto"/>
        <w:ind w:left="879" w:right="90" w:hanging="460"/>
      </w:pPr>
      <w:r>
        <w:rPr>
          <w:rFonts w:ascii="Times New Roman" w:eastAsia="Times New Roman" w:hAnsi="Times New Roman" w:cs="Times New Roman"/>
          <w:spacing w:val="3"/>
        </w:rPr>
        <w:t xml:space="preserve">b)    </w:t>
      </w:r>
      <w:r>
        <w:rPr>
          <w:spacing w:val="3"/>
        </w:rPr>
        <w:t>需要考虑区域地震动峰值加速度因素，咸水层储层在地表的垂直投影分布范围内区域地震动</w:t>
      </w:r>
      <w:r>
        <w:t xml:space="preserve"> </w:t>
      </w:r>
      <w:r>
        <w:rPr>
          <w:spacing w:val="2"/>
        </w:rPr>
        <w:t>峰值加速度宜小于等于0.15 g, 具体按照</w:t>
      </w:r>
      <w:r>
        <w:t>GB</w:t>
      </w:r>
      <w:r>
        <w:rPr>
          <w:spacing w:val="60"/>
        </w:rPr>
        <w:t xml:space="preserve"> </w:t>
      </w:r>
      <w:r>
        <w:rPr>
          <w:spacing w:val="2"/>
        </w:rPr>
        <w:t>18306规定执行。</w:t>
      </w:r>
    </w:p>
    <w:p>
      <w:pPr>
        <w:spacing w:before="138" w:line="221" w:lineRule="auto"/>
        <w:ind w:left="3"/>
        <w:outlineLvl w:val="0"/>
        <w:rPr>
          <w:rFonts w:ascii="SimHei" w:eastAsia="SimHei" w:hAnsi="SimHei" w:cs="SimHei"/>
          <w:sz w:val="21"/>
          <w:szCs w:val="21"/>
        </w:rPr>
      </w:pPr>
      <w:r>
        <w:rPr>
          <w:rFonts w:ascii="SimHei" w:eastAsia="SimHei" w:hAnsi="SimHei" w:cs="SimHei"/>
          <w:b/>
          <w:bCs/>
          <w:spacing w:val="-4"/>
          <w:sz w:val="21"/>
          <w:szCs w:val="21"/>
        </w:rPr>
        <w:t>7.5</w:t>
      </w:r>
      <w:r>
        <w:rPr>
          <w:rFonts w:ascii="SimHei" w:eastAsia="SimHei" w:hAnsi="SimHei" w:cs="SimHei"/>
          <w:spacing w:val="90"/>
          <w:sz w:val="21"/>
          <w:szCs w:val="21"/>
        </w:rPr>
        <w:t xml:space="preserve"> </w:t>
      </w:r>
      <w:r>
        <w:rPr>
          <w:rFonts w:ascii="SimHei" w:eastAsia="SimHei" w:hAnsi="SimHei" w:cs="SimHei"/>
          <w:b/>
          <w:bCs/>
          <w:spacing w:val="-4"/>
          <w:sz w:val="21"/>
          <w:szCs w:val="21"/>
        </w:rPr>
        <w:t>深部资源开发互馈</w:t>
      </w:r>
    </w:p>
    <w:p>
      <w:pPr>
        <w:pStyle w:val="BodyText"/>
        <w:spacing w:before="162" w:line="228" w:lineRule="auto"/>
        <w:ind w:firstLine="419"/>
      </w:pPr>
      <w:r>
        <w:rPr>
          <w:spacing w:val="-2"/>
        </w:rPr>
        <w:t>咸水层储层筛选需要考虑咸水层储层与深部矿产资源空</w:t>
      </w:r>
      <w:r>
        <w:rPr>
          <w:spacing w:val="-3"/>
        </w:rPr>
        <w:t>间叠置情况，在详查和勘探阶段，需充分调</w:t>
      </w:r>
      <w:r>
        <w:t xml:space="preserve">  </w:t>
      </w:r>
      <w:r>
        <w:t>研深部煤炭、石油、天然气等矿产资源勘查和开采登记资料，在无</w:t>
      </w:r>
      <w:r>
        <w:rPr>
          <w:spacing w:val="-1"/>
        </w:rPr>
        <w:t>法回避时提出科学的优先实施次序。</w:t>
      </w:r>
    </w:p>
    <w:p>
      <w:pPr>
        <w:spacing w:before="247" w:line="222" w:lineRule="auto"/>
        <w:ind w:left="3"/>
        <w:rPr>
          <w:rFonts w:ascii="SimHei" w:eastAsia="SimHei" w:hAnsi="SimHei" w:cs="SimHei"/>
          <w:sz w:val="21"/>
          <w:szCs w:val="21"/>
        </w:rPr>
      </w:pPr>
      <w:r>
        <w:rPr>
          <w:rFonts w:ascii="SimHei" w:eastAsia="SimHei" w:hAnsi="SimHei" w:cs="SimHei"/>
          <w:b/>
          <w:bCs/>
          <w:spacing w:val="-5"/>
          <w:sz w:val="21"/>
          <w:szCs w:val="21"/>
        </w:rPr>
        <w:t>8</w:t>
      </w:r>
      <w:r>
        <w:rPr>
          <w:rFonts w:ascii="SimHei" w:eastAsia="SimHei" w:hAnsi="SimHei" w:cs="SimHei"/>
          <w:spacing w:val="87"/>
          <w:sz w:val="21"/>
          <w:szCs w:val="21"/>
        </w:rPr>
        <w:t xml:space="preserve"> </w:t>
      </w:r>
      <w:r>
        <w:rPr>
          <w:rFonts w:ascii="SimHei" w:eastAsia="SimHei" w:hAnsi="SimHei" w:cs="SimHei"/>
          <w:b/>
          <w:bCs/>
          <w:spacing w:val="-5"/>
          <w:sz w:val="21"/>
          <w:szCs w:val="21"/>
        </w:rPr>
        <w:t>潜力计算</w:t>
      </w:r>
    </w:p>
    <w:p>
      <w:pPr>
        <w:spacing w:before="257" w:line="221" w:lineRule="auto"/>
        <w:ind w:left="3"/>
        <w:outlineLvl w:val="0"/>
        <w:rPr>
          <w:rFonts w:ascii="SimHei" w:eastAsia="SimHei" w:hAnsi="SimHei" w:cs="SimHei"/>
          <w:sz w:val="21"/>
          <w:szCs w:val="21"/>
        </w:rPr>
      </w:pPr>
      <w:r>
        <w:rPr>
          <w:rFonts w:ascii="SimHei" w:eastAsia="SimHei" w:hAnsi="SimHei" w:cs="SimHei"/>
          <w:b/>
          <w:bCs/>
          <w:spacing w:val="-3"/>
          <w:sz w:val="21"/>
          <w:szCs w:val="21"/>
        </w:rPr>
        <w:t>8.1</w:t>
      </w:r>
      <w:r>
        <w:rPr>
          <w:rFonts w:ascii="SimHei" w:eastAsia="SimHei" w:hAnsi="SimHei" w:cs="SimHei"/>
          <w:spacing w:val="96"/>
          <w:sz w:val="21"/>
          <w:szCs w:val="21"/>
        </w:rPr>
        <w:t xml:space="preserve"> </w:t>
      </w:r>
      <w:r>
        <w:rPr>
          <w:rFonts w:ascii="SimHei" w:eastAsia="SimHei" w:hAnsi="SimHei" w:cs="SimHei"/>
          <w:b/>
          <w:bCs/>
          <w:spacing w:val="-3"/>
          <w:sz w:val="21"/>
          <w:szCs w:val="21"/>
        </w:rPr>
        <w:t>潜力计算及储层基础参数取值原则</w:t>
      </w:r>
    </w:p>
    <w:p>
      <w:pPr>
        <w:spacing w:before="149" w:line="222" w:lineRule="auto"/>
        <w:ind w:left="3"/>
        <w:outlineLvl w:val="0"/>
        <w:rPr>
          <w:rFonts w:ascii="SimHei" w:eastAsia="SimHei" w:hAnsi="SimHei" w:cs="SimHei"/>
          <w:sz w:val="21"/>
          <w:szCs w:val="21"/>
        </w:rPr>
      </w:pPr>
      <w:r>
        <w:rPr>
          <w:rFonts w:ascii="SimHei" w:eastAsia="SimHei" w:hAnsi="SimHei" w:cs="SimHei"/>
          <w:b/>
          <w:bCs/>
          <w:spacing w:val="-2"/>
          <w:sz w:val="21"/>
          <w:szCs w:val="21"/>
        </w:rPr>
        <w:t>8.1.1</w:t>
      </w:r>
      <w:r>
        <w:rPr>
          <w:rFonts w:ascii="SimHei" w:eastAsia="SimHei" w:hAnsi="SimHei" w:cs="SimHei"/>
          <w:spacing w:val="91"/>
          <w:sz w:val="21"/>
          <w:szCs w:val="21"/>
        </w:rPr>
        <w:t xml:space="preserve"> </w:t>
      </w:r>
      <w:r>
        <w:rPr>
          <w:rFonts w:ascii="SimHei" w:eastAsia="SimHei" w:hAnsi="SimHei" w:cs="SimHei"/>
          <w:b/>
          <w:bCs/>
          <w:spacing w:val="-2"/>
          <w:sz w:val="21"/>
          <w:szCs w:val="21"/>
        </w:rPr>
        <w:t>潜力计算原则</w:t>
      </w:r>
    </w:p>
    <w:p>
      <w:pPr>
        <w:pStyle w:val="BodyText"/>
        <w:spacing w:before="142" w:line="219" w:lineRule="auto"/>
        <w:ind w:left="419"/>
      </w:pPr>
      <w:r>
        <w:rPr>
          <w:spacing w:val="-3"/>
        </w:rPr>
        <w:t>潜力计算需遵循以下原则：</w:t>
      </w:r>
    </w:p>
    <w:p>
      <w:pPr>
        <w:pStyle w:val="BodyText"/>
        <w:spacing w:before="7" w:line="225" w:lineRule="auto"/>
        <w:ind w:left="879" w:right="94" w:hanging="460"/>
        <w:rPr>
          <w:rFonts w:ascii="Times New Roman" w:eastAsia="Times New Roman" w:hAnsi="Times New Roman" w:cs="Times New Roman"/>
        </w:rPr>
      </w:pPr>
      <w:r>
        <w:rPr>
          <w:rFonts w:ascii="Times New Roman" w:eastAsia="Times New Roman" w:hAnsi="Times New Roman" w:cs="Times New Roman"/>
          <w:spacing w:val="3"/>
        </w:rPr>
        <w:t xml:space="preserve">a)    </w:t>
      </w:r>
      <w:r>
        <w:rPr>
          <w:spacing w:val="3"/>
        </w:rPr>
        <w:t>开展沉积盆地、盆地内部构造单元或面积较大区域的潜力评价时，预测和控制级别潜力计算</w:t>
      </w:r>
      <w:r>
        <w:rPr>
          <w:spacing w:val="8"/>
        </w:rPr>
        <w:t xml:space="preserve"> </w:t>
      </w:r>
      <w:r>
        <w:rPr>
          <w:spacing w:val="3"/>
        </w:rPr>
        <w:t>平面最小单元宜不大于5</w:t>
      </w:r>
      <w:r>
        <w:rPr>
          <w:spacing w:val="-26"/>
        </w:rPr>
        <w:t xml:space="preserve"> </w:t>
      </w:r>
      <w:r>
        <w:rPr>
          <w:rFonts w:ascii="Times New Roman" w:eastAsia="Times New Roman" w:hAnsi="Times New Roman" w:cs="Times New Roman"/>
        </w:rPr>
        <w:t>km</w:t>
      </w:r>
      <w:r>
        <w:rPr>
          <w:rFonts w:ascii="Times New Roman" w:eastAsia="Times New Roman" w:hAnsi="Times New Roman" w:cs="Times New Roman"/>
          <w:spacing w:val="3"/>
        </w:rPr>
        <w:t>×5</w:t>
      </w:r>
      <w:r>
        <w:rPr>
          <w:rFonts w:ascii="Times New Roman" w:eastAsia="Times New Roman" w:hAnsi="Times New Roman" w:cs="Times New Roman"/>
        </w:rPr>
        <w:t>km</w:t>
      </w:r>
      <w:r>
        <w:rPr>
          <w:rFonts w:ascii="Times New Roman" w:eastAsia="Times New Roman" w:hAnsi="Times New Roman" w:cs="Times New Roman"/>
          <w:spacing w:val="3"/>
        </w:rPr>
        <w:t>;</w:t>
      </w:r>
    </w:p>
    <w:p>
      <w:pPr>
        <w:pStyle w:val="BodyText"/>
        <w:spacing w:before="38" w:line="238" w:lineRule="auto"/>
        <w:ind w:left="879" w:right="96" w:hanging="460"/>
      </w:pPr>
      <w:r>
        <w:rPr>
          <w:rFonts w:ascii="Times New Roman" w:eastAsia="Times New Roman" w:hAnsi="Times New Roman" w:cs="Times New Roman"/>
          <w:spacing w:val="3"/>
        </w:rPr>
        <w:t xml:space="preserve">b)    </w:t>
      </w:r>
      <w:r>
        <w:rPr>
          <w:spacing w:val="3"/>
        </w:rPr>
        <w:t>探明和工程级别潜力计算平面最小单元宜不大于1</w:t>
      </w:r>
      <w:r>
        <w:rPr>
          <w:spacing w:val="-36"/>
        </w:rPr>
        <w:t xml:space="preserve"> </w:t>
      </w:r>
      <w:r>
        <w:rPr>
          <w:rFonts w:ascii="Times New Roman" w:eastAsia="Times New Roman" w:hAnsi="Times New Roman" w:cs="Times New Roman"/>
        </w:rPr>
        <w:t>km</w:t>
      </w:r>
      <w:r>
        <w:rPr>
          <w:rFonts w:ascii="Times New Roman" w:eastAsia="Times New Roman" w:hAnsi="Times New Roman" w:cs="Times New Roman"/>
          <w:spacing w:val="3"/>
        </w:rPr>
        <w:t xml:space="preserve">×1    </w:t>
      </w:r>
      <w:r>
        <w:rPr>
          <w:rFonts w:ascii="Times New Roman" w:eastAsia="Times New Roman" w:hAnsi="Times New Roman" w:cs="Times New Roman"/>
        </w:rPr>
        <w:t>km</w:t>
      </w:r>
      <w:r>
        <w:rPr>
          <w:rFonts w:ascii="Times New Roman" w:eastAsia="Times New Roman" w:hAnsi="Times New Roman" w:cs="Times New Roman"/>
          <w:spacing w:val="3"/>
        </w:rPr>
        <w:t xml:space="preserve">, </w:t>
      </w:r>
      <w:r>
        <w:rPr>
          <w:spacing w:val="3"/>
        </w:rPr>
        <w:t>当评价区面积较小时</w:t>
      </w:r>
      <w:r>
        <w:rPr>
          <w:spacing w:val="2"/>
        </w:rPr>
        <w:t>，应适当</w:t>
      </w:r>
      <w:r>
        <w:t xml:space="preserve"> </w:t>
      </w:r>
      <w:r>
        <w:rPr>
          <w:spacing w:val="-8"/>
        </w:rPr>
        <w:t>提高计算精度；</w:t>
      </w:r>
    </w:p>
    <w:p>
      <w:pPr>
        <w:pStyle w:val="BodyText"/>
        <w:spacing w:before="23" w:line="219" w:lineRule="auto"/>
        <w:ind w:left="419"/>
      </w:pPr>
      <w:r>
        <w:rPr>
          <w:spacing w:val="-2"/>
        </w:rPr>
        <w:t>c)  垂向上，不同岩性、储集特征的咸水层储层应划分独立的计算单元；</w:t>
      </w:r>
    </w:p>
    <w:p>
      <w:pPr>
        <w:pStyle w:val="BodyText"/>
        <w:spacing w:before="18" w:line="231" w:lineRule="auto"/>
        <w:ind w:left="879" w:right="20" w:hanging="460"/>
      </w:pPr>
      <w:r>
        <w:rPr>
          <w:spacing w:val="-1"/>
        </w:rPr>
        <w:t>d)</w:t>
      </w:r>
      <w:r>
        <w:rPr>
          <w:spacing w:val="112"/>
        </w:rPr>
        <w:t xml:space="preserve"> </w:t>
      </w:r>
      <w:r>
        <w:rPr>
          <w:spacing w:val="-1"/>
        </w:rPr>
        <w:t>潜力评价原则上按照级别由低到高依次开展，掌握高级别的潜力数据后不再开展低级别评价，</w:t>
      </w:r>
      <w:r>
        <w:t xml:space="preserve"> </w:t>
      </w:r>
      <w:r>
        <w:rPr>
          <w:spacing w:val="1"/>
        </w:rPr>
        <w:t xml:space="preserve">但在新的勘查或工程注入实践认识与原有评价结果差异较大，甚至工程失败时，应重新开展 </w:t>
      </w:r>
      <w:r>
        <w:rPr>
          <w:spacing w:val="-4"/>
        </w:rPr>
        <w:t>封存潜力评价工作。</w:t>
      </w:r>
    </w:p>
    <w:p>
      <w:pPr>
        <w:spacing w:before="139" w:line="221" w:lineRule="auto"/>
        <w:ind w:left="3"/>
        <w:outlineLvl w:val="0"/>
        <w:rPr>
          <w:rFonts w:ascii="SimHei" w:eastAsia="SimHei" w:hAnsi="SimHei" w:cs="SimHei"/>
          <w:sz w:val="21"/>
          <w:szCs w:val="21"/>
        </w:rPr>
      </w:pPr>
      <w:r>
        <w:rPr>
          <w:rFonts w:ascii="SimHei" w:eastAsia="SimHei" w:hAnsi="SimHei" w:cs="SimHei"/>
          <w:b/>
          <w:bCs/>
          <w:spacing w:val="-3"/>
          <w:sz w:val="21"/>
          <w:szCs w:val="21"/>
        </w:rPr>
        <w:t>8.1.2</w:t>
      </w:r>
      <w:r>
        <w:rPr>
          <w:rFonts w:ascii="SimHei" w:eastAsia="SimHei" w:hAnsi="SimHei" w:cs="SimHei"/>
          <w:spacing w:val="85"/>
          <w:sz w:val="21"/>
          <w:szCs w:val="21"/>
        </w:rPr>
        <w:t xml:space="preserve"> </w:t>
      </w:r>
      <w:r>
        <w:rPr>
          <w:rFonts w:ascii="SimHei" w:eastAsia="SimHei" w:hAnsi="SimHei" w:cs="SimHei"/>
          <w:b/>
          <w:bCs/>
          <w:spacing w:val="-3"/>
          <w:sz w:val="21"/>
          <w:szCs w:val="21"/>
        </w:rPr>
        <w:t>储层基础参数取值原则</w:t>
      </w:r>
    </w:p>
    <w:p>
      <w:pPr>
        <w:pStyle w:val="BodyText"/>
        <w:spacing w:before="143" w:line="217" w:lineRule="auto"/>
        <w:ind w:left="419"/>
      </w:pPr>
      <w:r>
        <w:rPr>
          <w:spacing w:val="-3"/>
        </w:rPr>
        <w:t>咸水层储层基础参数取值需遵循以下原则：</w:t>
      </w:r>
    </w:p>
    <w:p>
      <w:pPr>
        <w:pStyle w:val="BodyText"/>
        <w:spacing w:before="1" w:line="237" w:lineRule="auto"/>
        <w:ind w:left="879" w:right="112" w:hanging="460"/>
      </w:pPr>
      <w:r>
        <w:rPr>
          <w:rFonts w:ascii="Times New Roman" w:eastAsia="Times New Roman" w:hAnsi="Times New Roman" w:cs="Times New Roman"/>
          <w:spacing w:val="7"/>
        </w:rPr>
        <w:t xml:space="preserve">a)    </w:t>
      </w:r>
      <w:r>
        <w:rPr>
          <w:spacing w:val="7"/>
        </w:rPr>
        <w:t>裂隙型储层应以连通的裂隙系统细分计算单元，裂隙孔隙(洞)型储层分别确定基质孔隙度</w:t>
      </w:r>
      <w:r>
        <w:rPr>
          <w:spacing w:val="16"/>
        </w:rPr>
        <w:t xml:space="preserve"> </w:t>
      </w:r>
      <w:r>
        <w:t>和裂隙、溶洞等孔隙度，见DZ/T</w:t>
      </w:r>
      <w:r>
        <w:rPr>
          <w:spacing w:val="45"/>
        </w:rPr>
        <w:t xml:space="preserve"> </w:t>
      </w:r>
      <w:r>
        <w:t>0217;</w:t>
      </w:r>
    </w:p>
    <w:p>
      <w:pPr>
        <w:pStyle w:val="BodyText"/>
        <w:spacing w:before="1"/>
        <w:ind w:left="879" w:right="94" w:hanging="460"/>
      </w:pPr>
      <w:r>
        <w:rPr>
          <w:rFonts w:ascii="Times New Roman" w:eastAsia="Times New Roman" w:hAnsi="Times New Roman" w:cs="Times New Roman"/>
          <w:spacing w:val="3"/>
        </w:rPr>
        <w:t xml:space="preserve">b)    </w:t>
      </w:r>
      <w:r>
        <w:rPr>
          <w:spacing w:val="3"/>
        </w:rPr>
        <w:t>孔隙度宜直接用岩心分析资料或测井解释确定，测井解释孔隙度与岩心分析孔隙度的</w:t>
      </w:r>
      <w:r>
        <w:rPr>
          <w:spacing w:val="2"/>
        </w:rPr>
        <w:t>相对误</w:t>
      </w:r>
      <w:r>
        <w:t xml:space="preserve"> </w:t>
      </w:r>
      <w:r>
        <w:rPr>
          <w:spacing w:val="6"/>
        </w:rPr>
        <w:t>差不超过±8%,见</w:t>
      </w:r>
      <w:r>
        <w:t>DZ</w:t>
      </w:r>
      <w:r>
        <w:rPr>
          <w:spacing w:val="6"/>
        </w:rPr>
        <w:t>/T</w:t>
      </w:r>
      <w:r>
        <w:rPr>
          <w:spacing w:val="44"/>
        </w:rPr>
        <w:t xml:space="preserve"> </w:t>
      </w:r>
      <w:r>
        <w:rPr>
          <w:spacing w:val="6"/>
        </w:rPr>
        <w:t>0217;</w:t>
      </w:r>
    </w:p>
    <w:p>
      <w:pPr>
        <w:pStyle w:val="BodyText"/>
        <w:spacing w:before="26" w:line="219" w:lineRule="auto"/>
        <w:ind w:left="419"/>
      </w:pPr>
      <w:r>
        <w:rPr>
          <w:spacing w:val="-1"/>
        </w:rPr>
        <w:t>c)  封存条件类似的地质单元，参数取值宜类比借</w:t>
      </w:r>
      <w:r>
        <w:rPr>
          <w:spacing w:val="-2"/>
        </w:rPr>
        <w:t>用，或使用平均数值计算。</w:t>
      </w:r>
    </w:p>
    <w:p>
      <w:pPr>
        <w:spacing w:before="147" w:line="222" w:lineRule="auto"/>
        <w:ind w:left="3"/>
        <w:outlineLvl w:val="0"/>
        <w:rPr>
          <w:rFonts w:ascii="SimHei" w:eastAsia="SimHei" w:hAnsi="SimHei" w:cs="SimHei"/>
          <w:sz w:val="21"/>
          <w:szCs w:val="21"/>
        </w:rPr>
      </w:pPr>
      <w:r>
        <w:rPr>
          <w:rFonts w:ascii="SimHei" w:eastAsia="SimHei" w:hAnsi="SimHei" w:cs="SimHei"/>
          <w:b/>
          <w:bCs/>
          <w:spacing w:val="-4"/>
          <w:sz w:val="21"/>
          <w:szCs w:val="21"/>
        </w:rPr>
        <w:t>8.2</w:t>
      </w:r>
      <w:r>
        <w:rPr>
          <w:rFonts w:ascii="SimHei" w:eastAsia="SimHei" w:hAnsi="SimHei" w:cs="SimHei"/>
          <w:spacing w:val="95"/>
          <w:sz w:val="21"/>
          <w:szCs w:val="21"/>
        </w:rPr>
        <w:t xml:space="preserve"> </w:t>
      </w:r>
      <w:r>
        <w:rPr>
          <w:rFonts w:ascii="SimHei" w:eastAsia="SimHei" w:hAnsi="SimHei" w:cs="SimHei"/>
          <w:b/>
          <w:bCs/>
          <w:spacing w:val="-4"/>
          <w:sz w:val="21"/>
          <w:szCs w:val="21"/>
        </w:rPr>
        <w:t>地质潜力</w:t>
      </w:r>
    </w:p>
    <w:p>
      <w:pPr>
        <w:spacing w:before="138" w:line="222" w:lineRule="auto"/>
        <w:ind w:left="3"/>
        <w:outlineLvl w:val="0"/>
        <w:rPr>
          <w:rFonts w:ascii="SimHei" w:eastAsia="SimHei" w:hAnsi="SimHei" w:cs="SimHei"/>
          <w:sz w:val="21"/>
          <w:szCs w:val="21"/>
        </w:rPr>
      </w:pPr>
      <w:r>
        <w:rPr>
          <w:rFonts w:ascii="SimHei" w:eastAsia="SimHei" w:hAnsi="SimHei" w:cs="SimHei"/>
          <w:b/>
          <w:bCs/>
          <w:spacing w:val="-2"/>
          <w:sz w:val="21"/>
          <w:szCs w:val="21"/>
        </w:rPr>
        <w:t>8.2.1</w:t>
      </w:r>
      <w:r>
        <w:rPr>
          <w:rFonts w:ascii="SimHei" w:eastAsia="SimHei" w:hAnsi="SimHei" w:cs="SimHei"/>
          <w:spacing w:val="92"/>
          <w:sz w:val="21"/>
          <w:szCs w:val="21"/>
        </w:rPr>
        <w:t xml:space="preserve"> </w:t>
      </w:r>
      <w:r>
        <w:rPr>
          <w:rFonts w:ascii="SimHei" w:eastAsia="SimHei" w:hAnsi="SimHei" w:cs="SimHei"/>
          <w:b/>
          <w:bCs/>
          <w:spacing w:val="-2"/>
          <w:sz w:val="21"/>
          <w:szCs w:val="21"/>
        </w:rPr>
        <w:t>容积法</w:t>
      </w:r>
    </w:p>
    <w:p>
      <w:pPr>
        <w:pStyle w:val="BodyText"/>
        <w:spacing w:before="150" w:line="232" w:lineRule="auto"/>
        <w:ind w:right="92" w:firstLine="2"/>
      </w:pPr>
      <w:hyperlink r:id="rId44" w:history="1">
        <w:r>
          <w:rPr>
            <w:b/>
            <w:bCs/>
          </w:rPr>
          <w:t>8.2.1.1</w:t>
        </w:r>
      </w:hyperlink>
      <w:r>
        <w:t xml:space="preserve">  容积法基本原理是假设咸水层为侧向开放</w:t>
      </w:r>
      <w:r>
        <w:rPr>
          <w:spacing w:val="-1"/>
        </w:rPr>
        <w:t>水文地质边界，且注入的二氧化碳可以将原有地层</w:t>
      </w:r>
      <w:r>
        <w:t xml:space="preserve"> </w:t>
      </w:r>
      <w:r>
        <w:rPr>
          <w:spacing w:val="-1"/>
        </w:rPr>
        <w:t>水最大限度地驱替出评价区域，适用于预测地质潜力和控制地</w:t>
      </w:r>
      <w:r>
        <w:rPr>
          <w:spacing w:val="-2"/>
        </w:rPr>
        <w:t>质潜力的计算。</w:t>
      </w:r>
    </w:p>
    <w:p>
      <w:pPr>
        <w:pStyle w:val="BodyText"/>
        <w:spacing w:before="23" w:line="219" w:lineRule="auto"/>
      </w:pPr>
      <w:hyperlink r:id="rId45" w:history="1">
        <w:r>
          <w:rPr>
            <w:rFonts w:ascii="Arial" w:eastAsia="Arial" w:hAnsi="Arial" w:cs="Arial"/>
            <w:b/>
            <w:bCs/>
          </w:rPr>
          <w:t>8.2.1.2</w:t>
        </w:r>
      </w:hyperlink>
      <w:r>
        <w:rPr>
          <w:rFonts w:ascii="Arial" w:eastAsia="Arial" w:hAnsi="Arial" w:cs="Arial"/>
          <w:b/>
          <w:bCs/>
        </w:rPr>
        <w:t xml:space="preserve">    </w:t>
      </w:r>
      <w:r>
        <w:t>地质潜力计算宜利用地理信息系统</w:t>
      </w:r>
      <w:r>
        <w:rPr>
          <w:spacing w:val="-27"/>
        </w:rPr>
        <w:t xml:space="preserve"> </w:t>
      </w:r>
      <w:r>
        <w:t>GIS</w:t>
      </w:r>
      <w:r>
        <w:rPr>
          <w:spacing w:val="-24"/>
        </w:rPr>
        <w:t xml:space="preserve"> </w:t>
      </w:r>
      <w:r>
        <w:t>空间分析功能辅</w:t>
      </w:r>
      <w:r>
        <w:rPr>
          <w:spacing w:val="-1"/>
        </w:rPr>
        <w:t>助计算，以提高成果数据精度。</w:t>
      </w:r>
    </w:p>
    <w:p>
      <w:pPr>
        <w:pStyle w:val="BodyText"/>
        <w:spacing w:before="10" w:line="219" w:lineRule="auto"/>
      </w:pPr>
      <w:hyperlink r:id="rId46" w:history="1">
        <w:r>
          <w:rPr>
            <w:rFonts w:ascii="Arial" w:eastAsia="Arial" w:hAnsi="Arial" w:cs="Arial"/>
            <w:b/>
            <w:bCs/>
          </w:rPr>
          <w:t>8.2.1.3</w:t>
        </w:r>
      </w:hyperlink>
      <w:r>
        <w:rPr>
          <w:rFonts w:ascii="Arial" w:eastAsia="Arial" w:hAnsi="Arial" w:cs="Arial"/>
          <w:b/>
          <w:bCs/>
          <w:spacing w:val="17"/>
        </w:rPr>
        <w:t xml:space="preserve">    </w:t>
      </w:r>
      <w:r>
        <w:t>容积法详细计算公式见附录A。</w:t>
      </w:r>
    </w:p>
    <w:p>
      <w:pPr>
        <w:spacing w:before="150" w:line="223" w:lineRule="auto"/>
        <w:ind w:left="3"/>
        <w:outlineLvl w:val="0"/>
        <w:rPr>
          <w:rFonts w:ascii="SimHei" w:eastAsia="SimHei" w:hAnsi="SimHei" w:cs="SimHei"/>
          <w:sz w:val="21"/>
          <w:szCs w:val="21"/>
        </w:rPr>
      </w:pPr>
      <w:r>
        <w:rPr>
          <w:rFonts w:ascii="SimHei" w:eastAsia="SimHei" w:hAnsi="SimHei" w:cs="SimHei"/>
          <w:b/>
          <w:bCs/>
          <w:spacing w:val="-4"/>
          <w:sz w:val="21"/>
          <w:szCs w:val="21"/>
        </w:rPr>
        <w:t>8.2.2</w:t>
      </w:r>
      <w:r>
        <w:rPr>
          <w:rFonts w:ascii="SimHei" w:eastAsia="SimHei" w:hAnsi="SimHei" w:cs="SimHei"/>
          <w:spacing w:val="88"/>
          <w:sz w:val="21"/>
          <w:szCs w:val="21"/>
        </w:rPr>
        <w:t xml:space="preserve"> </w:t>
      </w:r>
      <w:r>
        <w:rPr>
          <w:rFonts w:ascii="SimHei" w:eastAsia="SimHei" w:hAnsi="SimHei" w:cs="SimHei"/>
          <w:b/>
          <w:bCs/>
          <w:spacing w:val="-4"/>
          <w:sz w:val="21"/>
          <w:szCs w:val="21"/>
        </w:rPr>
        <w:t>机理法</w:t>
      </w:r>
    </w:p>
    <w:p>
      <w:pPr>
        <w:pStyle w:val="BodyText"/>
        <w:spacing w:before="104" w:line="235" w:lineRule="auto"/>
        <w:ind w:right="112" w:firstLine="2"/>
        <w:sectPr>
          <w:headerReference w:type="default" r:id="rId47"/>
          <w:footerReference w:type="default" r:id="rId48"/>
          <w:pgSz w:w="11910" w:h="16840"/>
          <w:pgMar w:top="400" w:right="1084" w:bottom="1273" w:left="1390" w:header="0" w:footer="1155" w:gutter="0"/>
          <w:pgNumType w:start="13"/>
          <w:cols w:space="708"/>
        </w:sectPr>
      </w:pPr>
      <w:hyperlink r:id="rId49" w:history="1">
        <w:r>
          <w:rPr>
            <w:b/>
            <w:bCs/>
          </w:rPr>
          <w:t>8.2.2.1</w:t>
        </w:r>
      </w:hyperlink>
      <w:r>
        <w:t xml:space="preserve">  碳封存领导人论坛</w:t>
      </w:r>
      <w:r>
        <w:rPr>
          <w:spacing w:val="-24"/>
        </w:rPr>
        <w:t xml:space="preserve"> </w:t>
      </w:r>
      <w:r>
        <w:rPr>
          <w:rFonts w:ascii="Times New Roman" w:eastAsia="Times New Roman" w:hAnsi="Times New Roman" w:cs="Times New Roman"/>
        </w:rPr>
        <w:t>(Carb</w:t>
      </w:r>
      <w:r>
        <w:rPr>
          <w:rFonts w:ascii="Times New Roman" w:eastAsia="Times New Roman" w:hAnsi="Times New Roman" w:cs="Times New Roman"/>
          <w:spacing w:val="-1"/>
        </w:rPr>
        <w:t>on     Sequestration    Leadership     Forum,CSLF)</w:t>
      </w:r>
      <w:r>
        <w:rPr>
          <w:rFonts w:ascii="Times New Roman" w:eastAsia="Times New Roman" w:hAnsi="Times New Roman" w:cs="Times New Roman"/>
          <w:spacing w:val="29"/>
        </w:rPr>
        <w:t xml:space="preserve"> </w:t>
      </w:r>
      <w:r>
        <w:rPr>
          <w:spacing w:val="-1"/>
        </w:rPr>
        <w:t>根据咸水层二氧化碳</w:t>
      </w:r>
      <w:r>
        <w:t xml:space="preserve"> </w:t>
      </w:r>
      <w:r>
        <w:rPr>
          <w:spacing w:val="-3"/>
        </w:rPr>
        <w:t>地质封存的物理和化学封存机理，提出构造地层封存、束缚封存和溶解封存三种不同机理的潜力计算公</w:t>
      </w:r>
      <w:r>
        <w:rPr>
          <w:spacing w:val="6"/>
        </w:rPr>
        <w:t xml:space="preserve"> </w:t>
      </w:r>
      <w:r>
        <w:rPr>
          <w:spacing w:val="3"/>
        </w:rPr>
        <w:t>式(见附录</w:t>
      </w:r>
      <w:r>
        <w:rPr>
          <w:spacing w:val="-45"/>
        </w:rPr>
        <w:t xml:space="preserve"> </w:t>
      </w:r>
      <w:r>
        <w:rPr>
          <w:rFonts w:ascii="Times New Roman" w:eastAsia="Times New Roman" w:hAnsi="Times New Roman" w:cs="Times New Roman"/>
          <w:spacing w:val="3"/>
        </w:rPr>
        <w:t xml:space="preserve">A),    </w:t>
      </w:r>
      <w:r>
        <w:rPr>
          <w:spacing w:val="3"/>
        </w:rPr>
        <w:t>总地质潜力可认为是三部分不同机理地质潜力的和。</w:t>
      </w:r>
    </w:p>
    <w:p>
      <w:pPr>
        <w:pStyle w:val="BodyText"/>
        <w:spacing w:before="52" w:line="219" w:lineRule="auto"/>
      </w:pPr>
      <w:hyperlink r:id="rId50" w:history="1">
        <w:r>
          <w:rPr>
            <w:rFonts w:ascii="Arial" w:eastAsia="Arial" w:hAnsi="Arial" w:cs="Arial"/>
            <w:b/>
            <w:bCs/>
            <w:spacing w:val="1"/>
          </w:rPr>
          <w:t>8.2.2.2</w:t>
        </w:r>
      </w:hyperlink>
      <w:r>
        <w:rPr>
          <w:rFonts w:ascii="Arial" w:eastAsia="Arial" w:hAnsi="Arial" w:cs="Arial"/>
          <w:b/>
          <w:bCs/>
          <w:spacing w:val="1"/>
        </w:rPr>
        <w:t xml:space="preserve">    </w:t>
      </w:r>
      <w:r>
        <w:rPr>
          <w:spacing w:val="1"/>
        </w:rPr>
        <w:t>机理法需要较为丰富的地质数据支撑，宜在控制地质潜力计算</w:t>
      </w:r>
      <w:r>
        <w:t>时考虑应用。</w:t>
      </w:r>
    </w:p>
    <w:p>
      <w:pPr>
        <w:spacing w:before="149" w:line="222" w:lineRule="auto"/>
        <w:ind w:left="3"/>
        <w:outlineLvl w:val="0"/>
        <w:rPr>
          <w:rFonts w:ascii="SimHei" w:eastAsia="SimHei" w:hAnsi="SimHei" w:cs="SimHei"/>
          <w:sz w:val="21"/>
          <w:szCs w:val="21"/>
        </w:rPr>
      </w:pPr>
      <w:r>
        <w:rPr>
          <w:rFonts w:ascii="SimHei" w:eastAsia="SimHei" w:hAnsi="SimHei" w:cs="SimHei"/>
          <w:b/>
          <w:bCs/>
          <w:spacing w:val="-4"/>
          <w:sz w:val="21"/>
          <w:szCs w:val="21"/>
        </w:rPr>
        <w:t>8.3</w:t>
      </w:r>
      <w:r>
        <w:rPr>
          <w:rFonts w:ascii="SimHei" w:eastAsia="SimHei" w:hAnsi="SimHei" w:cs="SimHei"/>
          <w:spacing w:val="85"/>
          <w:sz w:val="21"/>
          <w:szCs w:val="21"/>
        </w:rPr>
        <w:t xml:space="preserve"> </w:t>
      </w:r>
      <w:r>
        <w:rPr>
          <w:rFonts w:ascii="SimHei" w:eastAsia="SimHei" w:hAnsi="SimHei" w:cs="SimHei"/>
          <w:b/>
          <w:bCs/>
          <w:spacing w:val="-4"/>
          <w:sz w:val="21"/>
          <w:szCs w:val="21"/>
        </w:rPr>
        <w:t>技术容量</w:t>
      </w:r>
    </w:p>
    <w:p>
      <w:pPr>
        <w:pStyle w:val="BodyText"/>
        <w:spacing w:before="147" w:line="212" w:lineRule="auto"/>
      </w:pPr>
      <w:r>
        <w:t>8.3.1  预测和控制技术容量是利用相应级别的地质潜力与驱替系数</w:t>
      </w:r>
      <w:r>
        <w:rPr>
          <w:spacing w:val="-40"/>
        </w:rPr>
        <w:t xml:space="preserve"> </w:t>
      </w:r>
      <w:r>
        <w:rPr>
          <w:rFonts w:ascii="Times New Roman" w:eastAsia="Times New Roman" w:hAnsi="Times New Roman" w:cs="Times New Roman"/>
        </w:rPr>
        <w:t>Ewep</w:t>
      </w:r>
      <w:r>
        <w:rPr>
          <w:rFonts w:ascii="Times New Roman" w:eastAsia="Times New Roman" w:hAnsi="Times New Roman" w:cs="Times New Roman"/>
          <w:spacing w:val="25"/>
        </w:rPr>
        <w:t xml:space="preserve"> </w:t>
      </w:r>
      <w:r>
        <w:t>的乘积计算获得，计算公式</w:t>
      </w:r>
    </w:p>
    <w:p>
      <w:pPr>
        <w:pStyle w:val="BodyText"/>
        <w:spacing w:before="189" w:line="212" w:lineRule="auto"/>
      </w:pPr>
      <w:r>
        <w:rPr>
          <w:spacing w:val="2"/>
        </w:rPr>
        <w:t>及</w:t>
      </w:r>
      <w:r>
        <w:rPr>
          <w:spacing w:val="-43"/>
        </w:rPr>
        <w:t xml:space="preserve"> </w:t>
      </w:r>
      <w:r>
        <w:rPr>
          <w:rFonts w:ascii="Times New Roman" w:eastAsia="Times New Roman" w:hAnsi="Times New Roman" w:cs="Times New Roman"/>
        </w:rPr>
        <w:t>Ewep</w:t>
      </w:r>
      <w:r>
        <w:rPr>
          <w:rFonts w:ascii="Times New Roman" w:eastAsia="Times New Roman" w:hAnsi="Times New Roman" w:cs="Times New Roman"/>
          <w:spacing w:val="-16"/>
        </w:rPr>
        <w:t xml:space="preserve"> </w:t>
      </w:r>
      <w:r>
        <w:rPr>
          <w:spacing w:val="2"/>
        </w:rPr>
        <w:t>取值参考见附录</w:t>
      </w:r>
      <w:r>
        <w:rPr>
          <w:rFonts w:ascii="Times New Roman" w:eastAsia="Times New Roman" w:hAnsi="Times New Roman" w:cs="Times New Roman"/>
          <w:spacing w:val="2"/>
        </w:rPr>
        <w:t>A</w:t>
      </w:r>
      <w:r>
        <w:rPr>
          <w:spacing w:val="2"/>
        </w:rPr>
        <w:t>。</w:t>
      </w:r>
    </w:p>
    <w:p>
      <w:pPr>
        <w:pStyle w:val="BodyText"/>
        <w:spacing w:before="80" w:line="226" w:lineRule="auto"/>
        <w:ind w:right="88"/>
        <w:jc w:val="both"/>
      </w:pPr>
      <w:r>
        <w:rPr>
          <w:rFonts w:ascii="Arial" w:eastAsia="Arial" w:hAnsi="Arial" w:cs="Arial"/>
          <w:spacing w:val="1"/>
        </w:rPr>
        <w:t xml:space="preserve">8.3.2    </w:t>
      </w:r>
      <w:r>
        <w:rPr>
          <w:spacing w:val="1"/>
        </w:rPr>
        <w:t>探明技术容量需在精细地质建模基础上，综合</w:t>
      </w:r>
      <w:r>
        <w:t xml:space="preserve">储集条件、盖层封闭性、封存体地质稳定条件及 </w:t>
      </w:r>
      <w:r>
        <w:rPr>
          <w:spacing w:val="-2"/>
        </w:rPr>
        <w:t>深部资源开发互馈等因素，开展咸水层储层不同二氧化碳注入方案情</w:t>
      </w:r>
      <w:r>
        <w:rPr>
          <w:spacing w:val="-3"/>
        </w:rPr>
        <w:t>景下的数值模拟，进而预测获取的</w:t>
      </w:r>
      <w:r>
        <w:t xml:space="preserve"> </w:t>
      </w:r>
      <w:r>
        <w:rPr>
          <w:spacing w:val="-6"/>
        </w:rPr>
        <w:t>最大技术容量。</w:t>
      </w:r>
    </w:p>
    <w:p>
      <w:pPr>
        <w:spacing w:line="226" w:lineRule="auto"/>
        <w:sectPr>
          <w:headerReference w:type="default" r:id="rId51"/>
          <w:footerReference w:type="default" r:id="rId52"/>
          <w:type w:val="nextPage"/>
          <w:pgSz w:w="11910" w:h="16840"/>
          <w:pgMar w:top="400" w:right="1084" w:bottom="1273" w:left="1390" w:header="0" w:footer="1155" w:gutter="0"/>
          <w:pgNumType w:start="14"/>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4"/>
          <w:sz w:val="21"/>
          <w:szCs w:val="21"/>
        </w:rPr>
        <w:t>8.4</w:t>
      </w:r>
      <w:r>
        <w:rPr>
          <w:rFonts w:ascii="SimHei" w:eastAsia="SimHei" w:hAnsi="SimHei" w:cs="SimHei"/>
          <w:spacing w:val="78"/>
          <w:sz w:val="21"/>
          <w:szCs w:val="21"/>
        </w:rPr>
        <w:t xml:space="preserve"> </w:t>
      </w:r>
      <w:r>
        <w:rPr>
          <w:rFonts w:ascii="SimHei" w:eastAsia="SimHei" w:hAnsi="SimHei" w:cs="SimHei"/>
          <w:b/>
          <w:bCs/>
          <w:spacing w:val="-4"/>
          <w:sz w:val="21"/>
          <w:szCs w:val="21"/>
        </w:rPr>
        <w:t>技术经济容量</w:t>
      </w:r>
    </w:p>
    <w:p>
      <w:pPr>
        <w:pStyle w:val="BodyText"/>
        <w:spacing w:before="161" w:line="226" w:lineRule="auto"/>
        <w:ind w:right="101" w:firstLine="2"/>
        <w:jc w:val="both"/>
      </w:pPr>
      <w:r>
        <w:rPr>
          <w:b/>
          <w:bCs/>
        </w:rPr>
        <w:t>8.4.1</w:t>
      </w:r>
      <w:r>
        <w:t xml:space="preserve">  在技术容量基础上，假定碳捕集与封存</w:t>
      </w:r>
      <w:r>
        <w:rPr>
          <w:spacing w:val="-1"/>
        </w:rPr>
        <w:t>技术(CCS) 能够纳入至碳交易体系或有相关碳税政策激</w:t>
      </w:r>
      <w:r>
        <w:t xml:space="preserve"> </w:t>
      </w:r>
      <w:r>
        <w:rPr>
          <w:spacing w:val="-3"/>
        </w:rPr>
        <w:t>励条件时，针对某一碳源或集群，其源汇匹配全流程技术成本不高于政策激励价格时，约束得到技术经</w:t>
      </w:r>
      <w:r>
        <w:rPr>
          <w:spacing w:val="2"/>
        </w:rPr>
        <w:t xml:space="preserve"> </w:t>
      </w:r>
      <w:r>
        <w:rPr>
          <w:spacing w:val="-8"/>
        </w:rPr>
        <w:t>济容量。</w:t>
      </w:r>
    </w:p>
    <w:p>
      <w:pPr>
        <w:pStyle w:val="BodyText"/>
        <w:spacing w:before="87" w:line="219" w:lineRule="auto"/>
        <w:ind w:left="3"/>
      </w:pPr>
      <w:r>
        <w:rPr>
          <w:b/>
          <w:bCs/>
        </w:rPr>
        <w:t>8.4.2</w:t>
      </w:r>
      <w:r>
        <w:t xml:space="preserve">  控制和探明技术经济容量可通过相应级别技术容量与成本</w:t>
      </w:r>
      <w:r>
        <w:rPr>
          <w:spacing w:val="-1"/>
        </w:rPr>
        <w:t>系数</w:t>
      </w:r>
      <w:r>
        <w:rPr>
          <w:rFonts w:ascii="Times New Roman" w:eastAsia="Times New Roman" w:hAnsi="Times New Roman" w:cs="Times New Roman"/>
          <w:spacing w:val="-1"/>
        </w:rPr>
        <w:t xml:space="preserve">E      </w:t>
      </w:r>
      <w:r>
        <w:rPr>
          <w:spacing w:val="-1"/>
        </w:rPr>
        <w:t>的乘积计算获得，计算公式</w:t>
      </w:r>
    </w:p>
    <w:p>
      <w:pPr>
        <w:pStyle w:val="BodyText"/>
        <w:spacing w:before="140" w:line="219" w:lineRule="auto"/>
      </w:pPr>
      <w:r>
        <w:rPr>
          <w:spacing w:val="1"/>
        </w:rPr>
        <w:t>及</w:t>
      </w:r>
      <w:r>
        <w:rPr>
          <w:spacing w:val="-31"/>
        </w:rPr>
        <w:t xml:space="preserve"> </w:t>
      </w:r>
      <w:r>
        <w:rPr>
          <w:rFonts w:ascii="Times New Roman" w:eastAsia="Times New Roman" w:hAnsi="Times New Roman" w:cs="Times New Roman"/>
          <w:spacing w:val="1"/>
        </w:rPr>
        <w:t xml:space="preserve">E     </w:t>
      </w:r>
      <w:r>
        <w:rPr>
          <w:spacing w:val="1"/>
        </w:rPr>
        <w:t>取值参考见附录</w:t>
      </w:r>
      <w:r>
        <w:rPr>
          <w:rFonts w:ascii="Times New Roman" w:eastAsia="Times New Roman" w:hAnsi="Times New Roman" w:cs="Times New Roman"/>
          <w:spacing w:val="1"/>
        </w:rPr>
        <w:t>A</w:t>
      </w:r>
      <w:r>
        <w:rPr>
          <w:spacing w:val="1"/>
        </w:rPr>
        <w:t>。</w:t>
      </w:r>
    </w:p>
    <w:p>
      <w:pPr>
        <w:pStyle w:val="BodyText"/>
        <w:spacing w:before="61" w:line="228" w:lineRule="auto"/>
        <w:ind w:right="95" w:firstLine="3"/>
      </w:pPr>
      <w:r>
        <w:rPr>
          <w:b/>
          <w:bCs/>
        </w:rPr>
        <w:t>8.4.3</w:t>
      </w:r>
      <w:r>
        <w:rPr>
          <w:spacing w:val="86"/>
        </w:rPr>
        <w:t xml:space="preserve"> </w:t>
      </w:r>
      <w:r>
        <w:t>在明确碳源、场地及其探明技术容量的前提下，探明技术经济容量会从经济性的角度淘</w:t>
      </w:r>
      <w:r>
        <w:rPr>
          <w:spacing w:val="-1"/>
        </w:rPr>
        <w:t>汰部分</w:t>
      </w:r>
      <w:r>
        <w:t xml:space="preserve"> </w:t>
      </w:r>
      <w:r>
        <w:rPr>
          <w:spacing w:val="-4"/>
        </w:rPr>
        <w:t>碳源或场地的基本单元。</w:t>
      </w:r>
    </w:p>
    <w:p>
      <w:pPr>
        <w:spacing w:before="138" w:line="222" w:lineRule="auto"/>
        <w:ind w:left="3"/>
        <w:outlineLvl w:val="0"/>
        <w:rPr>
          <w:rFonts w:ascii="SimHei" w:eastAsia="SimHei" w:hAnsi="SimHei" w:cs="SimHei"/>
          <w:sz w:val="21"/>
          <w:szCs w:val="21"/>
        </w:rPr>
      </w:pPr>
      <w:r>
        <w:rPr>
          <w:rFonts w:ascii="SimHei" w:eastAsia="SimHei" w:hAnsi="SimHei" w:cs="SimHei"/>
          <w:b/>
          <w:bCs/>
          <w:spacing w:val="-4"/>
          <w:sz w:val="21"/>
          <w:szCs w:val="21"/>
        </w:rPr>
        <w:t>8.5</w:t>
      </w:r>
      <w:r>
        <w:rPr>
          <w:rFonts w:ascii="SimHei" w:eastAsia="SimHei" w:hAnsi="SimHei" w:cs="SimHei"/>
          <w:spacing w:val="76"/>
          <w:sz w:val="21"/>
          <w:szCs w:val="21"/>
        </w:rPr>
        <w:t xml:space="preserve"> </w:t>
      </w:r>
      <w:r>
        <w:rPr>
          <w:rFonts w:ascii="SimHei" w:eastAsia="SimHei" w:hAnsi="SimHei" w:cs="SimHei"/>
          <w:b/>
          <w:bCs/>
          <w:spacing w:val="-4"/>
          <w:sz w:val="21"/>
          <w:szCs w:val="21"/>
        </w:rPr>
        <w:t>工程封存量</w:t>
      </w:r>
    </w:p>
    <w:p>
      <w:pPr>
        <w:spacing w:before="148" w:line="222" w:lineRule="auto"/>
        <w:ind w:left="3"/>
        <w:outlineLvl w:val="0"/>
        <w:rPr>
          <w:rFonts w:ascii="SimHei" w:eastAsia="SimHei" w:hAnsi="SimHei" w:cs="SimHei"/>
          <w:sz w:val="21"/>
          <w:szCs w:val="21"/>
        </w:rPr>
      </w:pPr>
      <w:r>
        <w:rPr>
          <w:rFonts w:ascii="SimHei" w:eastAsia="SimHei" w:hAnsi="SimHei" w:cs="SimHei"/>
          <w:b/>
          <w:bCs/>
          <w:spacing w:val="-2"/>
          <w:sz w:val="21"/>
          <w:szCs w:val="21"/>
        </w:rPr>
        <w:t>8.5.1</w:t>
      </w:r>
      <w:r>
        <w:rPr>
          <w:rFonts w:ascii="SimHei" w:eastAsia="SimHei" w:hAnsi="SimHei" w:cs="SimHei"/>
          <w:spacing w:val="93"/>
          <w:sz w:val="21"/>
          <w:szCs w:val="21"/>
        </w:rPr>
        <w:t xml:space="preserve"> </w:t>
      </w:r>
      <w:r>
        <w:rPr>
          <w:rFonts w:ascii="SimHei" w:eastAsia="SimHei" w:hAnsi="SimHei" w:cs="SimHei"/>
          <w:b/>
          <w:bCs/>
          <w:spacing w:val="-2"/>
          <w:sz w:val="21"/>
          <w:szCs w:val="21"/>
        </w:rPr>
        <w:t>设计封存量</w:t>
      </w:r>
    </w:p>
    <w:p>
      <w:pPr>
        <w:pStyle w:val="BodyText"/>
        <w:spacing w:before="150" w:line="219" w:lineRule="auto"/>
        <w:ind w:left="3"/>
      </w:pPr>
      <w:hyperlink r:id="rId53" w:history="1">
        <w:r>
          <w:rPr>
            <w:b/>
            <w:bCs/>
            <w:spacing w:val="-1"/>
          </w:rPr>
          <w:t>8.5.1.1</w:t>
        </w:r>
      </w:hyperlink>
      <w:r>
        <w:rPr>
          <w:spacing w:val="106"/>
        </w:rPr>
        <w:t xml:space="preserve"> </w:t>
      </w:r>
      <w:r>
        <w:rPr>
          <w:spacing w:val="-1"/>
        </w:rPr>
        <w:t>设计封存量需建立在场地探明基础上科学规划设计，且不大于探明技术容量。</w:t>
      </w:r>
    </w:p>
    <w:p>
      <w:pPr>
        <w:pStyle w:val="BodyText"/>
        <w:spacing w:before="32" w:line="219" w:lineRule="auto"/>
        <w:ind w:right="96" w:firstLine="3"/>
      </w:pPr>
      <w:hyperlink r:id="rId54" w:history="1">
        <w:r>
          <w:rPr>
            <w:b/>
            <w:bCs/>
          </w:rPr>
          <w:t>8.5.1.2</w:t>
        </w:r>
      </w:hyperlink>
      <w:r>
        <w:rPr>
          <w:spacing w:val="86"/>
        </w:rPr>
        <w:t xml:space="preserve"> </w:t>
      </w:r>
      <w:r>
        <w:t>设计封存量需明晰封存场地的预测地下空间范围、注入执行期，以及详细的</w:t>
      </w:r>
      <w:r>
        <w:rPr>
          <w:spacing w:val="-1"/>
        </w:rPr>
        <w:t>注入井和监测井</w:t>
      </w:r>
      <w:r>
        <w:t xml:space="preserve"> </w:t>
      </w:r>
      <w:r>
        <w:rPr>
          <w:spacing w:val="-8"/>
        </w:rPr>
        <w:t>布设方案等信息。</w:t>
      </w:r>
    </w:p>
    <w:p>
      <w:pPr>
        <w:spacing w:before="138" w:line="222" w:lineRule="auto"/>
        <w:ind w:left="3"/>
        <w:outlineLvl w:val="0"/>
        <w:rPr>
          <w:rFonts w:ascii="SimHei" w:eastAsia="SimHei" w:hAnsi="SimHei" w:cs="SimHei"/>
          <w:sz w:val="21"/>
          <w:szCs w:val="21"/>
        </w:rPr>
      </w:pPr>
      <w:r>
        <w:rPr>
          <w:rFonts w:ascii="SimHei" w:eastAsia="SimHei" w:hAnsi="SimHei" w:cs="SimHei"/>
          <w:b/>
          <w:bCs/>
          <w:spacing w:val="-7"/>
          <w:sz w:val="21"/>
          <w:szCs w:val="21"/>
        </w:rPr>
        <w:t>8.5.2</w:t>
      </w:r>
      <w:r>
        <w:rPr>
          <w:rFonts w:ascii="SimHei" w:eastAsia="SimHei" w:hAnsi="SimHei" w:cs="SimHei"/>
          <w:spacing w:val="13"/>
          <w:sz w:val="21"/>
          <w:szCs w:val="21"/>
        </w:rPr>
        <w:t xml:space="preserve">  </w:t>
      </w:r>
      <w:r>
        <w:rPr>
          <w:rFonts w:ascii="SimHei" w:eastAsia="SimHei" w:hAnsi="SimHei" w:cs="SimHei"/>
          <w:b/>
          <w:bCs/>
          <w:spacing w:val="-7"/>
          <w:sz w:val="21"/>
          <w:szCs w:val="21"/>
        </w:rPr>
        <w:t>实际封存量</w:t>
      </w:r>
    </w:p>
    <w:p>
      <w:pPr>
        <w:pStyle w:val="BodyText"/>
        <w:spacing w:before="151" w:line="229" w:lineRule="auto"/>
        <w:ind w:right="95" w:firstLine="3"/>
      </w:pPr>
      <w:hyperlink r:id="rId55" w:history="1">
        <w:r>
          <w:rPr>
            <w:b/>
            <w:bCs/>
          </w:rPr>
          <w:t>8.5.2.1</w:t>
        </w:r>
      </w:hyperlink>
      <w:r>
        <w:rPr>
          <w:spacing w:val="86"/>
        </w:rPr>
        <w:t xml:space="preserve"> </w:t>
      </w:r>
      <w:r>
        <w:t>在封存体安全稳定、未发生二氧化碳泄漏的前提下，咸水层封存工程场地实</w:t>
      </w:r>
      <w:r>
        <w:rPr>
          <w:spacing w:val="-1"/>
        </w:rPr>
        <w:t>际注入的二氧化</w:t>
      </w:r>
      <w:r>
        <w:t xml:space="preserve"> </w:t>
      </w:r>
      <w:r>
        <w:rPr>
          <w:spacing w:val="-9"/>
        </w:rPr>
        <w:t>碳量。</w:t>
      </w:r>
    </w:p>
    <w:p>
      <w:pPr>
        <w:pStyle w:val="BodyText"/>
        <w:spacing w:before="39" w:line="224" w:lineRule="auto"/>
        <w:ind w:right="116" w:firstLine="3"/>
      </w:pPr>
      <w:hyperlink r:id="rId56" w:history="1">
        <w:r>
          <w:rPr>
            <w:b/>
            <w:bCs/>
            <w:spacing w:val="-1"/>
          </w:rPr>
          <w:t>8.5.2.2</w:t>
        </w:r>
      </w:hyperlink>
      <w:r>
        <w:rPr>
          <w:spacing w:val="-1"/>
        </w:rPr>
        <w:t xml:space="preserve">  当已有封存工程场地邻近新规划或实施封存工程时，出于保障二氧化碳地下封存库的安全性</w:t>
      </w:r>
      <w:r>
        <w:rPr>
          <w:spacing w:val="3"/>
        </w:rPr>
        <w:t xml:space="preserve"> </w:t>
      </w:r>
      <w:r>
        <w:rPr>
          <w:spacing w:val="-2"/>
        </w:rPr>
        <w:t>和稳定性，可将工程设计封存量视为实际封存量。</w:t>
      </w:r>
    </w:p>
    <w:p>
      <w:pPr>
        <w:spacing w:before="267" w:line="222" w:lineRule="auto"/>
        <w:ind w:left="3"/>
        <w:rPr>
          <w:rFonts w:ascii="SimHei" w:eastAsia="SimHei" w:hAnsi="SimHei" w:cs="SimHei"/>
          <w:sz w:val="21"/>
          <w:szCs w:val="21"/>
        </w:rPr>
      </w:pPr>
      <w:r>
        <w:rPr>
          <w:rFonts w:ascii="SimHei" w:eastAsia="SimHei" w:hAnsi="SimHei" w:cs="SimHei"/>
          <w:b/>
          <w:bCs/>
          <w:spacing w:val="-9"/>
          <w:sz w:val="21"/>
          <w:szCs w:val="21"/>
        </w:rPr>
        <w:t>9</w:t>
      </w:r>
      <w:r>
        <w:rPr>
          <w:rFonts w:ascii="SimHei" w:eastAsia="SimHei" w:hAnsi="SimHei" w:cs="SimHei"/>
          <w:spacing w:val="4"/>
          <w:sz w:val="21"/>
          <w:szCs w:val="21"/>
        </w:rPr>
        <w:t xml:space="preserve">  </w:t>
      </w:r>
      <w:r>
        <w:rPr>
          <w:rFonts w:ascii="SimHei" w:eastAsia="SimHei" w:hAnsi="SimHei" w:cs="SimHei"/>
          <w:b/>
          <w:bCs/>
          <w:spacing w:val="-9"/>
          <w:sz w:val="21"/>
          <w:szCs w:val="21"/>
        </w:rPr>
        <w:t>综合评价</w:t>
      </w:r>
    </w:p>
    <w:p>
      <w:pPr>
        <w:spacing w:before="248" w:line="222" w:lineRule="auto"/>
        <w:ind w:left="3"/>
        <w:outlineLvl w:val="0"/>
        <w:rPr>
          <w:rFonts w:ascii="SimHei" w:eastAsia="SimHei" w:hAnsi="SimHei" w:cs="SimHei"/>
          <w:sz w:val="21"/>
          <w:szCs w:val="21"/>
        </w:rPr>
      </w:pPr>
      <w:r>
        <w:rPr>
          <w:rFonts w:ascii="SimHei" w:eastAsia="SimHei" w:hAnsi="SimHei" w:cs="SimHei"/>
          <w:b/>
          <w:bCs/>
          <w:spacing w:val="-1"/>
          <w:sz w:val="21"/>
          <w:szCs w:val="21"/>
        </w:rPr>
        <w:t>9.1</w:t>
      </w:r>
      <w:r>
        <w:rPr>
          <w:rFonts w:ascii="SimHei" w:eastAsia="SimHei" w:hAnsi="SimHei" w:cs="SimHei"/>
          <w:spacing w:val="73"/>
          <w:sz w:val="21"/>
          <w:szCs w:val="21"/>
        </w:rPr>
        <w:t xml:space="preserve"> </w:t>
      </w:r>
      <w:r>
        <w:rPr>
          <w:rFonts w:ascii="SimHei" w:eastAsia="SimHei" w:hAnsi="SimHei" w:cs="SimHei"/>
          <w:b/>
          <w:bCs/>
          <w:spacing w:val="-1"/>
          <w:sz w:val="21"/>
          <w:szCs w:val="21"/>
        </w:rPr>
        <w:t>普查阶段</w:t>
      </w:r>
    </w:p>
    <w:p>
      <w:pPr>
        <w:spacing w:before="136" w:line="222" w:lineRule="auto"/>
        <w:ind w:left="3"/>
        <w:outlineLvl w:val="0"/>
        <w:rPr>
          <w:rFonts w:ascii="SimHei" w:eastAsia="SimHei" w:hAnsi="SimHei" w:cs="SimHei"/>
          <w:sz w:val="21"/>
          <w:szCs w:val="21"/>
        </w:rPr>
      </w:pPr>
      <w:r>
        <w:rPr>
          <w:rFonts w:ascii="SimHei" w:eastAsia="SimHei" w:hAnsi="SimHei" w:cs="SimHei"/>
          <w:b/>
          <w:bCs/>
          <w:spacing w:val="-4"/>
          <w:sz w:val="21"/>
          <w:szCs w:val="21"/>
        </w:rPr>
        <w:t>9.1.1</w:t>
      </w:r>
      <w:r>
        <w:rPr>
          <w:rFonts w:ascii="SimHei" w:eastAsia="SimHei" w:hAnsi="SimHei" w:cs="SimHei"/>
          <w:spacing w:val="79"/>
          <w:sz w:val="21"/>
          <w:szCs w:val="21"/>
        </w:rPr>
        <w:t xml:space="preserve"> </w:t>
      </w:r>
      <w:r>
        <w:rPr>
          <w:rFonts w:ascii="SimHei" w:eastAsia="SimHei" w:hAnsi="SimHei" w:cs="SimHei"/>
          <w:b/>
          <w:bCs/>
          <w:spacing w:val="-4"/>
          <w:sz w:val="21"/>
          <w:szCs w:val="21"/>
        </w:rPr>
        <w:t>评价内容</w:t>
      </w:r>
    </w:p>
    <w:p>
      <w:pPr>
        <w:pStyle w:val="BodyText"/>
        <w:spacing w:before="143" w:line="231" w:lineRule="auto"/>
        <w:ind w:right="115" w:firstLine="419"/>
      </w:pPr>
      <w:r>
        <w:rPr>
          <w:spacing w:val="-3"/>
        </w:rPr>
        <w:t>重点针对储集条件、盖层封闭性、封存体地质稳定条件等地质适宜性，以及预测技术容量规</w:t>
      </w:r>
      <w:r>
        <w:rPr>
          <w:spacing w:val="-4"/>
        </w:rPr>
        <w:t>模、丰</w:t>
      </w:r>
      <w:r>
        <w:t xml:space="preserve"> </w:t>
      </w:r>
      <w:r>
        <w:rPr>
          <w:spacing w:val="-4"/>
        </w:rPr>
        <w:t>度开展综合分析评价。</w:t>
      </w:r>
    </w:p>
    <w:p>
      <w:pPr>
        <w:spacing w:before="141" w:line="400" w:lineRule="exact"/>
        <w:ind w:left="3"/>
        <w:rPr>
          <w:rFonts w:ascii="SimHei" w:eastAsia="SimHei" w:hAnsi="SimHei" w:cs="SimHei"/>
          <w:sz w:val="21"/>
          <w:szCs w:val="21"/>
        </w:rPr>
      </w:pPr>
      <w:r>
        <w:rPr>
          <w:rFonts w:ascii="SimHei" w:eastAsia="SimHei" w:hAnsi="SimHei" w:cs="SimHei"/>
          <w:b/>
          <w:bCs/>
          <w:spacing w:val="-4"/>
          <w:position w:val="14"/>
          <w:sz w:val="21"/>
          <w:szCs w:val="21"/>
        </w:rPr>
        <w:t>9.1.2</w:t>
      </w:r>
      <w:r>
        <w:rPr>
          <w:rFonts w:ascii="SimHei" w:eastAsia="SimHei" w:hAnsi="SimHei" w:cs="SimHei"/>
          <w:spacing w:val="89"/>
          <w:position w:val="14"/>
          <w:sz w:val="21"/>
          <w:szCs w:val="21"/>
        </w:rPr>
        <w:t xml:space="preserve"> </w:t>
      </w:r>
      <w:r>
        <w:rPr>
          <w:rFonts w:ascii="SimHei" w:eastAsia="SimHei" w:hAnsi="SimHei" w:cs="SimHei"/>
          <w:b/>
          <w:bCs/>
          <w:spacing w:val="-4"/>
          <w:position w:val="14"/>
          <w:sz w:val="21"/>
          <w:szCs w:val="21"/>
        </w:rPr>
        <w:t>地质适宜性</w:t>
      </w:r>
    </w:p>
    <w:p>
      <w:pPr>
        <w:spacing w:line="222" w:lineRule="auto"/>
        <w:ind w:left="3"/>
        <w:rPr>
          <w:rFonts w:ascii="SimHei" w:eastAsia="SimHei" w:hAnsi="SimHei" w:cs="SimHei"/>
          <w:sz w:val="21"/>
          <w:szCs w:val="21"/>
        </w:rPr>
      </w:pPr>
      <w:hyperlink r:id="rId57" w:history="1">
        <w:r>
          <w:rPr>
            <w:rFonts w:ascii="SimHei" w:eastAsia="SimHei" w:hAnsi="SimHei" w:cs="SimHei"/>
            <w:b/>
            <w:bCs/>
            <w:spacing w:val="-3"/>
            <w:sz w:val="21"/>
            <w:szCs w:val="21"/>
          </w:rPr>
          <w:t>9.1.2.1</w:t>
        </w:r>
      </w:hyperlink>
      <w:r>
        <w:rPr>
          <w:rFonts w:ascii="SimHei" w:eastAsia="SimHei" w:hAnsi="SimHei" w:cs="SimHei"/>
          <w:spacing w:val="82"/>
          <w:sz w:val="21"/>
          <w:szCs w:val="21"/>
        </w:rPr>
        <w:t xml:space="preserve"> </w:t>
      </w:r>
      <w:r>
        <w:rPr>
          <w:rFonts w:ascii="SimHei" w:eastAsia="SimHei" w:hAnsi="SimHei" w:cs="SimHei"/>
          <w:b/>
          <w:bCs/>
          <w:spacing w:val="-3"/>
          <w:sz w:val="21"/>
          <w:szCs w:val="21"/>
        </w:rPr>
        <w:t>储集条件</w:t>
      </w:r>
    </w:p>
    <w:p>
      <w:pPr>
        <w:pStyle w:val="BodyText"/>
        <w:spacing w:before="138" w:line="218" w:lineRule="auto"/>
        <w:ind w:left="419"/>
      </w:pPr>
      <w:r>
        <w:rPr>
          <w:spacing w:val="-4"/>
        </w:rPr>
        <w:t>储集条件分析评价重点考虑以下内容：</w:t>
      </w:r>
    </w:p>
    <w:p>
      <w:pPr>
        <w:pStyle w:val="BodyText"/>
        <w:spacing w:before="33" w:line="225" w:lineRule="auto"/>
        <w:ind w:left="879" w:right="92" w:hanging="460"/>
      </w:pPr>
      <w:r>
        <w:rPr>
          <w:spacing w:val="2"/>
        </w:rPr>
        <w:t>a)  区域性咸水层储层细化到岩石地层单位组，编制地层层序及储盖组合综合柱状图、储层顶底</w:t>
      </w:r>
      <w:r>
        <w:rPr>
          <w:spacing w:val="13"/>
        </w:rPr>
        <w:t xml:space="preserve"> </w:t>
      </w:r>
      <w:r>
        <w:rPr>
          <w:spacing w:val="7"/>
        </w:rPr>
        <w:t>面构造图(1:100000-1:250000);</w:t>
      </w:r>
    </w:p>
    <w:p>
      <w:pPr>
        <w:pStyle w:val="BodyText"/>
        <w:spacing w:before="28" w:line="218" w:lineRule="auto"/>
        <w:ind w:left="419"/>
      </w:pPr>
      <w:r>
        <w:rPr>
          <w:spacing w:val="-1"/>
        </w:rPr>
        <w:t>b)  预测评价咸水层储层岩性、孔隙度、渗透率条件；</w:t>
      </w:r>
    </w:p>
    <w:p>
      <w:pPr>
        <w:pStyle w:val="BodyText"/>
        <w:spacing w:before="10" w:line="212" w:lineRule="auto"/>
        <w:ind w:left="419"/>
      </w:pPr>
      <w:r>
        <w:rPr>
          <w:rFonts w:ascii="Times New Roman" w:eastAsia="Times New Roman" w:hAnsi="Times New Roman" w:cs="Times New Roman"/>
        </w:rPr>
        <w:t xml:space="preserve">c)     </w:t>
      </w:r>
      <w:r>
        <w:t>预测评价咸水层储层流体性质与水化学组</w:t>
      </w:r>
      <w:r>
        <w:rPr>
          <w:spacing w:val="-1"/>
        </w:rPr>
        <w:t>分，以及温度、压力特征。</w:t>
      </w:r>
    </w:p>
    <w:p>
      <w:pPr>
        <w:spacing w:before="157" w:line="221" w:lineRule="auto"/>
        <w:ind w:left="2"/>
        <w:outlineLvl w:val="0"/>
        <w:rPr>
          <w:rFonts w:ascii="SimHei" w:eastAsia="SimHei" w:hAnsi="SimHei" w:cs="SimHei"/>
          <w:sz w:val="21"/>
          <w:szCs w:val="21"/>
        </w:rPr>
      </w:pPr>
      <w:hyperlink r:id="rId58" w:history="1">
        <w:r>
          <w:rPr>
            <w:rFonts w:ascii="SimHei" w:eastAsia="SimHei" w:hAnsi="SimHei" w:cs="SimHei"/>
            <w:b/>
            <w:bCs/>
            <w:spacing w:val="-4"/>
            <w:sz w:val="21"/>
            <w:szCs w:val="21"/>
          </w:rPr>
          <w:t>9.1.2.2</w:t>
        </w:r>
      </w:hyperlink>
      <w:r>
        <w:rPr>
          <w:rFonts w:ascii="SimHei" w:eastAsia="SimHei" w:hAnsi="SimHei" w:cs="SimHei"/>
          <w:spacing w:val="107"/>
          <w:sz w:val="21"/>
          <w:szCs w:val="21"/>
        </w:rPr>
        <w:t xml:space="preserve"> </w:t>
      </w:r>
      <w:r>
        <w:rPr>
          <w:rFonts w:ascii="SimHei" w:eastAsia="SimHei" w:hAnsi="SimHei" w:cs="SimHei"/>
          <w:b/>
          <w:bCs/>
          <w:spacing w:val="-4"/>
          <w:sz w:val="21"/>
          <w:szCs w:val="21"/>
        </w:rPr>
        <w:t>盖层封闭性</w:t>
      </w:r>
    </w:p>
    <w:p>
      <w:pPr>
        <w:pStyle w:val="BodyText"/>
        <w:spacing w:before="142" w:line="218" w:lineRule="auto"/>
        <w:ind w:left="419"/>
      </w:pPr>
      <w:r>
        <w:rPr>
          <w:spacing w:val="-3"/>
        </w:rPr>
        <w:t>预测评价区域性盖层岩性、空间展布特征。</w:t>
      </w:r>
    </w:p>
    <w:p>
      <w:pPr>
        <w:spacing w:before="140" w:line="222" w:lineRule="auto"/>
        <w:ind w:left="2"/>
        <w:outlineLvl w:val="0"/>
        <w:rPr>
          <w:rFonts w:ascii="SimHei" w:eastAsia="SimHei" w:hAnsi="SimHei" w:cs="SimHei"/>
          <w:sz w:val="21"/>
          <w:szCs w:val="21"/>
        </w:rPr>
      </w:pPr>
      <w:hyperlink r:id="rId59" w:history="1">
        <w:r>
          <w:rPr>
            <w:rFonts w:ascii="SimHei" w:eastAsia="SimHei" w:hAnsi="SimHei" w:cs="SimHei"/>
            <w:b/>
            <w:bCs/>
            <w:spacing w:val="-4"/>
            <w:sz w:val="21"/>
            <w:szCs w:val="21"/>
          </w:rPr>
          <w:t>9.1.2.3</w:t>
        </w:r>
      </w:hyperlink>
      <w:r>
        <w:rPr>
          <w:rFonts w:ascii="SimHei" w:eastAsia="SimHei" w:hAnsi="SimHei" w:cs="SimHei"/>
          <w:spacing w:val="111"/>
          <w:sz w:val="21"/>
          <w:szCs w:val="21"/>
        </w:rPr>
        <w:t xml:space="preserve"> </w:t>
      </w:r>
      <w:r>
        <w:rPr>
          <w:rFonts w:ascii="SimHei" w:eastAsia="SimHei" w:hAnsi="SimHei" w:cs="SimHei"/>
          <w:b/>
          <w:bCs/>
          <w:spacing w:val="-4"/>
          <w:sz w:val="21"/>
          <w:szCs w:val="21"/>
        </w:rPr>
        <w:t>封存体地质稳定条件</w:t>
      </w: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0" w:history="1">
        <w:r>
          <w:rPr>
            <w:rFonts w:ascii="SimSun" w:eastAsia="SimSun" w:hAnsi="SimSun" w:cs="SimSun"/>
            <w:b/>
            <w:bCs/>
            <w:noProof w:val="0"/>
            <w:snapToGrid/>
            <w:color w:val="0000EE"/>
            <w:kern w:val="0"/>
            <w:sz w:val="30"/>
            <w:szCs w:val="30"/>
            <w:u w:val="single" w:color="0000EE"/>
          </w:rPr>
          <w:t>https://d.book118.com/306110110021010051</w:t>
        </w:r>
      </w:hyperlink>
    </w:p>
    <w:p>
      <w:pPr>
        <w:spacing w:before="140" w:line="222" w:lineRule="auto"/>
        <w:ind w:left="2"/>
        <w:outlineLvl w:val="0"/>
        <w:rPr>
          <w:rFonts w:ascii="SimHei" w:eastAsia="SimHei" w:hAnsi="SimHei" w:cs="SimHei"/>
          <w:sz w:val="21"/>
          <w:szCs w:val="21"/>
        </w:rPr>
      </w:pPr>
    </w:p>
    <w:sectPr>
      <w:headerReference w:type="default" r:id="rId61"/>
      <w:footerReference w:type="default" r:id="rId62"/>
      <w:pgSz w:w="11910" w:h="16840"/>
      <w:pgMar w:top="400" w:right="1365" w:bottom="1305" w:left="1110" w:header="0" w:footer="1156"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4"/>
        <w:szCs w:val="14"/>
      </w:rPr>
    </w:pPr>
    <w:r>
      <w:rPr>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4"/>
        <w:szCs w:val="14"/>
      </w:rPr>
    </w:pPr>
    <w:r>
      <w:rPr>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right="1"/>
      <w:jc w:val="right"/>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right="1"/>
      <w:jc w:val="right"/>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right="12"/>
      <w:jc w:val="right"/>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right="12"/>
      <w:jc w:val="right"/>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rPr>
        <w:sz w:val="14"/>
        <w:szCs w:val="14"/>
      </w:rPr>
    </w:pPr>
    <w:r>
      <w:rPr>
        <w:sz w:val="14"/>
        <w:szCs w:val="14"/>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rPr>
        <w:sz w:val="14"/>
        <w:szCs w:val="14"/>
      </w:rPr>
    </w:pPr>
    <w:r>
      <w:rPr>
        <w:sz w:val="14"/>
        <w:szCs w:val="1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308"/>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308"/>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rPr>
        <w:sz w:val="12"/>
        <w:szCs w:val="12"/>
      </w:rPr>
    </w:pPr>
    <w:r>
      <w:rPr>
        <w:sz w:val="12"/>
        <w:szCs w:val="12"/>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rPr>
        <w:sz w:val="12"/>
        <w:szCs w:val="12"/>
      </w:rPr>
    </w:pPr>
    <w:r>
      <w:rPr>
        <w:sz w:val="12"/>
        <w:szCs w:val="12"/>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260"/>
      <w:rPr>
        <w:sz w:val="15"/>
        <w:szCs w:val="15"/>
      </w:rPr>
    </w:pPr>
    <w:r>
      <w:rPr>
        <w:color w:val="C08F64"/>
        <w:sz w:val="15"/>
        <w:szCs w:val="15"/>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8373"/>
      <w:rPr>
        <w:rFonts w:ascii="SimHei" w:eastAsia="SimHei" w:hAnsi="SimHei" w:cs="SimHei"/>
        <w:sz w:val="18"/>
        <w:szCs w:val="18"/>
      </w:rPr>
    </w:pPr>
    <w:r>
      <w:rPr>
        <w:rFonts w:ascii="SimHei" w:eastAsia="SimHei" w:hAnsi="SimHei" w:cs="SimHei"/>
        <w:spacing w:val="-1"/>
        <w:sz w:val="18"/>
        <w:szCs w:val="18"/>
      </w:rPr>
      <w:t>DZ/T□32-00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8373"/>
      <w:rPr>
        <w:rFonts w:ascii="SimHei" w:eastAsia="SimHei" w:hAnsi="SimHei" w:cs="SimHei"/>
        <w:sz w:val="18"/>
        <w:szCs w:val="18"/>
      </w:rPr>
    </w:pPr>
    <w:r>
      <w:rPr>
        <w:rFonts w:ascii="SimHei" w:eastAsia="SimHei" w:hAnsi="SimHei" w:cs="SimHei"/>
        <w:spacing w:val="-1"/>
        <w:sz w:val="18"/>
        <w:szCs w:val="18"/>
      </w:rPr>
      <w:t>DZ/T□32-00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yperlink" Target="5.2.1.1" TargetMode="External" /><Relationship Id="rId12" Type="http://schemas.openxmlformats.org/officeDocument/2006/relationships/hyperlink" Target="5.2.1.2" TargetMode="External" /><Relationship Id="rId13" Type="http://schemas.openxmlformats.org/officeDocument/2006/relationships/hyperlink" Target="5.2.1.3" TargetMode="External" /><Relationship Id="rId14" Type="http://schemas.openxmlformats.org/officeDocument/2006/relationships/hyperlink" Target="5.2.1.4" TargetMode="External" /><Relationship Id="rId15" Type="http://schemas.openxmlformats.org/officeDocument/2006/relationships/header" Target="header1.xml" /><Relationship Id="rId16" Type="http://schemas.openxmlformats.org/officeDocument/2006/relationships/footer" Target="footer5.xml" /><Relationship Id="rId17" Type="http://schemas.openxmlformats.org/officeDocument/2006/relationships/header" Target="header2.xml" /><Relationship Id="rId18" Type="http://schemas.openxmlformats.org/officeDocument/2006/relationships/footer" Target="footer6.xml" /><Relationship Id="rId19" Type="http://schemas.openxmlformats.org/officeDocument/2006/relationships/hyperlink" Target="5.3.1.1" TargetMode="External" /><Relationship Id="rId2" Type="http://schemas.openxmlformats.org/officeDocument/2006/relationships/webSettings" Target="webSettings.xml" /><Relationship Id="rId20" Type="http://schemas.openxmlformats.org/officeDocument/2006/relationships/hyperlink" Target="5.3.1.2" TargetMode="External" /><Relationship Id="rId21" Type="http://schemas.openxmlformats.org/officeDocument/2006/relationships/hyperlink" Target="5.3.1.3" TargetMode="External" /><Relationship Id="rId22" Type="http://schemas.openxmlformats.org/officeDocument/2006/relationships/hyperlink" Target="5.3.1.4" TargetMode="External" /><Relationship Id="rId23" Type="http://schemas.openxmlformats.org/officeDocument/2006/relationships/hyperlink" Target="5.3.1.5" TargetMode="External" /><Relationship Id="rId24" Type="http://schemas.openxmlformats.org/officeDocument/2006/relationships/hyperlink" Target="5.4.1.1" TargetMode="External" /><Relationship Id="rId25" Type="http://schemas.openxmlformats.org/officeDocument/2006/relationships/header" Target="header3.xml" /><Relationship Id="rId26" Type="http://schemas.openxmlformats.org/officeDocument/2006/relationships/footer" Target="footer7.xml" /><Relationship Id="rId27" Type="http://schemas.openxmlformats.org/officeDocument/2006/relationships/hyperlink" Target="5.4.1.2" TargetMode="External" /><Relationship Id="rId28" Type="http://schemas.openxmlformats.org/officeDocument/2006/relationships/hyperlink" Target="5.4.1.3" TargetMode="External" /><Relationship Id="rId29" Type="http://schemas.openxmlformats.org/officeDocument/2006/relationships/hyperlink" Target="5.4.1.4" TargetMode="External" /><Relationship Id="rId3" Type="http://schemas.openxmlformats.org/officeDocument/2006/relationships/fontTable" Target="fontTable.xml" /><Relationship Id="rId30" Type="http://schemas.openxmlformats.org/officeDocument/2006/relationships/header" Target="header4.xml" /><Relationship Id="rId31" Type="http://schemas.openxmlformats.org/officeDocument/2006/relationships/footer" Target="footer8.xml" /><Relationship Id="rId32" Type="http://schemas.openxmlformats.org/officeDocument/2006/relationships/hyperlink" Target="5.4.1.5" TargetMode="External" /><Relationship Id="rId33" Type="http://schemas.openxmlformats.org/officeDocument/2006/relationships/header" Target="header5.xml" /><Relationship Id="rId34" Type="http://schemas.openxmlformats.org/officeDocument/2006/relationships/footer" Target="footer9.xml" /><Relationship Id="rId35" Type="http://schemas.openxmlformats.org/officeDocument/2006/relationships/header" Target="header6.xml" /><Relationship Id="rId36" Type="http://schemas.openxmlformats.org/officeDocument/2006/relationships/footer" Target="footer10.xml" /><Relationship Id="rId37" Type="http://schemas.openxmlformats.org/officeDocument/2006/relationships/image" Target="media/image4.png" /><Relationship Id="rId38" Type="http://schemas.openxmlformats.org/officeDocument/2006/relationships/image" Target="media/image5.png" /><Relationship Id="rId39" Type="http://schemas.openxmlformats.org/officeDocument/2006/relationships/header" Target="header7.xml" /><Relationship Id="rId4" Type="http://schemas.openxmlformats.org/officeDocument/2006/relationships/footer" Target="footer1.xml" /><Relationship Id="rId40" Type="http://schemas.openxmlformats.org/officeDocument/2006/relationships/footer" Target="footer11.xml" /><Relationship Id="rId41" Type="http://schemas.openxmlformats.org/officeDocument/2006/relationships/image" Target="media/image6.png" /><Relationship Id="rId42" Type="http://schemas.openxmlformats.org/officeDocument/2006/relationships/header" Target="header8.xml" /><Relationship Id="rId43" Type="http://schemas.openxmlformats.org/officeDocument/2006/relationships/footer" Target="footer12.xml" /><Relationship Id="rId44" Type="http://schemas.openxmlformats.org/officeDocument/2006/relationships/hyperlink" Target="8.2.1.1" TargetMode="External" /><Relationship Id="rId45" Type="http://schemas.openxmlformats.org/officeDocument/2006/relationships/hyperlink" Target="8.2.1.2" TargetMode="External" /><Relationship Id="rId46" Type="http://schemas.openxmlformats.org/officeDocument/2006/relationships/hyperlink" Target="8.2.1.3" TargetMode="External" /><Relationship Id="rId47" Type="http://schemas.openxmlformats.org/officeDocument/2006/relationships/header" Target="header9.xml" /><Relationship Id="rId48" Type="http://schemas.openxmlformats.org/officeDocument/2006/relationships/footer" Target="footer13.xml" /><Relationship Id="rId49" Type="http://schemas.openxmlformats.org/officeDocument/2006/relationships/hyperlink" Target="8.2.2.1" TargetMode="External" /><Relationship Id="rId5" Type="http://schemas.openxmlformats.org/officeDocument/2006/relationships/footer" Target="footer2.xml" /><Relationship Id="rId50" Type="http://schemas.openxmlformats.org/officeDocument/2006/relationships/hyperlink" Target="8.2.2.2" TargetMode="External" /><Relationship Id="rId51" Type="http://schemas.openxmlformats.org/officeDocument/2006/relationships/header" Target="header10.xml" /><Relationship Id="rId52" Type="http://schemas.openxmlformats.org/officeDocument/2006/relationships/footer" Target="footer14.xml" /><Relationship Id="rId53" Type="http://schemas.openxmlformats.org/officeDocument/2006/relationships/hyperlink" Target="8.5.1.1" TargetMode="External" /><Relationship Id="rId54" Type="http://schemas.openxmlformats.org/officeDocument/2006/relationships/hyperlink" Target="8.5.1.2" TargetMode="External" /><Relationship Id="rId55" Type="http://schemas.openxmlformats.org/officeDocument/2006/relationships/hyperlink" Target="8.5.2.1" TargetMode="External" /><Relationship Id="rId56" Type="http://schemas.openxmlformats.org/officeDocument/2006/relationships/hyperlink" Target="8.5.2.2" TargetMode="External" /><Relationship Id="rId57" Type="http://schemas.openxmlformats.org/officeDocument/2006/relationships/hyperlink" Target="9.1.2.1" TargetMode="External" /><Relationship Id="rId58" Type="http://schemas.openxmlformats.org/officeDocument/2006/relationships/hyperlink" Target="9.1.2.2" TargetMode="External" /><Relationship Id="rId59" Type="http://schemas.openxmlformats.org/officeDocument/2006/relationships/hyperlink" Target="9.1.2.3" TargetMode="External" /><Relationship Id="rId6" Type="http://schemas.openxmlformats.org/officeDocument/2006/relationships/footer" Target="footer3.xml" /><Relationship Id="rId60" Type="http://schemas.openxmlformats.org/officeDocument/2006/relationships/hyperlink" Target="https://d.book118.com/306110110021010051" TargetMode="External" /><Relationship Id="rId61" Type="http://schemas.openxmlformats.org/officeDocument/2006/relationships/header" Target="header11.xml" /><Relationship Id="rId62" Type="http://schemas.openxmlformats.org/officeDocument/2006/relationships/footer" Target="footer15.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2024-02-20T22:27:31Z</vt:filetime>
  </property>
  <property fmtid="{D5CDD505-2E9C-101B-9397-08002B2CF9AE}" pid="3" name="CRO">
    <vt:lpwstr>wqlLaW5nc29mdCBQREYgdG8gV1BTIDkw</vt:lpwstr>
  </property>
  <property fmtid="{D5CDD505-2E9C-101B-9397-08002B2CF9AE}" pid="4" name="UsrData">
    <vt:lpwstr>65d4b6cd2af94e001ffcb25cwl</vt:lpwstr>
  </property>
</Properties>
</file>