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11137900</wp:posOffset>
            </wp:positionH>
            <wp:positionV relativeFrom="topMargin">
              <wp:posOffset>11861800</wp:posOffset>
            </wp:positionV>
            <wp:extent cx="393700" cy="495300"/>
            <wp:effectExtent l="0" t="0" r="6350" b="0"/>
            <wp:wrapNone/>
            <wp:docPr id="100022" name="图片 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图片 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2023年秋学期期末学情调查九年级语文试题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（考试时间：150分钟满分：150分）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请注意：所有试题的答案均填写在答题卡上，答案写在试卷上无效。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一、积累与运用（共24分）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color w:val="auto"/>
        </w:rPr>
        <w:t>阅读下面的文字，完成小题。</w:t>
      </w:r>
    </w:p>
    <w:p>
      <w:pPr>
        <w:spacing w:line="360" w:lineRule="auto"/>
        <w:ind w:firstLine="420"/>
        <w:jc w:val="both"/>
      </w:pPr>
      <w:r>
        <w:rPr>
          <w:rFonts w:ascii="楷体" w:eastAsia="楷体" w:hAnsi="楷体" w:cs="楷体"/>
          <w:color w:val="auto"/>
        </w:rPr>
        <w:t>学贵有疑。</w:t>
      </w:r>
      <w:r>
        <w:rPr>
          <w:rFonts w:ascii="楷体" w:eastAsia="楷体" w:hAnsi="楷体" w:cs="楷体"/>
          <w:color w:val="auto"/>
          <w:u w:val="single"/>
        </w:rPr>
        <w:t>怀疑不仅是消极方面辨伪去</w:t>
      </w:r>
      <w:r>
        <w:rPr>
          <w:rFonts w:ascii="Times New Roman" w:eastAsia="Times New Roman" w:hAnsi="Times New Roman" w:cs="Times New Roman"/>
          <w:color w:val="auto"/>
          <w:u w:val="single"/>
        </w:rPr>
        <w:t>wàng</w:t>
      </w:r>
      <w:r>
        <w:rPr>
          <w:rFonts w:ascii="楷体" w:eastAsia="楷体" w:hAnsi="楷体" w:cs="楷体"/>
          <w:color w:val="auto"/>
          <w:u w:val="single"/>
        </w:rPr>
        <w:t>的必须步骤，也是积极方面建设新学说、启迪新发明的基本条件。</w:t>
      </w:r>
      <w:r>
        <w:rPr>
          <w:rFonts w:ascii="楷体" w:eastAsia="楷体" w:hAnsi="楷体" w:cs="楷体"/>
          <w:color w:val="auto"/>
        </w:rPr>
        <w:t>在孜孜不倦</w:t>
      </w:r>
      <w:r>
        <w:rPr>
          <w:rFonts w:ascii="Times New Roman" w:eastAsia="Times New Roman" w:hAnsi="Times New Roman" w:cs="Times New Roman"/>
          <w:color w:val="auto"/>
        </w:rPr>
        <w:t>jí</w:t>
      </w:r>
      <w:r>
        <w:rPr>
          <w:rFonts w:ascii="楷体" w:eastAsia="楷体" w:hAnsi="楷体" w:cs="楷体"/>
          <w:color w:val="auto"/>
        </w:rPr>
        <w:t>取知识的同时，</w:t>
      </w:r>
      <w:r>
        <w:rPr>
          <w:rFonts w:ascii="楷体" w:eastAsia="楷体" w:hAnsi="楷体" w:cs="楷体"/>
          <w:color w:val="auto"/>
          <w:u w:val="single"/>
        </w:rPr>
        <w:t>我们不能一味</w:t>
      </w:r>
      <w:r>
        <w:rPr>
          <w:rFonts w:ascii="Times New Roman" w:eastAsia="Times New Roman" w:hAnsi="Times New Roman" w:cs="Times New Roman"/>
          <w:color w:val="auto"/>
          <w:u w:val="single"/>
        </w:rPr>
        <w:t>mò</w:t>
      </w:r>
      <w:r>
        <w:rPr>
          <w:rFonts w:ascii="楷体" w:eastAsia="楷体" w:hAnsi="楷体" w:cs="楷体"/>
          <w:color w:val="auto"/>
          <w:u w:val="single"/>
        </w:rPr>
        <w:t>守前人的旧说</w:t>
      </w:r>
      <w:r>
        <w:rPr>
          <w:rFonts w:ascii="楷体" w:eastAsia="楷体" w:hAnsi="楷体" w:cs="楷体"/>
          <w:color w:val="auto"/>
        </w:rPr>
        <w:t>，要敢于怀疑，勇于发现，乐于创造。</w:t>
      </w:r>
    </w:p>
    <w:p>
      <w:pPr>
        <w:spacing w:line="360" w:lineRule="auto"/>
        <w:ind w:firstLine="420"/>
        <w:jc w:val="both"/>
      </w:pPr>
      <w:r>
        <w:rPr>
          <w:rFonts w:ascii="楷体" w:eastAsia="楷体" w:hAnsi="楷体" w:cs="楷体"/>
          <w:color w:val="auto"/>
        </w:rPr>
        <w:t>有人说：</w:t>
      </w:r>
      <w:r>
        <w:rPr>
          <w:rFonts w:ascii="宋体" w:eastAsia="宋体" w:hAnsi="宋体" w:cs="宋体"/>
          <w:color w:val="auto"/>
        </w:rPr>
        <w:t>“</w:t>
      </w:r>
      <w:r>
        <w:rPr>
          <w:rFonts w:ascii="楷体" w:eastAsia="楷体" w:hAnsi="楷体" w:cs="楷体"/>
          <w:color w:val="auto"/>
        </w:rPr>
        <w:t>我太无能，不能创造【甲】但是鲁钝的曾参，传了孔子的道统【乙】不识字的慧能，传了黄梅的教义。我们岂可以自</w:t>
      </w:r>
      <w:r>
        <w:rPr>
          <w:rFonts w:ascii="Times New Roman" w:eastAsia="Times New Roman" w:hAnsi="Times New Roman" w:cs="Times New Roman"/>
          <w:color w:val="auto"/>
        </w:rPr>
        <w:t>bào</w:t>
      </w:r>
      <w:r>
        <w:rPr>
          <w:rFonts w:ascii="楷体" w:eastAsia="楷体" w:hAnsi="楷体" w:cs="楷体"/>
          <w:color w:val="auto"/>
        </w:rPr>
        <w:t>自弃呀！可见无能只是懒惰者的遁词。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根据拼音在田字格内写出相应的汉字。</w:t>
      </w:r>
    </w:p>
    <w:p>
      <w:pPr>
        <w:spacing w:line="360" w:lineRule="auto"/>
        <w:jc w:val="both"/>
      </w:pPr>
      <w:r>
        <w:drawing>
          <wp:inline distT="0" distB="0" distL="114300" distR="114300">
            <wp:extent cx="1876425" cy="476250"/>
            <wp:effectExtent l="0" t="0" r="9525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color w:val="auto"/>
        </w:rPr>
        <w:t xml:space="preserve">2. </w:t>
      </w:r>
      <w:r>
        <w:rPr>
          <w:rFonts w:ascii="宋体" w:eastAsia="宋体" w:hAnsi="宋体" w:cs="宋体"/>
          <w:color w:val="auto"/>
        </w:rPr>
        <w:t>填入【甲】【乙】两处的标点，最恰当的一项是（</w:t>
      </w:r>
      <w:r>
        <w:rPr>
          <w:rFonts w:ascii="Times New Roman" w:eastAsia="Times New Roman" w:hAnsi="Times New Roman" w:cs="Times New Roman"/>
          <w:color w:val="auto"/>
        </w:rPr>
        <w:t xml:space="preserve">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rPr>
          <w:rFonts w:ascii="宋体" w:eastAsia="宋体" w:hAnsi="宋体" w:cs="宋体"/>
          <w:color w:val="auto"/>
        </w:rPr>
        <w:t>【甲】”。【乙】；</w:t>
      </w:r>
      <w:r>
        <w:tab/>
      </w:r>
      <w:r>
        <w:t xml:space="preserve">B. </w:t>
      </w:r>
      <w:r>
        <w:rPr>
          <w:rFonts w:ascii="宋体" w:eastAsia="宋体" w:hAnsi="宋体" w:cs="宋体"/>
          <w:color w:val="auto"/>
        </w:rPr>
        <w:t>【甲】”。【乙】，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t xml:space="preserve">C. </w:t>
      </w:r>
      <w:r>
        <w:rPr>
          <w:rFonts w:ascii="宋体" w:eastAsia="宋体" w:hAnsi="宋体" w:cs="宋体"/>
          <w:color w:val="auto"/>
        </w:rPr>
        <w:t>【甲】。”【乙】，</w:t>
      </w:r>
      <w:r>
        <w:tab/>
      </w:r>
      <w:r>
        <w:t xml:space="preserve">D. </w:t>
      </w:r>
      <w:r>
        <w:rPr>
          <w:rFonts w:ascii="宋体" w:eastAsia="宋体" w:hAnsi="宋体" w:cs="宋体"/>
          <w:color w:val="auto"/>
        </w:rPr>
        <w:t>【甲】。”【乙】；</w:t>
      </w:r>
    </w:p>
    <w:p>
      <w:pPr>
        <w:spacing w:line="360" w:lineRule="auto"/>
        <w:jc w:val="left"/>
      </w:pPr>
      <w:r>
        <w:rPr>
          <w:color w:val="auto"/>
        </w:rPr>
        <w:t xml:space="preserve">3. </w:t>
      </w:r>
      <w:r>
        <w:rPr>
          <w:rFonts w:ascii="宋体" w:eastAsia="宋体" w:hAnsi="宋体" w:cs="宋体"/>
          <w:color w:val="auto"/>
        </w:rPr>
        <w:t>下列说法正确一项是（</w:t>
      </w:r>
      <w:r>
        <w:rPr>
          <w:rFonts w:ascii="Times New Roman" w:eastAsia="Times New Roman" w:hAnsi="Times New Roman" w:cs="Times New Roman"/>
          <w:color w:val="auto"/>
        </w:rPr>
        <w:t xml:space="preserve">   </w:t>
      </w:r>
      <w:r>
        <w:rPr>
          <w:rFonts w:ascii="宋体" w:eastAsia="宋体" w:hAnsi="宋体" w:cs="宋体"/>
          <w:color w:val="auto"/>
        </w:rPr>
        <w:t>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rPr>
          <w:rFonts w:ascii="宋体" w:eastAsia="宋体" w:hAnsi="宋体" w:cs="宋体"/>
          <w:color w:val="auto"/>
        </w:rPr>
        <w:t>“学贵有疑”“基本条件”“</w:t>
      </w:r>
      <w:r>
        <w:rPr>
          <w:rFonts w:ascii="Times New Roman" w:eastAsia="Times New Roman" w:hAnsi="Times New Roman" w:cs="Times New Roman"/>
          <w:color w:val="auto"/>
        </w:rPr>
        <w:t>jí</w:t>
      </w:r>
      <w:r>
        <w:rPr>
          <w:rFonts w:ascii="宋体" w:eastAsia="宋体" w:hAnsi="宋体" w:cs="宋体"/>
          <w:color w:val="auto"/>
        </w:rPr>
        <w:t>取知识”“自</w:t>
      </w:r>
      <w:r>
        <w:rPr>
          <w:rFonts w:ascii="Times New Roman" w:eastAsia="Times New Roman" w:hAnsi="Times New Roman" w:cs="Times New Roman"/>
          <w:color w:val="auto"/>
        </w:rPr>
        <w:t>bào</w:t>
      </w:r>
      <w:r>
        <w:rPr>
          <w:rFonts w:ascii="宋体" w:eastAsia="宋体" w:hAnsi="宋体" w:cs="宋体"/>
          <w:color w:val="auto"/>
        </w:rPr>
        <w:t>自弃”短语类型各不相同。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B. </w:t>
      </w:r>
      <w:r>
        <w:rPr>
          <w:rFonts w:ascii="宋体" w:eastAsia="宋体" w:hAnsi="宋体" w:cs="宋体"/>
          <w:color w:val="auto"/>
        </w:rPr>
        <w:t>文段中画波浪线的句子是并列复句。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C. </w:t>
      </w:r>
      <w:r>
        <w:rPr>
          <w:rFonts w:ascii="宋体" w:eastAsia="宋体" w:hAnsi="宋体" w:cs="宋体"/>
          <w:color w:val="auto"/>
        </w:rPr>
        <w:t>文段画线句的主干是：我们</w:t>
      </w:r>
      <w:r>
        <w:rPr>
          <w:rFonts w:ascii="Times New Roman" w:eastAsia="Times New Roman" w:hAnsi="Times New Roman" w:cs="Times New Roman"/>
          <w:color w:val="auto"/>
        </w:rPr>
        <w:t>mò</w:t>
      </w:r>
      <w:r>
        <w:rPr>
          <w:rFonts w:ascii="宋体" w:eastAsia="宋体" w:hAnsi="宋体" w:cs="宋体"/>
          <w:color w:val="auto"/>
        </w:rPr>
        <w:t>守旧说。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t xml:space="preserve">D. </w:t>
      </w:r>
      <w:r>
        <w:rPr>
          <w:rFonts w:ascii="宋体" w:eastAsia="宋体" w:hAnsi="宋体" w:cs="宋体"/>
          <w:color w:val="auto"/>
        </w:rPr>
        <w:t>“鲁钝”是“愚笨，不敏锐”的意思，这里是谦辞。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1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妄汲墨暴</w:t>
      </w:r>
      <w:r>
        <w:rPr>
          <w:color w:val="000000"/>
        </w:rPr>
        <w:t xml:space="preserve">    2. D    3. 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【1题详解】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本题考查字形。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辨伪去妄：biàn wěi qù wàng，意思是要善于辨别，分清真假。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汲取：jí qǔ，汉语词语，意思是吸取、吸收。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墨守：mò shǒu，汉语词语，意思是固执拘泥，不会变通。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自暴自弃：zì bào zì qì，自己甘心落后，不求上进。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【2题详解】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>本题考查标点符号。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【甲】“我太无能，不能创造”为完整的一句话，此处为句号和后引号；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【乙】“但是鲁钝的曾参，传了孔子的道统”与“不识字的慧能，传了黄梅的教义”为并列关系，中间用分号</w:t>
      </w:r>
      <w:r>
        <w:rPr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本题考查基础知识。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B.</w:t>
      </w:r>
      <w:r>
        <w:rPr>
          <w:rFonts w:ascii="宋体" w:eastAsia="宋体" w:hAnsi="宋体" w:cs="宋体"/>
          <w:color w:val="000000"/>
        </w:rPr>
        <w:t>文段中画波浪线的句子是递进复句；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C.</w:t>
      </w:r>
      <w:r>
        <w:rPr>
          <w:rFonts w:ascii="宋体" w:eastAsia="宋体" w:hAnsi="宋体" w:cs="宋体"/>
          <w:color w:val="000000"/>
        </w:rPr>
        <w:t>文段画线句的主干是：我们不能</w:t>
      </w:r>
      <w:r>
        <w:rPr>
          <w:rFonts w:ascii="Times New Roman" w:eastAsia="Times New Roman" w:hAnsi="Times New Roman" w:cs="Times New Roman"/>
          <w:color w:val="000000"/>
        </w:rPr>
        <w:t>mò</w:t>
      </w:r>
      <w:r>
        <w:rPr>
          <w:rFonts w:ascii="宋体" w:eastAsia="宋体" w:hAnsi="宋体" w:cs="宋体"/>
          <w:color w:val="000000"/>
        </w:rPr>
        <w:t>守旧说；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D.句中</w:t>
      </w:r>
      <w:r>
        <w:rPr>
          <w:rFonts w:ascii="宋体" w:eastAsia="宋体" w:hAnsi="宋体" w:cs="宋体"/>
          <w:color w:val="000000"/>
        </w:rPr>
        <w:t>“鲁钝”形容岑参，不是谦辞；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故选A。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根据提示填写课文原句。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驻足山水，赏自然之美。吟“浮光跃金，①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”，享洞庭月夜之美；咏“②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，佳木秀而繁阴”，感琅琊春夏之秀；诵“但愿人长久，③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”，表深切思念及美好祝愿。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泛舟诗文，品“舟”中寄语。张岱“莫说相公痴，④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”抒超凡脱俗的孤怀雅兴（《湖心亭看雪》）；刘禹锡“</w:t>
      </w:r>
      <w:r>
        <w:rPr>
          <w:rFonts w:ascii="宋体" w:eastAsia="宋体" w:hAnsi="宋体" w:cs="宋体"/>
          <w:color w:val="000000"/>
          <w:u w:val="single"/>
        </w:rPr>
        <w:t>⑤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”蕴乐观进取的人生态度（《酬乐天扬州初逢席上见赠》）；李白“⑥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”借古人典故，表渴得明主赏识的殷切期盼（《行路难》）。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静影沉璧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野芳发而幽香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千里共婵娟</w:t>
      </w:r>
      <w:r>
        <w:rPr>
          <w:color w:val="000000"/>
        </w:rPr>
        <w:t xml:space="preserve">    ④. </w:t>
      </w:r>
      <w:r>
        <w:rPr>
          <w:rFonts w:ascii="宋体" w:eastAsia="宋体" w:hAnsi="宋体" w:cs="宋体"/>
          <w:color w:val="000000"/>
        </w:rPr>
        <w:t>更有痴似相公者</w:t>
      </w:r>
      <w:r>
        <w:rPr>
          <w:color w:val="000000"/>
        </w:rPr>
        <w:t xml:space="preserve">    ⑤. </w:t>
      </w:r>
      <w:r>
        <w:rPr>
          <w:rFonts w:ascii="宋体" w:eastAsia="宋体" w:hAnsi="宋体" w:cs="宋体"/>
          <w:color w:val="000000"/>
        </w:rPr>
        <w:t>沉舟侧畔千帆过</w:t>
      </w:r>
      <w:r>
        <w:rPr>
          <w:color w:val="000000"/>
        </w:rPr>
        <w:t xml:space="preserve">    ⑥. </w:t>
      </w:r>
      <w:r>
        <w:rPr>
          <w:rFonts w:ascii="宋体" w:eastAsia="宋体" w:hAnsi="宋体" w:cs="宋体"/>
          <w:color w:val="000000"/>
        </w:rPr>
        <w:t>病树前头万木春</w:t>
      </w:r>
      <w:r>
        <w:rPr>
          <w:color w:val="000000"/>
        </w:rPr>
        <w:t xml:space="preserve">    ⑦. </w:t>
      </w:r>
      <w:r>
        <w:rPr>
          <w:rFonts w:ascii="宋体" w:eastAsia="宋体" w:hAnsi="宋体" w:cs="宋体"/>
          <w:color w:val="000000"/>
        </w:rPr>
        <w:t>闲来垂钓碧溪上</w:t>
      </w:r>
      <w:r>
        <w:rPr>
          <w:color w:val="000000"/>
        </w:rPr>
        <w:t xml:space="preserve">    ⑧. </w:t>
      </w:r>
      <w:r>
        <w:rPr>
          <w:rFonts w:ascii="宋体" w:eastAsia="宋体" w:hAnsi="宋体" w:cs="宋体"/>
          <w:color w:val="000000"/>
        </w:rPr>
        <w:t>忽复乘舟梦日边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本题考查名句默写。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默写题作答时，一是要透彻理解诗文的内容；二是要认真审题，找出符合题意的诗文句子；三是答题内容要准确，做到不添字、不漏字、不写错字。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本题中的“</w:t>
      </w:r>
      <w:r>
        <w:rPr>
          <w:color w:val="000000"/>
        </w:rPr>
        <w:t>璧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幽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婵娟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痴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侧畔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病树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垂钓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碧溪</w:t>
      </w:r>
      <w:r>
        <w:rPr>
          <w:rFonts w:ascii="宋体" w:eastAsia="宋体" w:hAnsi="宋体" w:cs="宋体"/>
          <w:color w:val="000000"/>
        </w:rPr>
        <w:t>、</w:t>
      </w:r>
      <w:r>
        <w:rPr>
          <w:color w:val="000000"/>
        </w:rPr>
        <w:t>复</w:t>
      </w:r>
      <w:r>
        <w:rPr>
          <w:rFonts w:ascii="宋体" w:eastAsia="宋体" w:hAnsi="宋体" w:cs="宋体"/>
          <w:color w:val="000000"/>
        </w:rPr>
        <w:t>”等字词容易写错。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综合性学习活动。（8分）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九年级开展课本剧大赛，请你积极参与其中。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班级准备参演一个课本剧，请完善编排流程。</w:t>
      </w:r>
    </w:p>
    <w:p>
      <w:pPr>
        <w:spacing w:line="360" w:lineRule="auto"/>
        <w:jc w:val="both"/>
        <w:textAlignment w:val="center"/>
        <w:rPr>
          <w:color w:val="000000"/>
        </w:rPr>
      </w:pP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第一步：确定篇目，</w:t>
      </w:r>
      <w:r>
        <w:rPr>
          <w:color w:val="000000"/>
        </w:rPr>
        <w:t>_________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第二步：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，认真排练</w:t>
      </w:r>
    </w:p>
    <w:p>
      <w:pPr>
        <w:spacing w:line="360" w:lineRule="auto"/>
        <w:jc w:val="both"/>
        <w:textAlignment w:val="center"/>
        <w:rPr>
          <w:color w:val="000000"/>
        </w:rPr>
      </w:pP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第三步：准备服装、道具和布景，进行彩排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小姜同学为班级课本剧《范进中举》选择了六张背景图片，请按照小说情节发展的顺序，选出正确的一项（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238750" cy="2619375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（1）（2）（3）（4）（5）（6）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（2）（6）（3）（4）（5）（1）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（3）（4）（5）（6）（1）（2）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（5）（6）（3）（4）（1）（2）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小姜对图片（2）这一情节中胡屠户的形象进行了如下舞台表演设计，请找出不合理的一处，并作具体分析。</w:t>
      </w:r>
    </w:p>
    <w:tbl>
      <w:tblPr>
        <w:tblStyle w:val="TableNormal"/>
        <w:tblW w:w="538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10"/>
        <w:gridCol w:w="4275"/>
      </w:tblGrid>
      <w:tr>
        <w:tblPrEx>
          <w:tblW w:w="538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形象设计</w:t>
            </w:r>
          </w:p>
        </w:tc>
        <w:tc>
          <w:tcPr>
            <w:tcW w:w="4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穿着油晃晃的短衫，脸上堆笑，不再是平日的凶恶样子。</w:t>
            </w:r>
          </w:p>
        </w:tc>
      </w:tr>
      <w:tr>
        <w:tblPrEx>
          <w:tblW w:w="538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动作设计</w:t>
            </w:r>
          </w:p>
        </w:tc>
        <w:tc>
          <w:tcPr>
            <w:tcW w:w="4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屠户连忙摇手推托。</w:t>
            </w:r>
          </w:p>
        </w:tc>
      </w:tr>
      <w:tr>
        <w:tblPrEx>
          <w:tblW w:w="538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语言设计</w:t>
            </w:r>
          </w:p>
        </w:tc>
        <w:tc>
          <w:tcPr>
            <w:tcW w:w="4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“这个，你且收着。我原是贺你的，怎好又拿了回去？”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（4）</w:t>
      </w:r>
      <w:r>
        <w:rPr>
          <w:rFonts w:ascii="宋体" w:eastAsia="宋体" w:hAnsi="宋体" w:cs="宋体"/>
          <w:color w:val="000000"/>
        </w:rPr>
        <w:t>你被选为课本剧大赛的主持人，请结合课文内容，在《范进中举》《我的叔叔于勒》两个剧目表演之间写一段串词。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5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100023" name="图片 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 ①. </w:t>
      </w:r>
      <w:r>
        <w:rPr>
          <w:rFonts w:ascii="宋体" w:eastAsia="宋体" w:hAnsi="宋体" w:cs="宋体"/>
          <w:color w:val="000000"/>
        </w:rPr>
        <w:t>编写剧本；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角色分工</w:t>
      </w:r>
      <w:r>
        <w:rPr>
          <w:color w:val="000000"/>
        </w:rPr>
        <w:t xml:space="preserve">    6. D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动作设计“连忙摇手推脱”不合理，屠户是见财心喜，假意推托。原文“屠户把银子攥在手里紧紧的，把拳头舒过来”更细腻地写出了胡屠户市侩虚伪、嗜钱如命的嘴脸。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示例：十年寒窗无人问，一朝闻名天下知。范进中举，喜极而疯，是喜剧，还是悲剧？令人深思。《我的叔叔于勒》，十年期盼，一朝相逢，又会上演一场怎样的人间悲剧？</w:t>
      </w:r>
    </w:p>
    <w:p>
      <w:pPr>
        <w:spacing w:line="360" w:lineRule="auto"/>
        <w:textAlignment w:val="center"/>
        <w:rPr>
          <w:color w:val="000000"/>
        </w:rPr>
        <w:sectPr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本题考查活动设计。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题干要求为课本剧表演完善编排流程。课本剧就是把课文中叙事性的文章改编为戏剧形式，以戏剧语言来表达文章主题。表演课本剧首先要选合适的课文编写成剧本，然后组队分角色、熟背台词、准备道具等，而后进行排练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具体流程：第一步：首先确定好课本剧，从学过的课文中选择最感兴趣的故事来表演，而且所选的文章要有故事情节和教育意义。选剧时要注意选择故事性强，情节波澜起伏，人物不多，性格鲜明突出，时空较集中，矛盾冲突尖锐，主要通过对话刻画人物的</w:t>
      </w:r>
      <w:r>
        <w:rPr>
          <w:color w:val="000000"/>
        </w:rPr>
        <w:t>题材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第二步：对故事进行改编。我们要根据表演需要对故事内容进行改编。改编不能脱离课文主题。设计人物的台词、动作、表情，要符合人物的身份和性格，让表演的舞台人物更加生动形象。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第三步：角色分配：根据剧本将角色分配给不同的学生，确定每个角色的演员，让他们对自己的角色进行深入了解，并在表演中充分发挥角色的特点。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第四步：排练。根据剧本进行排练，分别练习台词、动作和表情等，要注意人物形象的刻画和语言表达的自然流畅，通过多次的反复排练，让表演更加精彩。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第五步：准备服装、道具和布景，进行彩排。在表演中适当的使用舞蹈、美术等设计元素，比如舞台布置、服装、道具、音乐等，能够更好地展现故事的情节和气氛，让表演更加生动形象。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结合以上分析，可知：第一空，对故事进行改编；第二空，角色分配。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本题考查理解故事情节。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合原文“范进因没有盘费，走去同丈人商议，被胡屠户一口啐在脸上，骂了一个狗血喷头，道：‘不要失了你的时了！你自己只觉得中了一个相公，就‘癞蛤蟆想吃起天鹅肉’来！我听见人说，就是中相公时，也不是你的文章，还是宗师看见你老，不过意，舍与你的。如今痴心就想中起老爷来！这些中老爷的都是天上的‘文曲星’！你不看见城里张府上那些老爷，都有万贯家私，一个个方面大耳？像你这尖嘴猴腮，也该撒抛尿自己照照！不三不四，就想天鹅屁吃！趁早收了这心，明年在我们行事里替你寻一个馆，每年寻几两银子，养活你那老不死的老娘和你老婆是正经！你问我借盘缠，我一天杀一个猪还赚不得钱把银子，都把与你去丢在水里，叫我一家老小嗑西北风！’一顿夹七夹八，骂的范进摸门不着”可知：范进为去省城参加乡试向胡屠户借盘缠，反遭辱骂。故选（5）为首幅图片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27"/>
          <w:headerReference w:type="default" r:id="rId28"/>
          <w:footerReference w:type="even" r:id="rId29"/>
          <w:footerReference w:type="default" r:id="rId30"/>
          <w:headerReference w:type="first" r:id="rId31"/>
          <w:footerReference w:type="first" r:id="rId32"/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合原文“范进慌忙抱了鸡，走出门去。才去不到两个时候，只听得一片声的锣响，三匹马闯将来。那三个人下了马，把马拴在茅草棚上，一片声叫道：‘快请范老爷出来，恭喜高中了！’母亲不知是甚事，吓得躲在屋里；听见中了，方敢伸出头来，说道：‘诸位请坐，小儿方才出去了。’”，可知：范进奉母命到集上去卖鸡。去了将近两个时辰，中举的喜报忽到。故选（6）为第二幅图片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合原文“范进不看便罢，看了一遍，又念一遍，自己把两手拍了一下，笑了一声，道：‘噫！好了！我中了！’说着，往后一跤跌倒，牙关咬紧，不省人事”，可知：范进见到了喜报，因欢喜狠了，痰迷心窍，昏倒在地；故选（3）为第三幅图片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合原文“胡屠户凶神似的走到跟前，说道：‘该死的畜生！你中了甚么？’一个嘴巴打将去。众人和邻居见这模样，忍不住的笑。不想胡屠户虽然大着胆子打了一下，心里到底还是怕的，那手早颤起来，不敢打到第二下。范进因这一个嘴巴，却也打晕了，昏倒于地”，可知：胡屠户，狠狠地打了范进一个嘴巴。故选（4）为第四幅图片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合原文“范进迎了出去，只见那张乡绅下了轿进来，头戴纱帽，身穿葵花色圆领，金带、皂靴。他是举人出身，做过一任知县的，别号静斋，同范进让了进来，到堂屋内平磕了头，分宾主坐下”，可知：范进刚从集上回家，举人出身、曾做过一任知县的张静斋来访。故选（1）为第五幅图片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合原文“一封一封雪白的细丝锭子，即便包了两锭，叫胡屠户进来，递与他道：‘方才费老爹的心，拿了五千钱来。这六两多银子，老爹拿了去。’屠户把银子攥在手里紧紧的，把拳头伸过来，道：‘这个，你且收着。我原是贺你的，怎好又拿了回去？’范进道：‘眼见得我这里还有这几两银子，若用完了，再来问老爹讨来用。’屠户连忙把拳头缩了回去，往腰里揣”，可知：范进送胡屠户银子，胡屠户为此感到很高兴。故选（2）为第六幅图片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color w:val="000000"/>
        </w:rPr>
        <w:t>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【小问3详解】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本题考查表演设计。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根据原文“</w:t>
      </w:r>
      <w:r>
        <w:rPr>
          <w:color w:val="000000"/>
        </w:rPr>
        <w:t>屠户被众人局不过，只得连斟两碗酒喝了，壮一壮胆，把方才这些小心收起，将平日的凶恶样子拿出来，卷一卷那油晃晃的衣袖，走上集去</w:t>
      </w:r>
      <w:r>
        <w:rPr>
          <w:rFonts w:ascii="宋体" w:eastAsia="宋体" w:hAnsi="宋体" w:cs="宋体"/>
          <w:color w:val="000000"/>
        </w:rPr>
        <w:t>”，可知：第一种“</w:t>
      </w:r>
      <w:r>
        <w:rPr>
          <w:color w:val="000000"/>
        </w:rPr>
        <w:t>形象设计：穿着油晃晃的短衫，脸上堆笑，不再是平日的凶恶样子</w:t>
      </w:r>
      <w:r>
        <w:rPr>
          <w:rFonts w:ascii="宋体" w:eastAsia="宋体" w:hAnsi="宋体" w:cs="宋体"/>
          <w:color w:val="000000"/>
        </w:rPr>
        <w:t>”这个设计是合理的。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合原文“屠户把银子攥在手里紧紧的，把拳头伸过来，道：‘这个，你且收着。我原是贺你的，怎好又拿了回去？’范进道：‘眼见得我这里还有这几两银子，若用完了，再来问老爹讨来用。’屠户连忙把拳头缩了回去，往腰里揣，口里说道：‘也罢，你而今相与了这个张老爷，何愁没有银子用？他家里的银子，说起来比皇帝家还多些哩！他家就是我卖肉的主顾，一年就是无事，肉也要用四五千斤，银子何足为奇！’”“说了一会，千恩万谢，低着头，笑迷迷的去了”，可知：第二种“</w:t>
      </w:r>
      <w:r>
        <w:rPr>
          <w:color w:val="000000"/>
        </w:rPr>
        <w:t>动作设计</w:t>
      </w:r>
      <w:r>
        <w:rPr>
          <w:rFonts w:ascii="宋体" w:eastAsia="宋体" w:hAnsi="宋体" w:cs="宋体"/>
          <w:color w:val="000000"/>
        </w:rPr>
        <w:t>：</w:t>
      </w:r>
      <w:r>
        <w:rPr>
          <w:color w:val="000000"/>
        </w:rPr>
        <w:t>屠户连忙摇手推托</w:t>
      </w:r>
      <w:r>
        <w:rPr>
          <w:rFonts w:ascii="宋体" w:eastAsia="宋体" w:hAnsi="宋体" w:cs="宋体"/>
          <w:color w:val="000000"/>
        </w:rPr>
        <w:t>”不合理。胡</w:t>
      </w:r>
      <w:r>
        <w:rPr>
          <w:color w:val="000000"/>
        </w:rPr>
        <w:t>屠户是一个势利小人，见钱眼开，他只是假意推托，并非真实推辞。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33"/>
          <w:headerReference w:type="default" r:id="rId34"/>
          <w:footerReference w:type="even" r:id="rId35"/>
          <w:footerReference w:type="default" r:id="rId36"/>
          <w:headerReference w:type="first" r:id="rId37"/>
          <w:footerReference w:type="first" r:id="rId38"/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结合原文</w:t>
      </w:r>
      <w:r>
        <w:rPr>
          <w:rFonts w:ascii="宋体" w:eastAsia="宋体" w:hAnsi="宋体" w:cs="宋体"/>
          <w:color w:val="000000"/>
        </w:rPr>
        <w:t>“屠户把银子攥在手里紧紧的，把拳头伸过来，道：‘这个，你且收着。我原是贺你的，怎好又拿了回去？’”，可知：第三种“</w:t>
      </w:r>
      <w:r>
        <w:rPr>
          <w:color w:val="000000"/>
        </w:rPr>
        <w:t>语言设计：</w:t>
      </w:r>
      <w:r>
        <w:rPr>
          <w:rFonts w:ascii="宋体" w:eastAsia="宋体" w:hAnsi="宋体" w:cs="宋体"/>
          <w:color w:val="000000"/>
        </w:rPr>
        <w:t>‘这个，你且收着。我原是贺你的，怎好又拿了回去？’”这个设计合理。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【小问4详解】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本题考查拟写串词。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开放类试题，起到串联前后两个节目的作用，言之成理即可。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示例：吴敬梓笔下的《范进中举》让我们见识到人情冷暖，无独有偶，远在法国的莫泊桑也为世人贡献了一个人间闹剧《我的叔叔于勒》，那是怎么的故事，请同学们慢慢欣赏。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二、阅读。（共66分）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（一）（6分）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阅读诗歌并完成小题。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寒食</w:t>
      </w:r>
      <w:r>
        <w:rPr>
          <w:rFonts w:ascii="Cambria Math" w:eastAsia="Cambria Math" w:hAnsi="Cambria Math" w:cs="Cambria Math"/>
          <w:color w:val="000000"/>
          <w:vertAlign w:val="superscript"/>
        </w:rPr>
        <w:t>①</w:t>
      </w:r>
      <w:r>
        <w:rPr>
          <w:rFonts w:ascii="楷体" w:eastAsia="楷体" w:hAnsi="楷体" w:cs="楷体"/>
          <w:color w:val="000000"/>
        </w:rPr>
        <w:t>（其二）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【宋】苏轼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春江欲入户，雨势来不已。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小屋如渔舟，漾漾水云里。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空庖煮寒菜，破灶烧湿苇。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那知是寒食，但见乌衔纸。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君门深九重，坟墓</w:t>
      </w:r>
      <w:r>
        <w:rPr>
          <w:rFonts w:ascii="Cambria Math" w:eastAsia="Cambria Math" w:hAnsi="Cambria Math" w:cs="Cambria Math"/>
          <w:color w:val="000000"/>
          <w:vertAlign w:val="superscript"/>
        </w:rPr>
        <w:t>②</w:t>
      </w:r>
      <w:r>
        <w:rPr>
          <w:rFonts w:ascii="楷体" w:eastAsia="楷体" w:hAnsi="楷体" w:cs="楷体"/>
          <w:color w:val="000000"/>
        </w:rPr>
        <w:t>在万里。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也拟哭途穷</w:t>
      </w:r>
      <w:r>
        <w:rPr>
          <w:rFonts w:ascii="Cambria Math" w:eastAsia="Cambria Math" w:hAnsi="Cambria Math" w:cs="Cambria Math"/>
          <w:color w:val="000000"/>
          <w:vertAlign w:val="superscript"/>
        </w:rPr>
        <w:t>③</w:t>
      </w:r>
      <w:r>
        <w:rPr>
          <w:rFonts w:ascii="楷体" w:eastAsia="楷体" w:hAnsi="楷体" w:cs="楷体"/>
          <w:color w:val="000000"/>
        </w:rPr>
        <w:t>，死灰吹不起</w:t>
      </w:r>
      <w:r>
        <w:rPr>
          <w:rFonts w:ascii="Cambria Math" w:eastAsia="Cambria Math" w:hAnsi="Cambria Math" w:cs="Cambria Math"/>
          <w:color w:val="000000"/>
          <w:vertAlign w:val="superscript"/>
        </w:rPr>
        <w:t>④</w:t>
      </w:r>
      <w:r>
        <w:rPr>
          <w:rFonts w:ascii="楷体" w:eastAsia="楷体" w:hAnsi="楷体" w:cs="楷体"/>
          <w:color w:val="000000"/>
        </w:rPr>
        <w:t>。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《黄州寒食诗帖》（部分）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676525" cy="1400175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注】①旧历清明节的前一天，是寒食节。这首诗作于元丰五年三月寒食节。②坟基：谓诗人祖坟在四川眉山，距黄州有万里之追。①哭途穷；晋阮猎每走到一条路的尽头，就感慨地哭起来。④《史记》载韩安国被关在牢里，狱吏侮辱他，他说：“死灰独不复堪乎？”狱史说：“燃则溺之！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下列说法错误的一项是（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“小屋如渔舟，濛濛水云里”用比喻的修辞，描写小屋宛如一叶渔舟，笼罩在濛濛水云里，体现了诗人即使在“春江欲入户”的艰苦环境中，仍不失那份天真的童心。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寒食、清明是祭祖、扫墓的日子，诗人看见乌鸦衔着纸钱，这才恍悟，当前确实正是寒食节令，这故作回旋的笔墨，突显了诗人痛定思痛的心情。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“君门深九重，坟墓在万里”以直抒胸臆的手法明言君门九重欲归不能，亲人坟墓远隔万里欲祭不可，抒发诗人“进亦忧，退亦忧”的“古仁人之心”。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《黄州寒食诗帖》被称为“天下第三行书”，通篇字形宽扁，字距密集，而帖中的“苇”“纸”等字的长竖画，分隔了空间，调整了节奏，实现了视觉的平衡，堪称字眼。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赏析“空庖煮寒菜，破灶烧湿苇”两句。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（1）C    （2）</w:t>
      </w:r>
      <w:r>
        <w:rPr>
          <w:rFonts w:ascii="宋体" w:eastAsia="宋体" w:hAnsi="宋体" w:cs="宋体"/>
          <w:color w:val="000000"/>
        </w:rPr>
        <w:t>对偶（诗人选用“空庖”“寒菜”“破灶”“湿苇”等凄寒物象），“空”“破”等字，描写了物质生活的极度匮乏与艰难窘迫，抒发诗人贬居黄州时的凄苦困顿之情；“湿”字照应上文寒食前阴雨连绵的萧瑟凄凉之景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本题考查诗歌的理解及文化常识。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rFonts w:ascii="宋体" w:eastAsia="宋体" w:hAnsi="宋体" w:cs="宋体"/>
          <w:color w:val="000000"/>
        </w:rPr>
        <w:t>.“抒发诗人‘进亦忧，退亦忧’的‘古仁人之心’”表述错误。“君门深九重，坟墓在万里”的意思是天子的宫门有九重，深远难以归去，祖上的坟茔遥隔万里不能吊祭，诗人使用抒胸臆的手法明言君门九重欲归不能，亲人坟墓远隔万里欲祭不可。根据“死灰吹不起”分析，运用了韩安国典故，表示对政治的冷淡和忧谗畏讥的心情。而非“古仁人之心”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color w:val="000000"/>
        </w:rPr>
        <w:t>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本题考查诗歌词句的赏析。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“空庖煮寒菜，破灶烧湿苇”的意思是空空的厨房煮着些寒菜，潮湿的芦苇燃在破灶底，此句诗中“空庖”与“破灶”，“寒菜”与“湿苇”词性一一对应，应是使用对偶的修辞手法。“空荡荡”的“刨除”，“破烂”的“灶台”刻画出诗人遭遇贬谪后生活条件的艰苦，“寒”“湿”对照前句“春江欲入户，雨势来不已”刻画出氤氲绵绵的场景，营造初凄凉萧瑟的景象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（二）（16分）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阅读下面的文言选段，完成小题。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（轼）道过金陵，见王安石，曰：“大兵大狱，汉、唐灭亡之兆。祖宗以仁厚治天下，正欲革此。今西方用兵，连年不解，东南数起大狱，公独无一言以救之乎？”安石曰：“二事皆患卿</w:t>
      </w:r>
      <w:r>
        <w:rPr>
          <w:rFonts w:ascii="楷体" w:eastAsia="楷体" w:hAnsi="楷体" w:cs="楷体"/>
          <w:color w:val="000000"/>
          <w:vertAlign w:val="superscript"/>
        </w:rPr>
        <w:t>①</w:t>
      </w:r>
      <w:r>
        <w:rPr>
          <w:rFonts w:ascii="楷体" w:eastAsia="楷体" w:hAnsi="楷体" w:cs="楷体"/>
          <w:color w:val="000000"/>
        </w:rPr>
        <w:t>启之，安石在外，安敢言？”轼曰：“在朝则言，在外则不言，事君之常礼耳。上所以待公者，非常礼，公所以待上者，岂可以常礼乎？”安石厉声曰：“安石须说。”又曰：“出在安石口，入在子瞻耳。”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楷体" w:eastAsia="楷体" w:hAnsi="楷体" w:cs="楷体"/>
          <w:color w:val="000000"/>
        </w:rPr>
        <w:t>至常</w:t>
      </w:r>
      <w:r>
        <w:rPr>
          <w:rFonts w:ascii="楷体" w:eastAsia="楷体" w:hAnsi="楷体" w:cs="楷体"/>
          <w:color w:val="000000"/>
          <w:vertAlign w:val="superscript"/>
        </w:rPr>
        <w:t>②</w:t>
      </w:r>
      <w:r>
        <w:rPr>
          <w:rFonts w:ascii="楷体" w:eastAsia="楷体" w:hAnsi="楷体" w:cs="楷体"/>
          <w:color w:val="000000"/>
        </w:rPr>
        <w:t>，神宗崩，哲宗立，复朝奉郎、知登州，召为礼部郎中。轼旧善司马光、章敦。时光为门下侍郎，敦知枢密院，二人不相合，敦每以谑</w:t>
      </w:r>
      <w:r>
        <w:rPr>
          <w:rFonts w:ascii="楷体" w:eastAsia="楷体" w:hAnsi="楷体" w:cs="楷体"/>
          <w:color w:val="000000"/>
          <w:vertAlign w:val="superscript"/>
        </w:rPr>
        <w:t>③</w:t>
      </w:r>
    </w:p>
    <w:p>
      <w:pPr>
        <w:spacing w:line="360" w:lineRule="auto"/>
        <w:ind w:firstLine="420"/>
        <w:jc w:val="both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侮困光，光苦之。轼谓敦曰：“司马君实时望甚重。昔许靖以虚名无实，见鄙于蜀先主，法正曰：‘靖之浮誉，播流四海，若不加礼，必以贱贤为累。’先主纳之，乃以靖为司徒。许靖且不可慢，况君实乎？”敦以为然，光赖以少安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【注】①吕急卿，北宋宰相，政治改革家，王安石变法中的二号人物，和王安石情同师徒，后因事生恨。②常：常州。③谑：戏弄。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根据语境，参考方法提示，解释下列加点词在文中的意思。</w:t>
      </w:r>
    </w:p>
    <w:tbl>
      <w:tblPr>
        <w:tblStyle w:val="TableNormal"/>
        <w:tblW w:w="681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845"/>
        <w:gridCol w:w="3120"/>
        <w:gridCol w:w="1845"/>
      </w:tblGrid>
      <w:tr>
        <w:tblPrEx>
          <w:tblW w:w="681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45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加点词语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方法提示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解释（填写文字）</w:t>
            </w:r>
          </w:p>
        </w:tc>
      </w:tr>
      <w:tr>
        <w:tblPrEx>
          <w:tblW w:w="68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780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  <w:em w:val="dot"/>
              </w:rPr>
              <w:t>知</w:t>
            </w:r>
            <w:r>
              <w:rPr>
                <w:rFonts w:ascii="宋体" w:eastAsia="宋体" w:hAnsi="宋体" w:cs="宋体"/>
                <w:color w:val="000000"/>
              </w:rPr>
              <w:t>登州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关联教材</w:t>
            </w:r>
          </w:p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滕子京谪</w:t>
            </w:r>
            <w:r>
              <w:rPr>
                <w:rFonts w:ascii="宋体" w:eastAsia="宋体" w:hAnsi="宋体" w:cs="宋体"/>
                <w:color w:val="000000"/>
                <w:em w:val="dot"/>
              </w:rPr>
              <w:t>守</w:t>
            </w:r>
            <w:r>
              <w:rPr>
                <w:rFonts w:ascii="宋体" w:eastAsia="宋体" w:hAnsi="宋体" w:cs="宋体"/>
                <w:color w:val="000000"/>
              </w:rPr>
              <w:t>巴陵郡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①</w:t>
            </w:r>
            <w:r>
              <w:rPr>
                <w:color w:val="000000"/>
              </w:rPr>
              <w:t>_________</w:t>
            </w:r>
          </w:p>
        </w:tc>
      </w:tr>
      <w:tr>
        <w:tblPrEx>
          <w:tblW w:w="68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765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敦以为</w:t>
            </w:r>
            <w:r>
              <w:rPr>
                <w:rFonts w:ascii="宋体" w:eastAsia="宋体" w:hAnsi="宋体" w:cs="宋体"/>
                <w:color w:val="000000"/>
                <w:em w:val="dot"/>
              </w:rPr>
              <w:t>然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根据成语推断</w:t>
            </w:r>
          </w:p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不以为</w:t>
            </w:r>
            <w:r>
              <w:rPr>
                <w:rFonts w:ascii="宋体" w:eastAsia="宋体" w:hAnsi="宋体" w:cs="宋体"/>
                <w:color w:val="000000"/>
                <w:em w:val="dot"/>
              </w:rPr>
              <w:t>然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②</w:t>
            </w:r>
            <w:r>
              <w:rPr>
                <w:color w:val="000000"/>
              </w:rPr>
              <w:t>_________</w:t>
            </w:r>
          </w:p>
        </w:tc>
      </w:tr>
      <w:tr>
        <w:tblPrEx>
          <w:tblW w:w="68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690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  <w:em w:val="dot"/>
              </w:rPr>
              <w:t>事</w:t>
            </w:r>
            <w:r>
              <w:rPr>
                <w:rFonts w:ascii="宋体" w:eastAsia="宋体" w:hAnsi="宋体" w:cs="宋体"/>
                <w:color w:val="000000"/>
              </w:rPr>
              <w:t>君之常礼耳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使用词典选择义项</w:t>
            </w:r>
          </w:p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事：①事情；②侍奉；③从事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③</w:t>
            </w:r>
            <w:r>
              <w:rPr>
                <w:color w:val="000000"/>
              </w:rPr>
              <w:t>_________</w:t>
            </w:r>
          </w:p>
        </w:tc>
      </w:tr>
      <w:tr>
        <w:tblPrEx>
          <w:tblW w:w="681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20"/>
        </w:trPr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见</w:t>
            </w:r>
            <w:r>
              <w:rPr>
                <w:rFonts w:ascii="宋体" w:eastAsia="宋体" w:hAnsi="宋体" w:cs="宋体"/>
                <w:color w:val="000000"/>
                <w:em w:val="dot"/>
              </w:rPr>
              <w:t>鄙</w:t>
            </w:r>
            <w:r>
              <w:rPr>
                <w:rFonts w:ascii="宋体" w:eastAsia="宋体" w:hAnsi="宋体" w:cs="宋体"/>
                <w:color w:val="000000"/>
              </w:rPr>
              <w:t>于蜀先主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运用组词法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④</w:t>
            </w:r>
            <w:r>
              <w:rPr>
                <w:color w:val="000000"/>
              </w:rPr>
              <w:t>_________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下列选项中加点字用法相同的一项是（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公独无一言</w:t>
      </w:r>
      <w:r>
        <w:rPr>
          <w:rFonts w:ascii="宋体" w:eastAsia="宋体" w:hAnsi="宋体" w:cs="宋体"/>
          <w:color w:val="000000"/>
          <w:em w:val="dot"/>
        </w:rPr>
        <w:t>以</w:t>
      </w:r>
      <w:r>
        <w:rPr>
          <w:rFonts w:ascii="宋体" w:eastAsia="宋体" w:hAnsi="宋体" w:cs="宋体"/>
          <w:color w:val="000000"/>
        </w:rPr>
        <w:t>救之乎/属予作文</w:t>
      </w:r>
      <w:r>
        <w:rPr>
          <w:rFonts w:ascii="宋体" w:eastAsia="宋体" w:hAnsi="宋体" w:cs="宋体"/>
          <w:color w:val="000000"/>
          <w:em w:val="dot"/>
        </w:rPr>
        <w:t>以</w:t>
      </w:r>
      <w:r>
        <w:rPr>
          <w:rFonts w:ascii="宋体" w:eastAsia="宋体" w:hAnsi="宋体" w:cs="宋体"/>
          <w:color w:val="000000"/>
        </w:rPr>
        <w:t>记之（《岳阳楼记》）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  <w:em w:val="dot"/>
        </w:rPr>
        <w:t>乃</w:t>
      </w:r>
      <w:r>
        <w:rPr>
          <w:rFonts w:ascii="宋体" w:eastAsia="宋体" w:hAnsi="宋体" w:cs="宋体"/>
          <w:color w:val="000000"/>
        </w:rPr>
        <w:t>以靖为司徒/</w:t>
      </w:r>
      <w:r>
        <w:rPr>
          <w:rFonts w:ascii="宋体" w:eastAsia="宋体" w:hAnsi="宋体" w:cs="宋体"/>
          <w:color w:val="000000"/>
          <w:em w:val="dot"/>
        </w:rPr>
        <w:t>乃</w:t>
      </w:r>
      <w:r>
        <w:rPr>
          <w:rFonts w:ascii="宋体" w:eastAsia="宋体" w:hAnsi="宋体" w:cs="宋体"/>
          <w:color w:val="000000"/>
        </w:rPr>
        <w:t>不知有汉（《桃花源记》）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见鄙</w:t>
      </w:r>
      <w:r>
        <w:rPr>
          <w:rFonts w:ascii="宋体" w:eastAsia="宋体" w:hAnsi="宋体" w:cs="宋体"/>
          <w:color w:val="000000"/>
          <w:em w:val="dot"/>
        </w:rPr>
        <w:t>于</w:t>
      </w:r>
      <w:r>
        <w:rPr>
          <w:rFonts w:ascii="宋体" w:eastAsia="宋体" w:hAnsi="宋体" w:cs="宋体"/>
          <w:color w:val="000000"/>
        </w:rPr>
        <w:t>蜀先主/而泻出</w:t>
      </w:r>
      <w:r>
        <w:rPr>
          <w:rFonts w:ascii="宋体" w:eastAsia="宋体" w:hAnsi="宋体" w:cs="宋体"/>
          <w:color w:val="000000"/>
          <w:em w:val="dot"/>
        </w:rPr>
        <w:t>于</w:t>
      </w:r>
      <w:r>
        <w:rPr>
          <w:rFonts w:ascii="宋体" w:eastAsia="宋体" w:hAnsi="宋体" w:cs="宋体"/>
          <w:color w:val="000000"/>
        </w:rPr>
        <w:t>两峰之间者（《醉翁亭记》）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靖</w:t>
      </w:r>
      <w:r>
        <w:rPr>
          <w:rFonts w:ascii="宋体" w:eastAsia="宋体" w:hAnsi="宋体" w:cs="宋体"/>
          <w:color w:val="000000"/>
          <w:em w:val="dot"/>
        </w:rPr>
        <w:t>之</w:t>
      </w:r>
      <w:r>
        <w:rPr>
          <w:rFonts w:ascii="宋体" w:eastAsia="宋体" w:hAnsi="宋体" w:cs="宋体"/>
          <w:color w:val="000000"/>
        </w:rPr>
        <w:t>浮誉/居庙堂</w:t>
      </w:r>
      <w:r>
        <w:rPr>
          <w:rFonts w:ascii="宋体" w:eastAsia="宋体" w:hAnsi="宋体" w:cs="宋体"/>
          <w:color w:val="000000"/>
          <w:em w:val="dot"/>
        </w:rPr>
        <w:t>之</w:t>
      </w:r>
      <w:r>
        <w:rPr>
          <w:rFonts w:ascii="宋体" w:eastAsia="宋体" w:hAnsi="宋体" w:cs="宋体"/>
          <w:color w:val="000000"/>
        </w:rPr>
        <w:t>高则忧其民（《岳阳楼记》）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用“/”标出下面句子的两处朗读停顿。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时光为门下侍郎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翻译下面两个句子。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（1）不以物喜，不以己悲。（《岳阳楼记》）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（2）许靖且不可慢，况君实乎？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学校准备在校园中安放一些名人塑像，小堰团队提议首选苏轼。下面是他们的讨论记录，请参与补全。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元丰三年，苏轼因“乌台诗案”被贬黄州；元丰五年寒食节，写下《寒食》诗，说要学阮籍穷途之哭，又反用韩安国典，表达诗人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的心情。这样的苏轼真实，让人可亲。</w:t>
      </w: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元丰六年，苏轼写下《记承天寺夜游》，篇末“但少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如吾两人者耳”，表达自己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的心境。这样的苏轼通透，让人可叹。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元丰七年，苏轼离开黄州贬所，去汝州上任，路过金陵，拜访已赋闲在家的王安石，仍希望他能向皇帝进言，体现了苏轼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的心胸。这样的苏轼伟大，让人可敬。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7.     ①. </w:t>
      </w:r>
      <w:r>
        <w:rPr>
          <w:rFonts w:ascii="宋体" w:eastAsia="宋体" w:hAnsi="宋体" w:cs="宋体"/>
          <w:color w:val="000000"/>
        </w:rPr>
        <w:t>做知州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对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侍奉</w:t>
      </w:r>
      <w:r>
        <w:rPr>
          <w:color w:val="000000"/>
        </w:rPr>
        <w:t xml:space="preserve">    ④. </w:t>
      </w:r>
      <w:r>
        <w:rPr>
          <w:rFonts w:ascii="宋体" w:eastAsia="宋体" w:hAnsi="宋体" w:cs="宋体"/>
          <w:color w:val="000000"/>
        </w:rPr>
        <w:t>鄙视</w:t>
      </w:r>
      <w:r>
        <w:rPr>
          <w:color w:val="000000"/>
        </w:rPr>
        <w:t xml:space="preserve">    8. A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时/光/为门下侍郎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（1）不因外物和自己处境的变化而喜悲。（2）许靖尚且不可慢待，何况司马君实呢？”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11.     ①. </w:t>
      </w:r>
      <w:r>
        <w:rPr>
          <w:rFonts w:ascii="宋体" w:eastAsia="宋体" w:hAnsi="宋体" w:cs="宋体"/>
          <w:color w:val="000000"/>
        </w:rPr>
        <w:t>凄怆悲凉、忧谗畏讥、痛苦压抑甚至绝望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闲人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虽遭贬谪但仍旷达乐观；</w:t>
      </w:r>
      <w:r>
        <w:rPr>
          <w:color w:val="000000"/>
        </w:rPr>
        <w:t xml:space="preserve">    ④. </w:t>
      </w:r>
      <w:r>
        <w:rPr>
          <w:rFonts w:ascii="宋体" w:eastAsia="宋体" w:hAnsi="宋体" w:cs="宋体"/>
          <w:color w:val="000000"/>
        </w:rPr>
        <w:t>心忧天下、仁民爱物、磊落无私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【7题详解】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本题考查文言实词。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）滕子京谪守巴陵郡：滕子京被降职到巴陵郡做太守。守：名词活用动词，做太守。知登州：做登州知州。故可知，“知”是名词活用为动词，做知州。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）不以为然：不认为正确。然：正确。敦以为然：章敦认为对。然：正确，对。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）事君之常礼耳：这是侍奉皇帝的一般礼节。事：侍奉，选②。</w:t>
      </w:r>
      <w:r>
        <w:rPr>
          <w:color w:val="000000"/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）见鄙于蜀先主：被蜀先主所鄙视。鄙：鄙视。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【8题详解】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本题考查一词多义。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宋体" w:eastAsia="宋体" w:hAnsi="宋体" w:cs="宋体"/>
          <w:color w:val="000000"/>
        </w:rPr>
        <w:t>连词，来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连词，来；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宋体" w:eastAsia="宋体" w:hAnsi="宋体" w:cs="宋体"/>
          <w:color w:val="000000"/>
        </w:rPr>
        <w:t>连词，于是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副词，竟然；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C.</w:t>
      </w:r>
      <w:r>
        <w:rPr>
          <w:rFonts w:ascii="宋体" w:eastAsia="宋体" w:hAnsi="宋体" w:cs="宋体"/>
          <w:color w:val="000000"/>
        </w:rPr>
        <w:t>介词，表被动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介词，从；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D.</w:t>
      </w:r>
      <w:r>
        <w:rPr>
          <w:rFonts w:ascii="宋体" w:eastAsia="宋体" w:hAnsi="宋体" w:cs="宋体"/>
          <w:color w:val="000000"/>
        </w:rPr>
        <w:t>助词，的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助词，定语后置标志；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【9题详解】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本题考查文言断句。根据文言文断句的方法，先梳理句子大意，分清层次，然后断句，反复诵读加以验证。主语和谓语之间，谓语和宾语、补语之间一般要作停顿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时光为门下侍郎：当时司马光任门下侍郎。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“时”是状语，“光”是主语，“为门下侍郎”是谓语，故分别断开。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故断句：时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光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宋体" w:eastAsia="宋体" w:hAnsi="宋体" w:cs="宋体"/>
          <w:color w:val="000000"/>
        </w:rPr>
        <w:t>为门下侍郎。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【10题详解】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910" w:right="1080" w:bottom="1440" w:left="108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本题考查文言翻译。完整翻译句子的基础上，把重点字词的意义和用法展现出来，注意省略句要补全，倒装句要调整语序。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）以：因为。本句运用互文修辞，翻译时把“物”和“己”放在一起，“喜”和“悲”放在一起。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）且：尚且。慢：慢待。况：何况。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【11题详解】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本题考查内容理解。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合苏轼《寒食》中“也拟哭途穷，死灰吹不起”的翻译“我只想学阮籍作穷途痛哭，心头却似死灰并不想重新燃起”可知，这里引用了阮籍和韩安国的典故。死灰，在字面上是指上面“乌衔纸”的纸钱灰，实隐用汉韩安国的话，《史记·韩长孺传》：“安国坐法抵罪，狱吏田甲辱安国，安国曰：‘死灰独不复燃乎？’田甲曰：‘燃则溺之！’”作者说“死灰吹不起”，也就是死灰不复燃，以免再被人“溺”。作者反用韩国的典故，说自己不愿死灰复燃，害怕再被人“溺”死，即害怕再被陷害，由此看出作者当时凄怆悲凉、忧谗畏讥、痛苦压抑甚至绝望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合苏轼《记承天寺夜游》“何夜无月？何处无竹柏？但少闲人如吾两人者耳”可补全句子。作者此时被贬，处境凄凉，却能够和友人在庭院散步赏月，体会自然的美丽，表现出虽遭贬谪却能够随缘自适的乐观与豁达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合本文可知，苏轼此时被贬，路过金陵，去看望赋闲在家的王安石，仍希望他能向皇帝进言，结合背景可知，王安石党政之时，苏轼曾因和其政见不合而被贬，此时苏轼不计前嫌，面对王安石的赋闲，想到的是希望其能够进言，看出苏轼并不计较私人恩怨，而是心怀天下，表现了苏轼心忧天下、仁民爱物、磊落无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参考译文：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苏轼路过金陵（今南京），拜见王安石，说：“大兴战争和刑罚，是汉、唐两朝灭亡的征兆。祖宗先帝用仁厚治理天下，正打算改革这些事。如今西边正在打仗，多年都不见停战，东南地区发生多起刑狱事件，您就不说一句话来解决这种局面吗？”王安石说：“这两件事都是吕惠卿引起的，我不在朝为官，怎么敢去进言？”苏轼说：“在朝做官就进言，不在朝做官就不进言，这是侍奉皇帝的一般礼节。皇帝用来对待您的是非同寻常的礼数，您用来对待皇上的，难道可以是寻常的礼数吗？”王安石大声说：“我一定会向皇上进言。”又说：“今天这些话从我的嘴里说出来，从你的耳朵听进去（意思是不要外传，保密）。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苏轼到常州，神宗去世，哲宗即位，授朝奉郎、登州知州，召他做礼部郎中。苏轼以前和司马光、章敦友善。当时司马光任门下侍郎，章敦任枢密使，两个人意见不合，章敦常常用戏弄侮辱来为难司马光，司马光为此苦恼。苏轼对章敦说：“司马君实在当前名望很重。从前许靖因虚名而无实用，被蜀先主所鄙视，法正说：‘许靖的虚名，传播天下，如果不加礼遇，必然会被当作看轻贤人。’先主接纳了，于是让许靖做了司徒。许靖尚且不可慢待，何况司马君实呢？”章敦认为对，司马光靠这稍得安宁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（三）名著阅读。（10分）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https://d.book118.com/306154053133010051</w:t>
        </w:r>
      </w:hyperlink>
    </w:p>
    <w:p>
      <w:pPr>
        <w:spacing w:line="360" w:lineRule="auto"/>
        <w:jc w:val="both"/>
        <w:textAlignment w:val="center"/>
        <w:rPr>
          <w:color w:val="000000"/>
        </w:rPr>
      </w:pPr>
    </w:p>
    <w:sectPr>
      <w:headerReference w:type="even" r:id="rId65"/>
      <w:headerReference w:type="default" r:id="rId66"/>
      <w:footerReference w:type="even" r:id="rId67"/>
      <w:footerReference w:type="default" r:id="rId68"/>
      <w:headerReference w:type="first" r:id="rId69"/>
      <w:footerReference w:type="first" r:id="rId70"/>
      <w:type w:val="nextPage"/>
      <w:pgSz w:w="11906" w:h="16838"/>
      <w:pgMar w:top="910" w:right="1080" w:bottom="1440" w:left="1080" w:header="152" w:footer="0" w:gutter="0"/>
      <w:pgNumType w:start="10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2FF" w:usb1="420024FF" w:usb2="0000000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3B4037B3"/>
  </w:rsids>
  <w:docVars>
    <w:docVar w:name="commondata" w:val="eyJoZGlkIjoiZmIwODM5ODM1NGY5OGFiMzk2YTExZDYxN2M5NzcyY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4.png" /><Relationship Id="rId21" Type="http://schemas.openxmlformats.org/officeDocument/2006/relationships/header" Target="header7.xml" /><Relationship Id="rId22" Type="http://schemas.openxmlformats.org/officeDocument/2006/relationships/header" Target="header8.xml" /><Relationship Id="rId23" Type="http://schemas.openxmlformats.org/officeDocument/2006/relationships/footer" Target="footer7.xml" /><Relationship Id="rId24" Type="http://schemas.openxmlformats.org/officeDocument/2006/relationships/footer" Target="footer8.xm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header" Target="header10.xml" /><Relationship Id="rId28" Type="http://schemas.openxmlformats.org/officeDocument/2006/relationships/header" Target="header11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header" Target="header12.xml" /><Relationship Id="rId32" Type="http://schemas.openxmlformats.org/officeDocument/2006/relationships/footer" Target="footer12.xml" /><Relationship Id="rId33" Type="http://schemas.openxmlformats.org/officeDocument/2006/relationships/header" Target="header13.xml" /><Relationship Id="rId34" Type="http://schemas.openxmlformats.org/officeDocument/2006/relationships/header" Target="header14.xml" /><Relationship Id="rId35" Type="http://schemas.openxmlformats.org/officeDocument/2006/relationships/footer" Target="footer13.xml" /><Relationship Id="rId36" Type="http://schemas.openxmlformats.org/officeDocument/2006/relationships/footer" Target="footer14.xml" /><Relationship Id="rId37" Type="http://schemas.openxmlformats.org/officeDocument/2006/relationships/header" Target="header15.xml" /><Relationship Id="rId38" Type="http://schemas.openxmlformats.org/officeDocument/2006/relationships/footer" Target="footer15.xml" /><Relationship Id="rId39" Type="http://schemas.openxmlformats.org/officeDocument/2006/relationships/image" Target="media/image5.png" /><Relationship Id="rId4" Type="http://schemas.openxmlformats.org/officeDocument/2006/relationships/customXml" Target="../customXml/item1.xml" /><Relationship Id="rId40" Type="http://schemas.openxmlformats.org/officeDocument/2006/relationships/header" Target="header16.xml" /><Relationship Id="rId41" Type="http://schemas.openxmlformats.org/officeDocument/2006/relationships/header" Target="header17.xml" /><Relationship Id="rId42" Type="http://schemas.openxmlformats.org/officeDocument/2006/relationships/footer" Target="footer16.xml" /><Relationship Id="rId43" Type="http://schemas.openxmlformats.org/officeDocument/2006/relationships/footer" Target="footer17.xml" /><Relationship Id="rId44" Type="http://schemas.openxmlformats.org/officeDocument/2006/relationships/header" Target="header18.xml" /><Relationship Id="rId45" Type="http://schemas.openxmlformats.org/officeDocument/2006/relationships/footer" Target="footer18.xml" /><Relationship Id="rId46" Type="http://schemas.openxmlformats.org/officeDocument/2006/relationships/header" Target="header19.xml" /><Relationship Id="rId47" Type="http://schemas.openxmlformats.org/officeDocument/2006/relationships/header" Target="header20.xml" /><Relationship Id="rId48" Type="http://schemas.openxmlformats.org/officeDocument/2006/relationships/footer" Target="footer19.xml" /><Relationship Id="rId49" Type="http://schemas.openxmlformats.org/officeDocument/2006/relationships/footer" Target="footer20.xml" /><Relationship Id="rId5" Type="http://schemas.openxmlformats.org/officeDocument/2006/relationships/image" Target="media/image1.png" /><Relationship Id="rId50" Type="http://schemas.openxmlformats.org/officeDocument/2006/relationships/header" Target="header21.xml" /><Relationship Id="rId51" Type="http://schemas.openxmlformats.org/officeDocument/2006/relationships/footer" Target="footer21.xml" /><Relationship Id="rId52" Type="http://schemas.openxmlformats.org/officeDocument/2006/relationships/header" Target="header22.xml" /><Relationship Id="rId53" Type="http://schemas.openxmlformats.org/officeDocument/2006/relationships/header" Target="header23.xml" /><Relationship Id="rId54" Type="http://schemas.openxmlformats.org/officeDocument/2006/relationships/footer" Target="footer22.xml" /><Relationship Id="rId55" Type="http://schemas.openxmlformats.org/officeDocument/2006/relationships/footer" Target="footer23.xml" /><Relationship Id="rId56" Type="http://schemas.openxmlformats.org/officeDocument/2006/relationships/header" Target="header24.xml" /><Relationship Id="rId57" Type="http://schemas.openxmlformats.org/officeDocument/2006/relationships/footer" Target="footer24.xml" /><Relationship Id="rId58" Type="http://schemas.openxmlformats.org/officeDocument/2006/relationships/header" Target="header25.xml" /><Relationship Id="rId59" Type="http://schemas.openxmlformats.org/officeDocument/2006/relationships/header" Target="header26.xml" /><Relationship Id="rId6" Type="http://schemas.openxmlformats.org/officeDocument/2006/relationships/image" Target="media/image2.png" /><Relationship Id="rId60" Type="http://schemas.openxmlformats.org/officeDocument/2006/relationships/footer" Target="footer25.xml" /><Relationship Id="rId61" Type="http://schemas.openxmlformats.org/officeDocument/2006/relationships/footer" Target="footer26.xml" /><Relationship Id="rId62" Type="http://schemas.openxmlformats.org/officeDocument/2006/relationships/header" Target="header27.xml" /><Relationship Id="rId63" Type="http://schemas.openxmlformats.org/officeDocument/2006/relationships/footer" Target="footer27.xml" /><Relationship Id="rId64" Type="http://schemas.openxmlformats.org/officeDocument/2006/relationships/hyperlink" Target="https://d.book118.com/306154053133010051" TargetMode="External" /><Relationship Id="rId65" Type="http://schemas.openxmlformats.org/officeDocument/2006/relationships/header" Target="header28.xml" /><Relationship Id="rId66" Type="http://schemas.openxmlformats.org/officeDocument/2006/relationships/header" Target="header29.xml" /><Relationship Id="rId67" Type="http://schemas.openxmlformats.org/officeDocument/2006/relationships/footer" Target="footer28.xml" /><Relationship Id="rId68" Type="http://schemas.openxmlformats.org/officeDocument/2006/relationships/footer" Target="footer29.xml" /><Relationship Id="rId69" Type="http://schemas.openxmlformats.org/officeDocument/2006/relationships/header" Target="header30.xml" /><Relationship Id="rId7" Type="http://schemas.openxmlformats.org/officeDocument/2006/relationships/image" Target="media/image3.wmf" /><Relationship Id="rId70" Type="http://schemas.openxmlformats.org/officeDocument/2006/relationships/footer" Target="footer30.xml" /><Relationship Id="rId71" Type="http://schemas.openxmlformats.org/officeDocument/2006/relationships/theme" Target="theme/theme1.xml" /><Relationship Id="rId72" Type="http://schemas.openxmlformats.org/officeDocument/2006/relationships/styles" Target="styles.xm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3418098156265472</dc:description>
  <cp:lastModifiedBy>南有乔木</cp:lastModifiedBy>
  <cp:revision>8</cp:revision>
  <dcterms:created xsi:type="dcterms:W3CDTF">2024-02-22T19:33:00Z</dcterms:created>
  <dcterms:modified xsi:type="dcterms:W3CDTF">2024-02-22T11:57:42Z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17896898B88247EB9612B118B8986335_12</vt:lpwstr>
  </property>
  <property fmtid="{D5CDD505-2E9C-101B-9397-08002B2CF9AE}" pid="7" name="KSOProductBuildVer">
    <vt:lpwstr>2052-12.1.0.16250</vt:lpwstr>
  </property>
</Properties>
</file>