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洗板机项目建设总纲及方案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42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_Toc1342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12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_Toc27912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37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_Toc18937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56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_Toc32556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64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_Toc8364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70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_Toc18770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72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_Toc30372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66" w:history="1">
        <w:r>
          <w:rPr>
            <w:rFonts w:ascii="仿宋" w:eastAsia="仿宋" w:hAnsi="仿宋" w:cs="仿宋" w:hint="eastAsia"/>
            <w:lang w:eastAsia="zh-CN"/>
          </w:rPr>
          <w:t>二、经济影响分析</w:t>
        </w:r>
        <w:r>
          <w:tab/>
        </w:r>
        <w:r>
          <w:fldChar w:fldCharType="begin"/>
        </w:r>
        <w:r>
          <w:instrText xml:space="preserve"> PAGEREF _Toc19666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9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_Toc29709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16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_Toc29816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51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_Toc30351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04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_Toc30004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80" w:history="1">
        <w:r>
          <w:rPr>
            <w:rFonts w:ascii="仿宋" w:eastAsia="仿宋" w:hAnsi="仿宋" w:cs="仿宋" w:hint="eastAsia"/>
            <w:lang w:eastAsia="zh-CN"/>
          </w:rPr>
          <w:t>三、洗板机项目概论</w:t>
        </w:r>
        <w:r>
          <w:tab/>
        </w:r>
        <w:r>
          <w:fldChar w:fldCharType="begin"/>
        </w:r>
        <w:r>
          <w:instrText xml:space="preserve"> PAGEREF _Toc32180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97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_Toc23897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86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_Toc32686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91" w:history="1">
        <w:r>
          <w:rPr>
            <w:rFonts w:ascii="仿宋" w:eastAsia="仿宋" w:hAnsi="仿宋" w:cs="仿宋" w:hint="eastAsia"/>
            <w:lang w:eastAsia="zh-CN"/>
          </w:rPr>
          <w:t>四、项目监理与质量保证</w:t>
        </w:r>
        <w:r>
          <w:tab/>
        </w:r>
        <w:r>
          <w:fldChar w:fldCharType="begin"/>
        </w:r>
        <w:r>
          <w:instrText xml:space="preserve"> PAGEREF _Toc3791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15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_Toc4415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7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_Toc997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28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_Toc25028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54" w:history="1">
        <w:r>
          <w:rPr>
            <w:rFonts w:ascii="仿宋" w:eastAsia="仿宋" w:hAnsi="仿宋" w:cs="仿宋" w:hint="eastAsia"/>
            <w:lang w:eastAsia="zh-CN"/>
          </w:rPr>
          <w:t>五、项目选址研究</w:t>
        </w:r>
        <w:r>
          <w:tab/>
        </w:r>
        <w:r>
          <w:fldChar w:fldCharType="begin"/>
        </w:r>
        <w:r>
          <w:instrText xml:space="preserve"> PAGEREF _Toc31654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84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_Toc21684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56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_Toc20956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9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_Toc3099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81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_Toc10281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72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_Toc5072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88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_Toc28888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32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_Toc7032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35" w:history="1">
        <w:r>
          <w:rPr>
            <w:rFonts w:ascii="仿宋" w:eastAsia="仿宋" w:hAnsi="仿宋" w:cs="仿宋" w:hint="eastAsia"/>
            <w:lang w:eastAsia="zh-CN"/>
          </w:rPr>
          <w:t>六、社会影响分析</w:t>
        </w:r>
        <w:r>
          <w:tab/>
        </w:r>
        <w:r>
          <w:fldChar w:fldCharType="begin"/>
        </w:r>
        <w:r>
          <w:instrText xml:space="preserve"> PAGEREF _Toc12635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63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_Toc23963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82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_Toc16782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2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_Toc1102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76" w:history="1">
        <w:r>
          <w:rPr>
            <w:rFonts w:ascii="仿宋" w:eastAsia="仿宋" w:hAnsi="仿宋" w:cs="仿宋" w:hint="eastAsia"/>
            <w:lang w:eastAsia="zh-CN"/>
          </w:rPr>
          <w:t>七、技术创新与产业升级</w:t>
        </w:r>
        <w:r>
          <w:tab/>
        </w:r>
        <w:r>
          <w:fldChar w:fldCharType="begin"/>
        </w:r>
        <w:r>
          <w:instrText xml:space="preserve"> PAGEREF _Toc13876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56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_Toc8256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09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_Toc22609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70" w:history="1">
        <w:r>
          <w:rPr>
            <w:rFonts w:ascii="仿宋" w:eastAsia="仿宋" w:hAnsi="仿宋" w:cs="仿宋" w:hint="eastAsia"/>
            <w:lang w:eastAsia="zh-CN"/>
          </w:rPr>
          <w:t>八、项目质量与标准</w:t>
        </w:r>
        <w:r>
          <w:tab/>
        </w:r>
        <w:r>
          <w:fldChar w:fldCharType="begin"/>
        </w:r>
        <w:r>
          <w:instrText xml:space="preserve"> PAGEREF _Toc11570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96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_Toc22596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08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_Toc14108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20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_Toc8920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71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_Toc3471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86" w:history="1">
        <w:r>
          <w:rPr>
            <w:rFonts w:ascii="仿宋" w:eastAsia="仿宋" w:hAnsi="仿宋" w:cs="仿宋" w:hint="eastAsia"/>
            <w:lang w:eastAsia="zh-CN"/>
          </w:rPr>
          <w:t>九、环境保护与绿色发展</w:t>
        </w:r>
        <w:r>
          <w:tab/>
        </w:r>
        <w:r>
          <w:fldChar w:fldCharType="begin"/>
        </w:r>
        <w:r>
          <w:instrText xml:space="preserve"> PAGEREF _Toc12186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57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_Toc7957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6976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_Toc6976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71" w:history="1">
        <w:r>
          <w:rPr>
            <w:rFonts w:ascii="仿宋" w:eastAsia="仿宋" w:hAnsi="仿宋" w:cs="仿宋" w:hint="eastAsia"/>
            <w:lang w:eastAsia="zh-CN"/>
          </w:rPr>
          <w:t>十、经济效益与社会效益优化</w:t>
        </w:r>
        <w:r>
          <w:tab/>
        </w:r>
        <w:r>
          <w:fldChar w:fldCharType="begin"/>
        </w:r>
        <w:r>
          <w:instrText xml:space="preserve"> PAGEREF _Toc9371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96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_Toc13796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09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_Toc17709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48" w:history="1">
        <w:r>
          <w:rPr>
            <w:rFonts w:ascii="仿宋" w:eastAsia="仿宋" w:hAnsi="仿宋" w:cs="仿宋" w:hint="eastAsia"/>
            <w:lang w:eastAsia="zh-CN"/>
          </w:rPr>
          <w:t>十一、土地利用与规划方案</w:t>
        </w:r>
        <w:r>
          <w:tab/>
        </w:r>
        <w:r>
          <w:fldChar w:fldCharType="begin"/>
        </w:r>
        <w:r>
          <w:instrText xml:space="preserve"> PAGEREF _Toc11348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89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_Toc23689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64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_Toc27864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46" w:history="1">
        <w:r>
          <w:rPr>
            <w:rFonts w:ascii="仿宋" w:eastAsia="仿宋" w:hAnsi="仿宋" w:cs="仿宋" w:hint="eastAsia"/>
            <w:lang w:eastAsia="zh-CN"/>
          </w:rPr>
          <w:t>十二、环境保护与治理方案</w:t>
        </w:r>
        <w:r>
          <w:tab/>
        </w:r>
        <w:r>
          <w:fldChar w:fldCharType="begin"/>
        </w:r>
        <w:r>
          <w:instrText xml:space="preserve"> PAGEREF _Toc9046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21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_Toc11021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77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_Toc11777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62" w:history="1">
        <w:r>
          <w:rPr>
            <w:rFonts w:ascii="仿宋" w:eastAsia="仿宋" w:hAnsi="仿宋" w:cs="仿宋" w:hint="eastAsia"/>
            <w:lang w:eastAsia="zh-CN"/>
          </w:rPr>
          <w:t>十三、合作与交流机制建立</w:t>
        </w:r>
        <w:r>
          <w:tab/>
        </w:r>
        <w:r>
          <w:fldChar w:fldCharType="begin"/>
        </w:r>
        <w:r>
          <w:instrText xml:space="preserve"> PAGEREF _Toc17362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73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_Toc8073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9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_Toc2389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93" w:history="1">
        <w:r>
          <w:rPr>
            <w:rFonts w:ascii="仿宋" w:eastAsia="仿宋" w:hAnsi="仿宋" w:cs="仿宋" w:hint="eastAsia"/>
            <w:lang w:eastAsia="zh-CN"/>
          </w:rPr>
          <w:t>十四、人力资源管理与开发</w:t>
        </w:r>
        <w:r>
          <w:tab/>
        </w:r>
        <w:r>
          <w:fldChar w:fldCharType="begin"/>
        </w:r>
        <w:r>
          <w:instrText xml:space="preserve"> PAGEREF _Toc6093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_Toc190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50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_Toc24850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44" w:history="1">
        <w:r>
          <w:rPr>
            <w:rFonts w:ascii="仿宋" w:eastAsia="仿宋" w:hAnsi="仿宋" w:cs="仿宋" w:hint="eastAsia"/>
            <w:lang w:eastAsia="zh-CN"/>
          </w:rPr>
          <w:t>十五、设施与设备管理</w:t>
        </w:r>
        <w:r>
          <w:tab/>
        </w:r>
        <w:r>
          <w:fldChar w:fldCharType="begin"/>
        </w:r>
        <w:r>
          <w:instrText xml:space="preserve"> PAGEREF _Toc9744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85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_Toc16085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44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_Toc12344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42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_Toc4142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57" w:history="1">
        <w:r>
          <w:rPr>
            <w:rFonts w:ascii="仿宋" w:eastAsia="仿宋" w:hAnsi="仿宋" w:cs="仿宋" w:hint="eastAsia"/>
            <w:lang w:eastAsia="zh-CN"/>
          </w:rPr>
          <w:t>十六、知识产权管理与保护</w:t>
        </w:r>
        <w:r>
          <w:tab/>
        </w:r>
        <w:r>
          <w:fldChar w:fldCharType="begin"/>
        </w:r>
        <w:r>
          <w:instrText xml:space="preserve"> PAGEREF _Toc24157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21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_Toc19021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18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_Toc24818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71" w:history="1">
        <w:r>
          <w:rPr>
            <w:rFonts w:ascii="仿宋" w:eastAsia="仿宋" w:hAnsi="仿宋" w:cs="仿宋" w:hint="eastAsia"/>
            <w:lang w:eastAsia="zh-CN"/>
          </w:rPr>
          <w:t>十七、成果转化与推广应用</w:t>
        </w:r>
        <w:r>
          <w:tab/>
        </w:r>
        <w:r>
          <w:fldChar w:fldCharType="begin"/>
        </w:r>
        <w:r>
          <w:instrText xml:space="preserve"> PAGEREF _Toc13271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33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_Toc17433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25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_Toc20525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42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912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937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洗板机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洗板机项目将进行详细的生态影响评估，确保不会对当地的动植物种群和自然栖息地造成负面影响。如果项目地点附近有重要的生物栖息地或生态敏感区，项目将重新考虑建设地点或采取相应的保护措施。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洗板机项目将积极采用可持续材料，如再生塑料和生物降解材料，以减少对环境的影响。项目还将推行废物减量和回收计划，例如通过再利用工业废料或建立回收系统。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洗板机项目还将参与当地的环保活动和计划，如资助当地的环境保护项目或与社区合作进行环保宣传活动。通过这些活动，项目不仅能够提高自身的环境表现，还能在当地社区中树立积极的环保形象。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2556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洗板机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洗板机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洗板机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8364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洗板机项目将采用绿色屋顶和生态墙等环境友好型建筑设计，这些设计不仅有助于改善空气质量，还能为城市野生动植物提供栖息地。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洗板机项目将建立高效的废水处理系统，确保所有工业废水在排放前都经过适当处理，达到或超过环保标准。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洗板机项目将致力于使用清洁能源，如太阳能和风能，减少对化石燃料的依赖。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洗板机项目将举办环保教育研讨会，向员工和当地社区普及环保知识，提升对环境保护重要性的认识。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8770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在洗板机项目启动前，将进行一系列深入的地质调查，包括钻探和土壤取样，以深入了解项目区域的地层结构和土壤组成。特别是对于土壤的承载能力和地下水位的深度进行详细评估。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洗板机项目将通过地下水位监测系统定期检测水位变化，以预测和预防由高地下水位可能引起的地基问题。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洗板机项目将进行详尽的水文和地形分析，以识别可能的洪水和泥石流风险区。基于这些分析，项目将设计防洪设施，如提高地基、构建防洪墙和排水沟。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洗板机项目还将考虑建设排水系统，以减少地表水对土壤稳定性的影响。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完成初始的地质风险评估后，洗板机项目将安装长期地质监测设备，如倾斜仪、裂缝计和地下水位计，以持续监测地质条件的变化。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30372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洗板机项目将通过这些措施来适应和尊重特殊环境条件，确保项目的可持续发展，同时减少对环境的负面影响。这不仅有助于保护自然和文化遗产，还能提升项目在社会责任方面的表现和形象。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9666"/>
      <w:r>
        <w:rPr>
          <w:rFonts w:ascii="仿宋" w:eastAsia="仿宋" w:hAnsi="仿宋" w:cs="仿宋" w:hint="eastAsia"/>
          <w:sz w:val="28"/>
          <w:lang w:eastAsia="zh-CN"/>
        </w:rPr>
        <w:t>二、经济影响分析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9709"/>
      <w:r>
        <w:rPr>
          <w:rFonts w:ascii="仿宋" w:eastAsia="仿宋" w:hAnsi="仿宋" w:cs="仿宋" w:hint="eastAsia"/>
          <w:lang w:eastAsia="zh-CN"/>
        </w:rPr>
        <w:t>(一)、经济费用效益或费用效果分析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项目总成本评估：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初始投资成本：假设土地购置成本为XX万元，建筑和基础设施建设成本为XX万元，设备采购和安装费用为XX万元。因此，项目的总初始投资成本估计为XX万元。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运营成本：每年的运营成本包括人力资源成本XX万元，原材料采购XX万元，能源消耗XX万元，维护和修理XX万元。因此，项目的年运营成本估计为XX万元。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环境和社会成本：环境保护措施预计年费用为XX万元，社区补偿和支持预算为XX万元，因此总计为XX万元。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预期收益分析：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直接收益：假设洗板机项目的产品或服务年销售收入为XX万元。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间接收益：包括提高品牌价值和市场份额，假设间接经济效益为XX万元。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社会和环境效益：虽难以量化，但假设其长期价值估计为XX万元。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成本效果比较：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假设项目的总成本（初始投资成本加上预计五年的运营成本和环境社会成本）为XX万元。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预期收益（直接收益加上五年的间接收益和社会环境效益）为XX万元。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因此，项目的成本效果比为XX万元（总成本）对比XX万元（总收益）。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投资回收期分析：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假设项目的总初始投资为XX万元，年运营成本为XX万元，而年直接收益为XX万元。假定直接收益和运营成本保持恒定，则项目的投资回收期为：（总初始投资） / （年直接收益 年运营成本）= XX年。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净现值（NPV）和内部收益率（IRR）分析：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净现值（NPV）是评估项目总收益与总成本现值的差额。假设项目预计持续XX年，每年的净收益为（年直接收益 年运营成本），折现率假定为XX%，则NPV计算为：NPV = ∑ [（年净收益） / （1 + 折现率）^年份] 初始投资成本。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内部收益率（IRR）是使得NPV为零的折现率，这是项目盈利能力的一个重要指标。通过财务软件或手工计算可得出IRR值。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https://d.book118.com/306243040154010043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洗板机项目建设总纲及方案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洗板机项目建设总纲及方案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洗板机项目建设总纲及方案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洗板机项目建设总纲及方案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洗板机项目建设总纲及方案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洗板机项目建设总纲及方案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洗板机项目建设总纲及方案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洗板机项目建设总纲及方案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洗板机项目建设总纲及方案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洗板机项目建设总纲及方案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洗板机项目建设总纲及方案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洗板机项目建设总纲及方案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1447C5F"/>
    <w:rsid w:val="01447C5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306243040154010043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2024-01-23T15:05:00Z</dcterms:created>
  <dcterms:modified xsi:type="dcterms:W3CDTF">2024-01-23T15:06:15Z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05A37A31A44F4AD79E24EF0097CDB2D5_11</vt:lpwstr>
  </property>
  <property fmtid="{D5CDD505-2E9C-101B-9397-08002B2CF9AE}" pid="3" name="KSOProductBuildVer">
    <vt:lpwstr>2052-12.1.0.16120</vt:lpwstr>
  </property>
</Properties>
</file>