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77"/>
        <w:rPr>
          <w:rFonts w:cs="Times New Roman"/>
        </w:rPr>
      </w:pPr>
      <w:r>
        <w:rPr>
          <w:rFonts w:ascii="Times New Roman" w:cs="Times New Roman"/>
        </w:rPr>
        <w:t>ICS</w:t>
      </w:r>
      <w:r>
        <w:rPr>
          <w:rFonts w:ascii="Cambria Math" w:hAnsi="Cambria Math" w:cs="Cambria Math"/>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t>35.040</w:t>
      </w:r>
      <w:r>
        <w:fldChar w:fldCharType="end"/>
      </w:r>
      <w:bookmarkEnd w:id="0"/>
    </w:p>
    <w:p>
      <w:pPr>
        <w:pStyle w:val="a77"/>
        <w:rPr>
          <w:rFonts w:cs="Times New Roman"/>
        </w:rPr>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t>L80</w:t>
      </w:r>
      <w:r>
        <w:fldChar w:fldCharType="end"/>
      </w:r>
      <w:bookmarkEnd w:id="1"/>
    </w:p>
    <w:p>
      <w:pPr>
        <w:pStyle w:val="a23"/>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GB" style="width:112.5pt;height:56.25pt" coordsize="21600,21600" o:preferrelative="t" filled="f" stroked="f">
            <v:stroke joinstyle="miter"/>
            <v:imagedata r:id="rId5" o:title=""/>
            <o:lock v:ext="edit" aspectratio="t"/>
            <w10:anchorlock/>
          </v:shape>
        </w:pict>
      </w:r>
    </w:p>
    <w:p>
      <w:pPr>
        <w:pStyle w:val="a24"/>
        <w:rPr>
          <w:rFonts w:cs="Times New Roman"/>
        </w:rPr>
      </w:pPr>
      <w:r>
        <w:rPr>
          <w:rFonts w:hint="eastAsia"/>
        </w:rPr>
        <w:t>中华人民共和国国家标准</w:t>
      </w:r>
    </w:p>
    <w:p>
      <w:pPr>
        <w:pStyle w:val="2"/>
        <w:rPr>
          <w:rFonts w:cs="Times New Roman"/>
        </w:rPr>
      </w:pPr>
      <w:r>
        <w:rPr>
          <w:rFonts w:ascii="Times New Roman" w:cs="Times New Roman"/>
        </w:rPr>
        <w:t xml:space="preserve">GB/T </w:t>
      </w:r>
      <w:bookmarkStart w:id="2"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2"/>
      <w:r>
        <w:rPr>
          <w:rFonts w:cs="Times New Roman"/>
        </w:rPr>
        <w:t>—</w:t>
      </w:r>
      <w:bookmarkStart w:id="3"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3"/>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9356"/>
      </w:tblGrid>
      <w:tr>
        <w:tblPrEx>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c>
          <w:tcPr>
            <w:tcW w:w="9356" w:type="dxa"/>
            <w:tcBorders>
              <w:top w:val="nil"/>
              <w:left w:val="nil"/>
              <w:bottom w:val="nil"/>
              <w:right w:val="nil"/>
            </w:tcBorders>
          </w:tcPr>
          <w:p>
            <w:pPr>
              <w:pStyle w:val="a33"/>
              <w:rPr>
                <w:rFonts w:cs="Times New Roman"/>
              </w:rPr>
            </w:pPr>
            <w:bookmarkStart w:id="4" w:name="DT"/>
            <w:r>
              <w:pict>
                <v:rect id="DT" o:spid="_x0000_s1026" style="width:90pt;height:18pt;margin-top:2.7pt;margin-left:372.8pt;mso-height-relative:page;mso-width-relative:page;position:absolute;z-index:-251656192" coordsize="21600,21600" stroked="f"/>
              </w:pict>
            </w:r>
            <w:r>
              <w:fldChar w:fldCharType="begin">
                <w:ffData>
                  <w:name w:val="DT"/>
                  <w:enabled/>
                  <w:calcOnExit w:val="0"/>
                  <w:textInput/>
                </w:ffData>
              </w:fldChar>
            </w:r>
            <w:r>
              <w:instrText xml:space="preserve"> FORMTEXT </w:instrText>
            </w:r>
            <w:r>
              <w:fldChar w:fldCharType="separate"/>
            </w:r>
            <w:r>
              <w:rPr>
                <w:rFonts w:cs="Times New Roman"/>
              </w:rPr>
              <w:t>     </w:t>
            </w:r>
            <w:r>
              <w:fldChar w:fldCharType="end"/>
            </w:r>
            <w:bookmarkEnd w:id="4"/>
          </w:p>
        </w:tc>
      </w:tr>
    </w:tbl>
    <w:p>
      <w:pPr>
        <w:pStyle w:val="2"/>
        <w:rPr>
          <w:rFonts w:cs="Times New Roman"/>
        </w:rPr>
      </w:pPr>
    </w:p>
    <w:p>
      <w:pPr>
        <w:pStyle w:val="2"/>
        <w:rPr>
          <w:rFonts w:cs="Times New Roman"/>
        </w:rPr>
      </w:pPr>
    </w:p>
    <w:p>
      <w:pPr>
        <w:pStyle w:val="a34"/>
        <w:rPr>
          <w:rFonts w:cs="Times New Roman"/>
        </w:rPr>
      </w:pPr>
      <w:bookmarkStart w:id="5"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信息安全技术</w:t>
      </w:r>
      <w:r>
        <w:t xml:space="preserve"> </w:t>
      </w:r>
      <w:r>
        <w:rPr>
          <w:rFonts w:hint="eastAsia"/>
        </w:rPr>
        <w:t>移动通信智能终端操作系统安全技术要求</w:t>
      </w:r>
    </w:p>
    <w:p>
      <w:pPr>
        <w:pStyle w:val="a34"/>
        <w:rPr>
          <w:rFonts w:cs="Times New Roman"/>
        </w:rPr>
      </w:pPr>
      <w:r>
        <w:rPr>
          <w:rFonts w:hint="eastAsia"/>
        </w:rPr>
        <w:t>（</w:t>
      </w:r>
      <w:r>
        <w:t>EAL2</w:t>
      </w:r>
      <w:r>
        <w:rPr>
          <w:rFonts w:hint="eastAsia"/>
        </w:rPr>
        <w:t>级）</w:t>
      </w:r>
      <w:r>
        <w:fldChar w:fldCharType="end"/>
      </w:r>
      <w:bookmarkEnd w:id="5"/>
    </w:p>
    <w:p>
      <w:pPr>
        <w:pStyle w:val="a35"/>
      </w:pPr>
      <w:bookmarkStart w:id="6"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Technical Requirements of Security</w:t>
      </w:r>
    </w:p>
    <w:p>
      <w:pPr>
        <w:pStyle w:val="a35"/>
      </w:pPr>
      <w:r>
        <w:t xml:space="preserve"> for Operating System in Mobile Smart Terminal</w:t>
      </w:r>
    </w:p>
    <w:p>
      <w:pPr>
        <w:pStyle w:val="a35"/>
      </w:pPr>
      <w:r>
        <w:rPr>
          <w:rFonts w:cs="黑体" w:hint="eastAsia"/>
        </w:rPr>
        <w:t>（</w:t>
      </w:r>
      <w:r>
        <w:t>EAL2</w:t>
      </w:r>
      <w:r>
        <w:rPr>
          <w:rFonts w:cs="黑体" w:hint="eastAsia"/>
        </w:rPr>
        <w:t>）</w:t>
      </w:r>
      <w:r>
        <w:fldChar w:fldCharType="end"/>
      </w:r>
      <w:bookmarkEnd w:id="6"/>
    </w:p>
    <w:p>
      <w:pPr>
        <w:pStyle w:val="a36"/>
        <w:rPr>
          <w:rFonts w:cs="Times New Roman"/>
        </w:rPr>
      </w:pPr>
      <w:bookmarkStart w:id="7"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rPr>
          <w:rFonts w:cs="Times New Roman"/>
        </w:rPr>
        <w:t> </w:t>
      </w:r>
      <w:r>
        <w:fldChar w:fldCharType="end"/>
      </w:r>
      <w:bookmarkEnd w:id="7"/>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9855"/>
      </w:tblGrid>
      <w:tr>
        <w:tblPrEx>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c>
          <w:tcPr>
            <w:tcW w:w="9855" w:type="dxa"/>
            <w:tcBorders>
              <w:top w:val="nil"/>
              <w:left w:val="nil"/>
              <w:bottom w:val="nil"/>
              <w:right w:val="nil"/>
            </w:tcBorders>
          </w:tcPr>
          <w:p>
            <w:pPr>
              <w:pStyle w:val="a37"/>
              <w:rPr>
                <w:rFonts w:cs="Times New Roman"/>
              </w:rPr>
            </w:pPr>
            <w:r>
              <w:pict>
                <v:rect id="RQ" o:spid="_x0000_s1027" style="width:150pt;height:20pt;margin-top:45.15pt;margin-left:173.3pt;mso-height-relative:page;mso-width-relative:page;position:absolute;z-index:-251654144" coordsize="21600,21600" stroked="f">
                  <w10:anchorlock/>
                </v:rect>
              </w:pict>
            </w:r>
            <w:r>
              <w:pict>
                <v:rect id="LB" o:spid="_x0000_s1028" style="width:100pt;height:24pt;margin-top:20.15pt;margin-left:193.3pt;mso-height-relative:page;mso-width-relative:page;position:absolute;z-index:-251655168" coordsize="21600,21600" stroked="f">
                  <w10:anchorlock/>
                </v:rect>
              </w:pict>
            </w:r>
            <w:bookmarkStart w:id="8" w:name="LB"/>
            <w:r>
              <w:fldChar w:fldCharType="begin">
                <w:ffData>
                  <w:name w:val="LB"/>
                  <w:enabled/>
                  <w:calcOnExit w:val="0"/>
                  <w:ddList>
                    <w:result w:val="4"/>
                    <w:listEntry w:val="文稿版次选择"/>
                    <w:listEntry w:val="（工作组讨论稿）"/>
                    <w:listEntry w:val="（征求意见稿）"/>
                    <w:listEntry w:val="（送审讨论稿）"/>
                    <w:listEntry w:val="（送审稿）"/>
                    <w:listEntry w:val="（报批稿）"/>
                  </w:ddList>
                </w:ffData>
              </w:fldChar>
            </w:r>
            <w:r>
              <w:instrText xml:space="preserve"> FORMDROPDOWN </w:instrText>
            </w:r>
            <w:r>
              <w:fldChar w:fldCharType="separate"/>
            </w:r>
            <w:r>
              <w:fldChar w:fldCharType="end"/>
            </w:r>
            <w:bookmarkEnd w:id="8"/>
          </w:p>
        </w:tc>
      </w:tr>
      <w:tr>
        <w:tblPrEx>
          <w:tblW w:w="0" w:type="auto"/>
          <w:tblInd w:w="-106" w:type="dxa"/>
          <w:tblCellMar>
            <w:top w:w="0" w:type="dxa"/>
            <w:left w:w="108" w:type="dxa"/>
            <w:bottom w:w="0" w:type="dxa"/>
            <w:right w:w="108" w:type="dxa"/>
          </w:tblCellMar>
        </w:tblPrEx>
        <w:tc>
          <w:tcPr>
            <w:tcW w:w="9855" w:type="dxa"/>
            <w:tcBorders>
              <w:top w:val="nil"/>
              <w:left w:val="nil"/>
              <w:bottom w:val="nil"/>
              <w:right w:val="nil"/>
            </w:tcBorders>
          </w:tcPr>
          <w:p>
            <w:pPr>
              <w:pStyle w:val="a38"/>
              <w:rPr>
                <w:rFonts w:cs="Times New Roman"/>
              </w:rPr>
            </w:pPr>
            <w:bookmarkStart w:id="9" w:name="WCRQ"/>
            <w:r>
              <w:fldChar w:fldCharType="begin">
                <w:ffData>
                  <w:name w:val="WCRQ"/>
                  <w:enabled/>
                  <w:calcOnExit w:val="0"/>
                  <w:textInput/>
                </w:ffData>
              </w:fldChar>
            </w:r>
            <w:r>
              <w:instrText xml:space="preserve"> FORMTEXT </w:instrText>
            </w:r>
            <w:r>
              <w:fldChar w:fldCharType="separate"/>
            </w:r>
            <w:r>
              <w:rPr>
                <w:rFonts w:hint="eastAsia"/>
              </w:rPr>
              <w:t>（本稿完成日期：</w:t>
            </w:r>
            <w:r>
              <w:t>2012</w:t>
            </w:r>
            <w:r>
              <w:rPr>
                <w:rFonts w:hint="eastAsia"/>
              </w:rPr>
              <w:t>年</w:t>
            </w:r>
            <w:r>
              <w:t>9</w:t>
            </w:r>
            <w:r>
              <w:rPr>
                <w:rFonts w:hint="eastAsia"/>
              </w:rPr>
              <w:t>月</w:t>
            </w:r>
            <w:r>
              <w:t>9</w:t>
            </w:r>
            <w:r>
              <w:rPr>
                <w:rFonts w:hint="eastAsia"/>
              </w:rPr>
              <w:t>日）</w:t>
            </w:r>
            <w:r>
              <w:fldChar w:fldCharType="end"/>
            </w:r>
            <w:bookmarkEnd w:id="9"/>
          </w:p>
        </w:tc>
      </w:tr>
    </w:tbl>
    <w:p>
      <w:pPr>
        <w:pStyle w:val="a84"/>
      </w:pPr>
      <w:bookmarkStart w:id="10" w:name="FY"/>
      <w:r>
        <w:rPr>
          <w:rFonts w:ascii="黑体" w:cs="黑体"/>
        </w:rPr>
        <w:fldChar w:fldCharType="begin">
          <w:ffData>
            <w:name w:val="FY"/>
            <w:enabled/>
            <w:calcOnExit w:val="0"/>
            <w:textInput>
              <w:default w:val="XXXX"/>
              <w:maxLength w:val="4"/>
            </w:textInput>
          </w:ffData>
        </w:fldChar>
      </w:r>
      <w:r>
        <w:rPr>
          <w:rFonts w:ascii="黑体" w:cs="黑体"/>
        </w:rPr>
        <w:instrText xml:space="preserve"> FORMTEXT </w:instrText>
      </w:r>
      <w:r>
        <w:rPr>
          <w:rFonts w:ascii="黑体" w:cs="黑体"/>
        </w:rPr>
        <w:fldChar w:fldCharType="separate"/>
      </w:r>
      <w:r>
        <w:rPr>
          <w:rFonts w:ascii="黑体"/>
        </w:rPr>
        <w:t>    </w:t>
      </w:r>
      <w:r>
        <w:rPr>
          <w:rFonts w:ascii="黑体" w:cs="黑体"/>
        </w:rPr>
        <w:fldChar w:fldCharType="end"/>
      </w:r>
      <w:bookmarkEnd w:id="10"/>
      <w:r>
        <w:t xml:space="preserve"> </w:t>
      </w:r>
      <w:r>
        <w:rPr>
          <w:rFonts w:ascii="黑体" w:cs="黑体"/>
        </w:rPr>
        <w:t>-</w:t>
      </w:r>
      <w:r>
        <w:t xml:space="preserve"> </w:t>
      </w:r>
      <w:bookmarkStart w:id="11" w:name="FM"/>
      <w:r>
        <w:rPr>
          <w:rFonts w:ascii="黑体" w:cs="黑体"/>
        </w:rPr>
        <w:fldChar w:fldCharType="begin">
          <w:ffData>
            <w:name w:val="FM"/>
            <w:enabled/>
            <w:calcOnExit w:val="0"/>
            <w:textInput>
              <w:default w:val="XX"/>
              <w:maxLength w:val="2"/>
            </w:textInput>
          </w:ffData>
        </w:fldChar>
      </w:r>
      <w:r>
        <w:rPr>
          <w:rFonts w:ascii="黑体" w:cs="黑体"/>
        </w:rPr>
        <w:instrText xml:space="preserve"> FORMTEXT </w:instrText>
      </w:r>
      <w:r>
        <w:rPr>
          <w:rFonts w:ascii="黑体" w:cs="黑体"/>
        </w:rPr>
        <w:fldChar w:fldCharType="separate"/>
      </w:r>
      <w:r>
        <w:rPr>
          <w:rFonts w:ascii="黑体" w:cs="黑体"/>
        </w:rPr>
        <w:t>XX</w:t>
      </w:r>
      <w:r>
        <w:rPr>
          <w:rFonts w:ascii="黑体" w:cs="黑体"/>
        </w:rPr>
        <w:fldChar w:fldCharType="end"/>
      </w:r>
      <w:bookmarkEnd w:id="11"/>
      <w:r>
        <w:t xml:space="preserve"> </w:t>
      </w:r>
      <w:r>
        <w:rPr>
          <w:rFonts w:ascii="黑体" w:cs="黑体"/>
        </w:rPr>
        <w:t>-</w:t>
      </w:r>
      <w:r>
        <w:t xml:space="preserve"> </w:t>
      </w:r>
      <w:bookmarkStart w:id="12" w:name="FD"/>
      <w:r>
        <w:rPr>
          <w:rFonts w:ascii="黑体" w:cs="黑体"/>
        </w:rPr>
        <w:fldChar w:fldCharType="begin">
          <w:ffData>
            <w:name w:val="FD"/>
            <w:enabled/>
            <w:calcOnExit w:val="0"/>
            <w:textInput>
              <w:default w:val="XX"/>
              <w:maxLength w:val="2"/>
            </w:textInput>
          </w:ffData>
        </w:fldChar>
      </w:r>
      <w:r>
        <w:rPr>
          <w:rFonts w:ascii="黑体" w:cs="黑体"/>
        </w:rPr>
        <w:instrText xml:space="preserve"> FORMTEXT </w:instrText>
      </w:r>
      <w:r>
        <w:rPr>
          <w:rFonts w:ascii="黑体" w:cs="黑体"/>
        </w:rPr>
        <w:fldChar w:fldCharType="separate"/>
      </w:r>
      <w:r>
        <w:rPr>
          <w:rFonts w:ascii="黑体" w:cs="黑体"/>
        </w:rPr>
        <w:t>XX</w:t>
      </w:r>
      <w:r>
        <w:rPr>
          <w:rFonts w:ascii="黑体" w:cs="黑体"/>
        </w:rPr>
        <w:fldChar w:fldCharType="end"/>
      </w:r>
      <w:bookmarkEnd w:id="12"/>
      <w:r>
        <w:rPr>
          <w:rFonts w:cs="黑体" w:hint="eastAsia"/>
        </w:rPr>
        <w:t>发布</w:t>
      </w:r>
      <w:r>
        <w:pict>
          <v:line id="_x0000_s1029" o:spid="_x0000_s1029" style="mso-height-relative:page;mso-position-vertical-relative:page;mso-width-relative:page;position:absolute;z-index:251658240" from="-0.05pt,728.5pt" to="481.85pt,728.5pt" coordsize="21600,21600">
            <w10:anchorlock/>
          </v:line>
        </w:pict>
      </w:r>
    </w:p>
    <w:p>
      <w:pPr>
        <w:pStyle w:val="a85"/>
      </w:pPr>
      <w:bookmarkStart w:id="13" w:name="SY"/>
      <w:r>
        <w:rPr>
          <w:rFonts w:ascii="黑体" w:cs="黑体"/>
        </w:rPr>
        <w:fldChar w:fldCharType="begin">
          <w:ffData>
            <w:name w:val="SY"/>
            <w:enabled/>
            <w:calcOnExit w:val="0"/>
            <w:textInput>
              <w:default w:val="XXXX"/>
              <w:maxLength w:val="4"/>
            </w:textInput>
          </w:ffData>
        </w:fldChar>
      </w:r>
      <w:r>
        <w:rPr>
          <w:rFonts w:ascii="黑体" w:cs="黑体"/>
        </w:rPr>
        <w:instrText xml:space="preserve"> FORMTEXT </w:instrText>
      </w:r>
      <w:r>
        <w:rPr>
          <w:rFonts w:ascii="黑体" w:cs="黑体"/>
        </w:rPr>
        <w:fldChar w:fldCharType="separate"/>
      </w:r>
      <w:r>
        <w:rPr>
          <w:rFonts w:ascii="黑体" w:cs="黑体"/>
        </w:rPr>
        <w:t>XXXX</w:t>
      </w:r>
      <w:r>
        <w:rPr>
          <w:rFonts w:ascii="黑体" w:cs="黑体"/>
        </w:rPr>
        <w:fldChar w:fldCharType="end"/>
      </w:r>
      <w:bookmarkEnd w:id="13"/>
      <w:r>
        <w:t xml:space="preserve"> </w:t>
      </w:r>
      <w:r>
        <w:rPr>
          <w:rFonts w:ascii="黑体" w:cs="黑体"/>
        </w:rPr>
        <w:t>-</w:t>
      </w:r>
      <w:r>
        <w:t xml:space="preserve"> </w:t>
      </w:r>
      <w:bookmarkStart w:id="14" w:name="SM"/>
      <w:r>
        <w:rPr>
          <w:rFonts w:ascii="黑体" w:cs="黑体"/>
        </w:rPr>
        <w:fldChar w:fldCharType="begin">
          <w:ffData>
            <w:name w:val="SM"/>
            <w:enabled/>
            <w:calcOnExit w:val="0"/>
            <w:textInput>
              <w:default w:val="XX"/>
              <w:maxLength w:val="2"/>
            </w:textInput>
          </w:ffData>
        </w:fldChar>
      </w:r>
      <w:r>
        <w:rPr>
          <w:rFonts w:ascii="黑体" w:cs="黑体"/>
        </w:rPr>
        <w:instrText xml:space="preserve"> FORMTEXT </w:instrText>
      </w:r>
      <w:r>
        <w:rPr>
          <w:rFonts w:ascii="黑体" w:cs="黑体"/>
        </w:rPr>
        <w:fldChar w:fldCharType="separate"/>
      </w:r>
      <w:r>
        <w:rPr>
          <w:rFonts w:ascii="黑体" w:cs="黑体"/>
        </w:rPr>
        <w:t>XX</w:t>
      </w:r>
      <w:r>
        <w:rPr>
          <w:rFonts w:ascii="黑体" w:cs="黑体"/>
        </w:rPr>
        <w:fldChar w:fldCharType="end"/>
      </w:r>
      <w:bookmarkEnd w:id="14"/>
      <w:r>
        <w:t xml:space="preserve"> </w:t>
      </w:r>
      <w:r>
        <w:rPr>
          <w:rFonts w:ascii="黑体" w:cs="黑体"/>
        </w:rPr>
        <w:t>-</w:t>
      </w:r>
      <w:r>
        <w:t xml:space="preserve"> </w:t>
      </w:r>
      <w:bookmarkStart w:id="15" w:name="SD"/>
      <w:r>
        <w:rPr>
          <w:rFonts w:ascii="黑体" w:cs="黑体"/>
        </w:rPr>
        <w:fldChar w:fldCharType="begin">
          <w:ffData>
            <w:name w:val="SD"/>
            <w:enabled/>
            <w:calcOnExit w:val="0"/>
            <w:textInput>
              <w:default w:val="XX"/>
              <w:maxLength w:val="2"/>
            </w:textInput>
          </w:ffData>
        </w:fldChar>
      </w:r>
      <w:r>
        <w:rPr>
          <w:rFonts w:ascii="黑体" w:cs="黑体"/>
        </w:rPr>
        <w:instrText xml:space="preserve"> FORMTEXT </w:instrText>
      </w:r>
      <w:r>
        <w:rPr>
          <w:rFonts w:ascii="黑体" w:cs="黑体"/>
        </w:rPr>
        <w:fldChar w:fldCharType="separate"/>
      </w:r>
      <w:r>
        <w:rPr>
          <w:rFonts w:ascii="黑体" w:cs="黑体"/>
        </w:rPr>
        <w:t>XX</w:t>
      </w:r>
      <w:r>
        <w:rPr>
          <w:rFonts w:ascii="黑体" w:cs="黑体"/>
        </w:rPr>
        <w:fldChar w:fldCharType="end"/>
      </w:r>
      <w:bookmarkEnd w:id="15"/>
      <w:r>
        <w:rPr>
          <w:rFonts w:cs="黑体" w:hint="eastAsia"/>
        </w:rPr>
        <w:t>实施</w:t>
      </w:r>
    </w:p>
    <w:p>
      <w:pPr>
        <w:pStyle w:val="a31"/>
        <w:rPr>
          <w:rFonts w:cs="Times New Roman"/>
        </w:rPr>
      </w:pPr>
      <w:r>
        <w:rPr>
          <w:rFonts w:cs="Times New Roman"/>
        </w:rPr>
        <w:pict>
          <v:shape id="_x0000_i1030" type="#_x0000_t75" alt="GBSendClear" style="width:386.25pt;height:54.75pt" coordsize="21600,21600" o:preferrelative="t" filled="f" stroked="f">
            <v:stroke joinstyle="miter"/>
            <v:imagedata r:id="rId6" o:title=""/>
            <o:lock v:ext="edit" aspectratio="t"/>
            <w10:anchorlock/>
          </v:shape>
        </w:pict>
      </w:r>
    </w:p>
    <w:p>
      <w:pPr>
        <w:pStyle w:val="a"/>
        <w:ind w:firstLine="31680"/>
        <w:rPr>
          <w:rFonts w:cs="Times New Roman"/>
        </w:rPr>
        <w:sectPr>
          <w:headerReference w:type="default" r:id="rId7"/>
          <w:footerReference w:type="default" r:id="rId8"/>
          <w:pgSz w:w="11906" w:h="16838"/>
          <w:pgMar w:top="567" w:right="850" w:bottom="1134" w:left="1418" w:header="0" w:footer="0" w:gutter="0"/>
          <w:pgNumType w:start="1"/>
          <w:cols w:num="1" w:space="425"/>
          <w:docGrid w:type="lines" w:linePitch="312" w:charSpace="0"/>
        </w:sectPr>
      </w:pPr>
      <w:r>
        <w:pict>
          <v:line id="_x0000_s1030" o:spid="_x0000_s1031" style="mso-height-relative:page;mso-width-relative:page;position:absolute;z-index:251659264" from="-0.05pt,184.25pt" to="481.85pt,184.25pt" coordsize="21600,21600">
            <w10:anchorlock/>
          </v:line>
        </w:pict>
      </w:r>
    </w:p>
    <w:p>
      <w:pPr>
        <w:pStyle w:val="a7"/>
        <w:rPr>
          <w:rFonts w:cs="Times New Roman"/>
        </w:rPr>
      </w:pPr>
      <w:bookmarkStart w:id="16" w:name="_GoBack"/>
      <w:bookmarkEnd w:id="16"/>
      <w:r>
        <w:rPr>
          <w:rFonts w:hint="eastAsia"/>
        </w:rPr>
        <w:t>移动通信智能终端操作系统安全技术要求</w:t>
      </w:r>
    </w:p>
    <w:p>
      <w:pPr>
        <w:pStyle w:val="a3"/>
        <w:spacing w:before="312" w:after="312"/>
        <w:rPr>
          <w:rFonts w:cs="Times New Roman"/>
        </w:rPr>
      </w:pPr>
      <w:bookmarkStart w:id="17" w:name="_Toc320954959"/>
      <w:bookmarkStart w:id="18" w:name="_Toc320805005"/>
      <w:bookmarkStart w:id="19" w:name="_Toc320804404"/>
      <w:bookmarkStart w:id="20" w:name="_Toc320950251"/>
      <w:bookmarkStart w:id="21" w:name="_Toc320817100"/>
      <w:bookmarkStart w:id="22" w:name="_Toc320955456"/>
      <w:r>
        <w:rPr>
          <w:rFonts w:hint="eastAsia"/>
        </w:rPr>
        <w:t>范围</w:t>
      </w:r>
      <w:bookmarkEnd w:id="17"/>
      <w:bookmarkEnd w:id="18"/>
      <w:bookmarkEnd w:id="19"/>
      <w:bookmarkEnd w:id="20"/>
      <w:bookmarkEnd w:id="21"/>
      <w:bookmarkEnd w:id="22"/>
    </w:p>
    <w:p>
      <w:pPr>
        <w:pStyle w:val="a"/>
        <w:ind w:firstLine="31680"/>
        <w:rPr>
          <w:rFonts w:cs="Times New Roman"/>
        </w:rPr>
      </w:pPr>
      <w:r>
        <w:rPr>
          <w:rFonts w:hint="eastAsia"/>
        </w:rPr>
        <w:t>本标准规定了</w:t>
      </w:r>
      <w:r>
        <w:t>EAL2</w:t>
      </w:r>
      <w:r>
        <w:rPr>
          <w:rFonts w:hint="eastAsia"/>
        </w:rPr>
        <w:t>级移动通信智能终端操作系统的安全技术要求，适用于移动通信智能终端操作系统安全的设计、开发、测试和评估。</w:t>
      </w:r>
    </w:p>
    <w:p>
      <w:pPr>
        <w:pStyle w:val="a3"/>
        <w:spacing w:before="312" w:after="312"/>
        <w:rPr>
          <w:rFonts w:cs="Times New Roman"/>
        </w:rPr>
      </w:pPr>
      <w:bookmarkStart w:id="23" w:name="_Toc320804405"/>
      <w:bookmarkStart w:id="24" w:name="_Toc320805006"/>
      <w:bookmarkStart w:id="25" w:name="_Toc320955457"/>
      <w:bookmarkStart w:id="26" w:name="_Toc320950252"/>
      <w:bookmarkStart w:id="27" w:name="_Toc320954960"/>
      <w:bookmarkStart w:id="28" w:name="_Toc320817101"/>
      <w:r>
        <w:rPr>
          <w:rFonts w:hint="eastAsia"/>
        </w:rPr>
        <w:t>规范性引用文件</w:t>
      </w:r>
      <w:bookmarkEnd w:id="23"/>
      <w:bookmarkEnd w:id="24"/>
      <w:bookmarkEnd w:id="25"/>
      <w:bookmarkEnd w:id="26"/>
      <w:bookmarkEnd w:id="27"/>
      <w:bookmarkEnd w:id="28"/>
    </w:p>
    <w:p>
      <w:pPr>
        <w:pStyle w:val="a"/>
        <w:ind w:firstLine="31680"/>
        <w:rPr>
          <w:rFonts w:cs="Times New Roman"/>
        </w:rPr>
      </w:pPr>
      <w:r>
        <w:rPr>
          <w:rFonts w:hint="eastAsia"/>
        </w:rPr>
        <w:t>下列文件对于本文件的应用是必不可少的。凡是注日期的引用文件，仅所注日期的版本适用于本文件。凡是不注日期的引用文件，其最新版本（包括所有的修改单）适用于本文件。</w:t>
      </w:r>
    </w:p>
    <w:p>
      <w:pPr>
        <w:pStyle w:val="a"/>
        <w:ind w:firstLine="31680"/>
        <w:rPr>
          <w:rFonts w:cs="Times New Roman"/>
        </w:rPr>
      </w:pPr>
      <w:r>
        <w:t xml:space="preserve">GB/T 18336.1-2008 </w:t>
      </w:r>
      <w:r>
        <w:rPr>
          <w:rFonts w:hint="eastAsia"/>
        </w:rPr>
        <w:t>信息技术</w:t>
      </w:r>
      <w:r>
        <w:t xml:space="preserve"> </w:t>
      </w:r>
      <w:r>
        <w:rPr>
          <w:rFonts w:hint="eastAsia"/>
        </w:rPr>
        <w:t>安全技术</w:t>
      </w:r>
      <w:r>
        <w:t xml:space="preserve"> </w:t>
      </w:r>
      <w:r>
        <w:rPr>
          <w:rFonts w:hint="eastAsia"/>
        </w:rPr>
        <w:t>信息技术安全性评估准则</w:t>
      </w:r>
      <w:r>
        <w:t xml:space="preserve"> </w:t>
      </w:r>
      <w:r>
        <w:rPr>
          <w:rFonts w:hint="eastAsia"/>
        </w:rPr>
        <w:t>第一部分：简介和一般模型</w:t>
      </w:r>
    </w:p>
    <w:p>
      <w:pPr>
        <w:pStyle w:val="a"/>
        <w:ind w:firstLine="31680"/>
        <w:rPr>
          <w:rFonts w:cs="Times New Roman"/>
        </w:rPr>
      </w:pPr>
      <w:r>
        <w:rPr>
          <w:rFonts w:cs="Times New Roman"/>
        </w:rPr>
        <w:tab/>
      </w:r>
    </w:p>
    <w:p>
      <w:pPr>
        <w:pStyle w:val="a3"/>
        <w:spacing w:before="312" w:after="312"/>
        <w:rPr>
          <w:rFonts w:cs="Times New Roman"/>
        </w:rPr>
      </w:pPr>
      <w:bookmarkStart w:id="29" w:name="_Toc320804406"/>
      <w:bookmarkEnd w:id="29"/>
      <w:bookmarkStart w:id="30" w:name="_Toc320817102"/>
      <w:bookmarkStart w:id="31" w:name="_Toc320805007"/>
      <w:bookmarkStart w:id="32" w:name="_Toc320950253"/>
      <w:bookmarkStart w:id="33" w:name="_Toc320954961"/>
      <w:bookmarkStart w:id="34" w:name="_Toc320955458"/>
      <w:r>
        <w:rPr>
          <w:rFonts w:hint="eastAsia"/>
        </w:rPr>
        <w:t>术语、定义和缩略语</w:t>
      </w:r>
      <w:bookmarkEnd w:id="30"/>
      <w:bookmarkEnd w:id="31"/>
      <w:bookmarkEnd w:id="32"/>
      <w:bookmarkEnd w:id="33"/>
      <w:bookmarkEnd w:id="34"/>
    </w:p>
    <w:p>
      <w:pPr>
        <w:pStyle w:val="a0"/>
        <w:spacing w:before="156" w:after="156"/>
        <w:rPr>
          <w:rFonts w:cs="Times New Roman"/>
        </w:rPr>
      </w:pPr>
      <w:bookmarkStart w:id="35" w:name="_Toc320950254"/>
      <w:bookmarkStart w:id="36" w:name="_Toc320955459"/>
      <w:bookmarkStart w:id="37" w:name="_Toc320805008"/>
      <w:bookmarkStart w:id="38" w:name="_Toc320817103"/>
      <w:bookmarkStart w:id="39" w:name="_Toc320954962"/>
      <w:r>
        <w:rPr>
          <w:rFonts w:hint="eastAsia"/>
        </w:rPr>
        <w:t>术语和定义</w:t>
      </w:r>
      <w:bookmarkEnd w:id="35"/>
      <w:bookmarkEnd w:id="36"/>
      <w:bookmarkEnd w:id="37"/>
      <w:bookmarkEnd w:id="38"/>
      <w:bookmarkEnd w:id="39"/>
    </w:p>
    <w:p>
      <w:pPr>
        <w:pStyle w:val="a"/>
        <w:ind w:firstLine="31680"/>
        <w:rPr>
          <w:rFonts w:cs="Times New Roman"/>
        </w:rPr>
      </w:pPr>
      <w:r>
        <w:t>GB/T 18336.1-2008</w:t>
      </w:r>
      <w:r>
        <w:rPr>
          <w:rFonts w:hint="eastAsia"/>
        </w:rPr>
        <w:t>确定的术语、定义和如下定义适用于本标准。</w:t>
      </w:r>
    </w:p>
    <w:p>
      <w:pPr>
        <w:pStyle w:val="a4"/>
        <w:spacing w:before="156" w:after="156"/>
      </w:pPr>
      <w:bookmarkStart w:id="40" w:name="_Toc320805009"/>
      <w:r>
        <w:rPr>
          <w:rFonts w:hint="eastAsia"/>
        </w:rPr>
        <w:t>移动通信智能终端</w:t>
      </w:r>
      <w:r>
        <w:t xml:space="preserve">  Mobile Smart</w:t>
      </w:r>
      <w:bookmarkEnd w:id="40"/>
      <w:r>
        <w:t xml:space="preserve"> Terminal</w:t>
      </w:r>
    </w:p>
    <w:p>
      <w:pPr>
        <w:pStyle w:val="a"/>
        <w:ind w:firstLine="31680"/>
        <w:rPr>
          <w:rFonts w:cs="Times New Roman"/>
        </w:rPr>
      </w:pPr>
      <w:r>
        <w:rPr>
          <w:rFonts w:hint="eastAsia"/>
        </w:rPr>
        <w:t>通过蜂窝移动通信网络向用户提供语音、消息、电子邮件、</w:t>
      </w:r>
      <w:r>
        <w:t xml:space="preserve">Web </w:t>
      </w:r>
      <w:r>
        <w:rPr>
          <w:rFonts w:hint="eastAsia"/>
        </w:rPr>
        <w:t>浏览等服务，集成照相机、摄像机、音乐、视频播放器、电视机、定位导航等功能的个人手持通信设备，可以下载、安装应用软件，是具备移动通信功能的手持式电脑。以下简称移动终端。</w:t>
      </w:r>
    </w:p>
    <w:p>
      <w:pPr>
        <w:pStyle w:val="a4"/>
        <w:spacing w:before="156" w:after="156"/>
      </w:pPr>
      <w:bookmarkStart w:id="41" w:name="_Toc320805010"/>
      <w:r>
        <w:rPr>
          <w:rFonts w:hint="eastAsia"/>
        </w:rPr>
        <w:t>移动通信智能终端操作系统</w:t>
      </w:r>
      <w:r>
        <w:t xml:space="preserve"> Smartphone operating system</w:t>
      </w:r>
      <w:bookmarkEnd w:id="41"/>
    </w:p>
    <w:p>
      <w:pPr>
        <w:pStyle w:val="a"/>
        <w:ind w:firstLine="31680"/>
        <w:rPr>
          <w:rFonts w:cs="Times New Roman"/>
        </w:rPr>
      </w:pPr>
      <w:r>
        <w:rPr>
          <w:rFonts w:hint="eastAsia"/>
        </w:rPr>
        <w:t>移动通信智能终端操作系统是运行在移动通信终端上的系统软件，控制、管理移动终端上的硬件和软件，提供用户操作界面和应用软件编程接口。移动通信智能终端操作系统管理的资源中涉及用户利益的资源有通信资源、信源传感器和存储用户信息的存储器等。</w:t>
      </w:r>
    </w:p>
    <w:p>
      <w:pPr>
        <w:pStyle w:val="a4"/>
        <w:spacing w:before="156" w:after="156"/>
      </w:pPr>
      <w:bookmarkStart w:id="42" w:name="_Toc320805011"/>
      <w:r>
        <w:rPr>
          <w:rFonts w:hint="eastAsia"/>
        </w:rPr>
        <w:t>操作系统边界</w:t>
      </w:r>
      <w:r>
        <w:t xml:space="preserve"> operating system boundary</w:t>
      </w:r>
      <w:bookmarkEnd w:id="42"/>
    </w:p>
    <w:p>
      <w:pPr>
        <w:pStyle w:val="a"/>
        <w:ind w:firstLine="31680"/>
        <w:rPr>
          <w:rFonts w:cs="Times New Roman"/>
        </w:rPr>
      </w:pPr>
      <w:r>
        <w:rPr>
          <w:rFonts w:hint="eastAsia"/>
        </w:rPr>
        <w:t>操作系统边界内的软件由操作系统的核心软件部分组成，边界内的软件受到操作系统运行平台保护不被非可信主体干扰，并且不受操作系统安全策略限制。操作系统边界外的应用软件对系统资源的访问受到操作系统安全策略的限制，应用软件对系统资源的访问应在操作系统安全功能介导下进行。</w:t>
      </w:r>
    </w:p>
    <w:p>
      <w:pPr>
        <w:pStyle w:val="a4"/>
        <w:spacing w:before="156" w:after="156"/>
      </w:pPr>
      <w:bookmarkStart w:id="43" w:name="_Toc320805012"/>
      <w:r>
        <w:rPr>
          <w:rFonts w:hint="eastAsia"/>
        </w:rPr>
        <w:t>用户</w:t>
      </w:r>
      <w:r>
        <w:t xml:space="preserve"> user</w:t>
      </w:r>
      <w:bookmarkEnd w:id="43"/>
    </w:p>
    <w:p>
      <w:pPr>
        <w:pStyle w:val="a"/>
        <w:ind w:firstLine="31680"/>
        <w:rPr>
          <w:rFonts w:cs="Times New Roman"/>
        </w:rPr>
      </w:pPr>
      <w:r>
        <w:rPr>
          <w:rFonts w:hint="eastAsia"/>
        </w:rPr>
        <w:t>在移动通信智能终端操作系统之外，与移动通信智能终端操作系统交互的任何实体（人员用户或外部</w:t>
      </w:r>
      <w:r>
        <w:t>IT</w:t>
      </w:r>
      <w:r>
        <w:rPr>
          <w:rFonts w:hint="eastAsia"/>
        </w:rPr>
        <w:t>实体）。</w:t>
      </w:r>
    </w:p>
    <w:p>
      <w:pPr>
        <w:pStyle w:val="a4"/>
        <w:spacing w:before="156" w:after="156"/>
        <w:sectPr>
          <w:headerReference w:type="default" r:id="rId9"/>
          <w:footerReference w:type="default" r:id="rId10"/>
          <w:pgSz w:w="11906" w:h="16838"/>
          <w:pgMar w:top="567" w:right="1134" w:bottom="1134" w:left="1418" w:header="1418" w:footer="1134" w:gutter="0"/>
          <w:pgNumType w:start="1"/>
          <w:cols w:num="1" w:space="425"/>
          <w:formProt w:val="0"/>
          <w:docGrid w:type="lines" w:linePitch="312" w:charSpace="0"/>
        </w:sectPr>
      </w:pPr>
      <w:bookmarkStart w:id="44" w:name="_Toc320805013"/>
      <w:r>
        <w:rPr>
          <w:rFonts w:hint="eastAsia"/>
        </w:rPr>
        <w:t>授权用户</w:t>
      </w:r>
      <w:r>
        <w:t xml:space="preserve"> authorized user</w:t>
      </w:r>
      <w:bookmarkEnd w:id="44"/>
    </w:p>
    <w:p>
      <w:pPr>
        <w:pStyle w:val="a"/>
        <w:ind w:firstLine="31680"/>
        <w:rPr>
          <w:rFonts w:cs="Times New Roman"/>
        </w:rPr>
      </w:pPr>
      <w:r>
        <w:rPr>
          <w:rFonts w:hint="eastAsia"/>
        </w:rPr>
        <w:t>依据安全策略可执行某项操作的用户。</w:t>
      </w:r>
    </w:p>
    <w:p>
      <w:pPr>
        <w:pStyle w:val="a4"/>
        <w:spacing w:before="156" w:after="156"/>
      </w:pPr>
      <w:bookmarkStart w:id="45" w:name="_Toc320805014"/>
      <w:r>
        <w:rPr>
          <w:rFonts w:hint="eastAsia"/>
        </w:rPr>
        <w:t>持有者</w:t>
      </w:r>
      <w:r>
        <w:t xml:space="preserve"> holder</w:t>
      </w:r>
      <w:bookmarkEnd w:id="45"/>
    </w:p>
    <w:p>
      <w:pPr>
        <w:pStyle w:val="a"/>
        <w:ind w:firstLine="31680"/>
        <w:rPr>
          <w:rFonts w:cs="Times New Roman"/>
        </w:rPr>
      </w:pPr>
      <w:r>
        <w:rPr>
          <w:rFonts w:hint="eastAsia"/>
        </w:rPr>
        <w:t>移动通信智能终端的合法使用者。</w:t>
      </w:r>
    </w:p>
    <w:p>
      <w:pPr>
        <w:pStyle w:val="a4"/>
        <w:spacing w:before="156" w:after="156"/>
      </w:pPr>
      <w:bookmarkStart w:id="46" w:name="_Toc320805015"/>
      <w:r>
        <w:rPr>
          <w:rFonts w:hint="eastAsia"/>
        </w:rPr>
        <w:t>管理员</w:t>
      </w:r>
      <w:r>
        <w:t xml:space="preserve"> administrator</w:t>
      </w:r>
      <w:bookmarkEnd w:id="46"/>
    </w:p>
    <w:p>
      <w:pPr>
        <w:pStyle w:val="a"/>
        <w:ind w:firstLine="31680"/>
        <w:rPr>
          <w:rFonts w:cs="Times New Roman"/>
        </w:rPr>
      </w:pPr>
      <w:r>
        <w:rPr>
          <w:rFonts w:hint="eastAsia"/>
        </w:rPr>
        <w:t>是一个授权用户，拥有管理部分或全部移动通信智能终端操作系统安全功能的权限，同时可能拥有旁路部分移动通信智能终端操作系统安全策略的特权。</w:t>
      </w:r>
    </w:p>
    <w:p>
      <w:pPr>
        <w:pStyle w:val="a4"/>
        <w:spacing w:before="156" w:after="156"/>
      </w:pPr>
      <w:bookmarkStart w:id="47" w:name="_Toc320805016"/>
      <w:r>
        <w:rPr>
          <w:rFonts w:hint="eastAsia"/>
        </w:rPr>
        <w:t>人员用户</w:t>
      </w:r>
      <w:r>
        <w:t xml:space="preserve"> human user</w:t>
      </w:r>
      <w:bookmarkEnd w:id="47"/>
    </w:p>
    <w:p>
      <w:pPr>
        <w:pStyle w:val="a"/>
        <w:ind w:firstLine="31680"/>
        <w:rPr>
          <w:rFonts w:cs="Times New Roman"/>
        </w:rPr>
      </w:pPr>
      <w:r>
        <w:rPr>
          <w:rFonts w:hint="eastAsia"/>
        </w:rPr>
        <w:t>与移动通信智能终端操作系统交互的任何人员，如移动通信智能终端持有者等。</w:t>
      </w:r>
    </w:p>
    <w:p>
      <w:pPr>
        <w:pStyle w:val="a4"/>
        <w:spacing w:before="156" w:after="156"/>
      </w:pPr>
      <w:bookmarkStart w:id="48" w:name="_Toc320805017"/>
      <w:r>
        <w:rPr>
          <w:rFonts w:hint="eastAsia"/>
        </w:rPr>
        <w:t>角色</w:t>
      </w:r>
      <w:r>
        <w:t xml:space="preserve"> role</w:t>
      </w:r>
      <w:bookmarkEnd w:id="48"/>
    </w:p>
    <w:p>
      <w:pPr>
        <w:pStyle w:val="a"/>
        <w:ind w:firstLine="31680"/>
        <w:rPr>
          <w:rFonts w:cs="Times New Roman"/>
        </w:rPr>
      </w:pPr>
      <w:r>
        <w:rPr>
          <w:rFonts w:hint="eastAsia"/>
        </w:rPr>
        <w:t>一组预先确定的规则，规定用户和移动通信智能终端操作系统之间所允许的交互行为。</w:t>
      </w:r>
    </w:p>
    <w:p>
      <w:pPr>
        <w:pStyle w:val="a4"/>
        <w:spacing w:before="156" w:after="156"/>
      </w:pPr>
      <w:bookmarkStart w:id="49" w:name="_Toc320805018"/>
      <w:r>
        <w:rPr>
          <w:rFonts w:hint="eastAsia"/>
        </w:rPr>
        <w:t>应用软件</w:t>
      </w:r>
      <w:r>
        <w:t xml:space="preserve"> application software</w:t>
      </w:r>
      <w:bookmarkEnd w:id="49"/>
    </w:p>
    <w:p>
      <w:pPr>
        <w:pStyle w:val="a"/>
        <w:ind w:firstLine="31680"/>
        <w:rPr>
          <w:rFonts w:cs="Times New Roman"/>
        </w:rPr>
      </w:pPr>
      <w:r>
        <w:rPr>
          <w:rFonts w:hint="eastAsia"/>
        </w:rPr>
        <w:t>移动智能终端操作系统之外，向用户提供服务功能的软件。</w:t>
      </w:r>
    </w:p>
    <w:p>
      <w:pPr>
        <w:pStyle w:val="a4"/>
        <w:spacing w:before="156" w:after="156"/>
      </w:pPr>
      <w:bookmarkStart w:id="50" w:name="_Toc320805019"/>
      <w:r>
        <w:rPr>
          <w:rFonts w:hint="eastAsia"/>
        </w:rPr>
        <w:t>主体</w:t>
      </w:r>
      <w:r>
        <w:t xml:space="preserve"> subject</w:t>
      </w:r>
      <w:bookmarkEnd w:id="50"/>
    </w:p>
    <w:p>
      <w:pPr>
        <w:pStyle w:val="a"/>
        <w:ind w:firstLine="31680"/>
        <w:rPr>
          <w:rFonts w:cs="Times New Roman"/>
        </w:rPr>
      </w:pPr>
      <w:r>
        <w:rPr>
          <w:rFonts w:hint="eastAsia"/>
        </w:rPr>
        <w:t>在移动通信智能终端操作系统安全功能控制下实施操作的实体，如用户、进程</w:t>
      </w:r>
    </w:p>
    <w:p>
      <w:pPr>
        <w:pStyle w:val="a4"/>
        <w:spacing w:before="156" w:after="156"/>
      </w:pPr>
      <w:bookmarkStart w:id="51" w:name="_Toc320805020"/>
      <w:r>
        <w:rPr>
          <w:rFonts w:hint="eastAsia"/>
        </w:rPr>
        <w:t>客体</w:t>
      </w:r>
      <w:r>
        <w:t xml:space="preserve"> object</w:t>
      </w:r>
      <w:bookmarkEnd w:id="51"/>
    </w:p>
    <w:p>
      <w:pPr>
        <w:pStyle w:val="a"/>
        <w:ind w:firstLine="31680"/>
        <w:rPr>
          <w:rFonts w:cs="Times New Roman"/>
        </w:rPr>
      </w:pPr>
      <w:r>
        <w:rPr>
          <w:rFonts w:hint="eastAsia"/>
        </w:rPr>
        <w:t>在移动通信智能终端操作系统安全功能控制下被主体实施操作的实体，如文件。</w:t>
      </w:r>
    </w:p>
    <w:p>
      <w:pPr>
        <w:pStyle w:val="a4"/>
        <w:spacing w:before="156" w:after="156"/>
      </w:pPr>
      <w:bookmarkStart w:id="52" w:name="_Toc320805021"/>
      <w:r>
        <w:rPr>
          <w:rFonts w:hint="eastAsia"/>
        </w:rPr>
        <w:t>介导</w:t>
      </w:r>
      <w:r>
        <w:t xml:space="preserve"> mediate</w:t>
      </w:r>
      <w:bookmarkEnd w:id="52"/>
    </w:p>
    <w:p>
      <w:pPr>
        <w:pStyle w:val="a"/>
        <w:ind w:firstLine="31680"/>
        <w:rPr>
          <w:rFonts w:cs="Times New Roman"/>
        </w:rPr>
      </w:pPr>
      <w:r>
        <w:rPr>
          <w:rFonts w:hint="eastAsia"/>
        </w:rPr>
        <w:t>以一个中间步骤来传递或起媒介的作用。授权主体通过操作系统安全功能介导实现对系统资源、用户数据的访问。</w:t>
      </w:r>
    </w:p>
    <w:p>
      <w:pPr>
        <w:pStyle w:val="a4"/>
        <w:spacing w:before="156" w:after="156"/>
      </w:pPr>
      <w:bookmarkStart w:id="53" w:name="_Toc320805022"/>
      <w:r>
        <w:rPr>
          <w:rFonts w:hint="eastAsia"/>
        </w:rPr>
        <w:t>鉴别数据</w:t>
      </w:r>
      <w:r>
        <w:t xml:space="preserve"> authentication data</w:t>
      </w:r>
      <w:bookmarkEnd w:id="53"/>
    </w:p>
    <w:p>
      <w:pPr>
        <w:pStyle w:val="a"/>
        <w:ind w:firstLine="31680"/>
        <w:rPr>
          <w:rFonts w:cs="Times New Roman"/>
        </w:rPr>
      </w:pPr>
      <w:r>
        <w:rPr>
          <w:rFonts w:hint="eastAsia"/>
        </w:rPr>
        <w:t>用于验证用户所声称身份的信息。</w:t>
      </w:r>
    </w:p>
    <w:p>
      <w:pPr>
        <w:pStyle w:val="a4"/>
        <w:spacing w:before="156" w:after="156"/>
      </w:pPr>
      <w:bookmarkStart w:id="54" w:name="_Toc320805023"/>
      <w:r>
        <w:rPr>
          <w:rFonts w:hint="eastAsia"/>
        </w:rPr>
        <w:t>用户数据</w:t>
      </w:r>
      <w:r>
        <w:t xml:space="preserve"> user data</w:t>
      </w:r>
      <w:bookmarkEnd w:id="54"/>
    </w:p>
    <w:p>
      <w:pPr>
        <w:pStyle w:val="a"/>
        <w:ind w:firstLine="31680"/>
        <w:rPr>
          <w:rFonts w:cs="Times New Roman"/>
        </w:rPr>
      </w:pPr>
      <w:r>
        <w:rPr>
          <w:rFonts w:hint="eastAsia"/>
        </w:rPr>
        <w:t>由用户产生或为用户服务的数据，这些数据不影响</w:t>
      </w:r>
      <w:r>
        <w:t>TOE</w:t>
      </w:r>
      <w:r>
        <w:rPr>
          <w:rFonts w:hint="eastAsia"/>
        </w:rPr>
        <w:t>安全功能的运行。</w:t>
      </w:r>
    </w:p>
    <w:p>
      <w:pPr>
        <w:pStyle w:val="a4"/>
        <w:spacing w:before="156" w:after="156"/>
      </w:pPr>
      <w:bookmarkStart w:id="55" w:name="_Toc320805024"/>
      <w:r>
        <w:rPr>
          <w:rFonts w:hint="eastAsia"/>
        </w:rPr>
        <w:t>安全属性</w:t>
      </w:r>
      <w:r>
        <w:t xml:space="preserve">  security attribute</w:t>
      </w:r>
      <w:bookmarkEnd w:id="55"/>
    </w:p>
    <w:p>
      <w:pPr>
        <w:pStyle w:val="a"/>
        <w:ind w:firstLine="31680"/>
        <w:rPr>
          <w:rFonts w:cs="Times New Roman"/>
        </w:rPr>
      </w:pPr>
      <w:r>
        <w:rPr>
          <w:rFonts w:hint="eastAsia"/>
        </w:rPr>
        <w:t>是用户、主体、客体、信息、会话及资源的特性，此特性用于定义安全功能要求，其值用于实施安全功能要求。</w:t>
      </w:r>
    </w:p>
    <w:p>
      <w:pPr>
        <w:pStyle w:val="a4"/>
        <w:spacing w:before="156" w:after="156"/>
      </w:pPr>
      <w:bookmarkStart w:id="56" w:name="_Toc320805025"/>
      <w:r>
        <w:rPr>
          <w:rFonts w:hint="eastAsia"/>
        </w:rPr>
        <w:t>移动终端安全功能数据</w:t>
      </w:r>
      <w:r>
        <w:t xml:space="preserve"> TSF data</w:t>
      </w:r>
      <w:bookmarkEnd w:id="56"/>
    </w:p>
    <w:p>
      <w:pPr>
        <w:pStyle w:val="a"/>
        <w:ind w:firstLine="31680"/>
        <w:rPr>
          <w:rFonts w:cs="Times New Roman"/>
        </w:rPr>
      </w:pPr>
      <w:r>
        <w:rPr>
          <w:rFonts w:hint="eastAsia"/>
        </w:rPr>
        <w:t>实施移动终端操作系统安全功能所依赖的数据。</w:t>
      </w:r>
    </w:p>
    <w:p>
      <w:pPr>
        <w:pStyle w:val="a4"/>
        <w:spacing w:before="156" w:after="156"/>
        <w:sectPr>
          <w:headerReference w:type="default" r:id="rId11"/>
          <w:footerReference w:type="default" r:id="rId12"/>
          <w:type w:val="nextPage"/>
          <w:pgSz w:w="11906" w:h="16838"/>
          <w:pgMar w:top="567" w:right="1134" w:bottom="1134" w:left="1418" w:header="1418" w:footer="1134" w:gutter="0"/>
          <w:pgNumType w:start="2"/>
          <w:cols w:num="1" w:space="425"/>
          <w:formProt w:val="0"/>
          <w:titlePg w:val="0"/>
          <w:docGrid w:type="lines" w:linePitch="312" w:charSpace="0"/>
        </w:sectPr>
      </w:pPr>
      <w:bookmarkStart w:id="57" w:name="_Toc320805026"/>
      <w:r>
        <w:rPr>
          <w:rFonts w:hint="eastAsia"/>
        </w:rPr>
        <w:t>资源</w:t>
      </w:r>
      <w:r>
        <w:t xml:space="preserve"> resource</w:t>
      </w:r>
      <w:bookmarkEnd w:id="57"/>
    </w:p>
    <w:p>
      <w:pPr>
        <w:pStyle w:val="a"/>
        <w:ind w:firstLine="31680"/>
        <w:rPr>
          <w:rFonts w:cs="Times New Roman"/>
        </w:rPr>
      </w:pPr>
      <w:r>
        <w:rPr>
          <w:rFonts w:hint="eastAsia"/>
        </w:rPr>
        <w:t>资源是一组有限的逻辑或物理实体，操作系统可为用户、主体和客体分配或管理资源，如存储空间、电源、</w:t>
      </w:r>
      <w:r>
        <w:t>CPU</w:t>
      </w:r>
      <w:r>
        <w:rPr>
          <w:rFonts w:hint="eastAsia"/>
        </w:rPr>
        <w:t>、无线通信设备等。</w:t>
      </w:r>
    </w:p>
    <w:p>
      <w:pPr>
        <w:pStyle w:val="a4"/>
        <w:spacing w:before="156" w:after="156"/>
      </w:pPr>
      <w:bookmarkStart w:id="58" w:name="_Toc320805027"/>
      <w:r>
        <w:rPr>
          <w:rFonts w:hint="eastAsia"/>
        </w:rPr>
        <w:t>会话</w:t>
      </w:r>
      <w:r>
        <w:t xml:space="preserve"> session</w:t>
      </w:r>
      <w:bookmarkEnd w:id="58"/>
    </w:p>
    <w:p>
      <w:pPr>
        <w:pStyle w:val="a"/>
        <w:ind w:firstLine="31680"/>
        <w:rPr>
          <w:rFonts w:cs="Times New Roman"/>
        </w:rPr>
      </w:pPr>
      <w:r>
        <w:rPr>
          <w:rFonts w:hint="eastAsia"/>
        </w:rPr>
        <w:t>用户与</w:t>
      </w:r>
      <w:r>
        <w:t>TSF</w:t>
      </w:r>
      <w:r>
        <w:rPr>
          <w:rFonts w:hint="eastAsia"/>
        </w:rPr>
        <w:t>的一段交互。会话建立受控于多种因素，如用户鉴别、对</w:t>
      </w:r>
      <w:r>
        <w:t>TOE</w:t>
      </w:r>
      <w:r>
        <w:rPr>
          <w:rFonts w:hint="eastAsia"/>
        </w:rPr>
        <w:t>访问的时间和方法及允许建立会话的最大数等。</w:t>
      </w:r>
    </w:p>
    <w:p>
      <w:pPr>
        <w:pStyle w:val="a4"/>
        <w:spacing w:before="156" w:after="156"/>
        <w:rPr>
          <w:rFonts w:cs="Times New Roman"/>
        </w:rPr>
      </w:pPr>
      <w:bookmarkStart w:id="59" w:name="_Toc320805029"/>
      <w:r>
        <w:rPr>
          <w:rFonts w:hint="eastAsia"/>
        </w:rPr>
        <w:t>评估对象</w:t>
      </w:r>
      <w:r>
        <w:t xml:space="preserve"> target of evaluation</w:t>
      </w:r>
      <w:bookmarkEnd w:id="59"/>
      <w:r>
        <w:t>(TOE)</w:t>
      </w:r>
    </w:p>
    <w:p>
      <w:pPr>
        <w:pStyle w:val="a"/>
        <w:ind w:firstLine="31680"/>
        <w:rPr>
          <w:rFonts w:cs="Times New Roman"/>
        </w:rPr>
      </w:pPr>
      <w:r>
        <w:rPr>
          <w:rFonts w:hint="eastAsia"/>
        </w:rPr>
        <w:t>被评估的</w:t>
      </w:r>
      <w:r>
        <w:t>IT</w:t>
      </w:r>
      <w:r>
        <w:rPr>
          <w:rFonts w:hint="eastAsia"/>
        </w:rPr>
        <w:t>产品，包括使用指南。本标准指移动通信智能终端操作系统。</w:t>
      </w:r>
    </w:p>
    <w:p>
      <w:pPr>
        <w:pStyle w:val="a4"/>
        <w:spacing w:before="156" w:after="156"/>
        <w:rPr>
          <w:rFonts w:cs="Times New Roman"/>
        </w:rPr>
      </w:pPr>
      <w:bookmarkStart w:id="60" w:name="_Toc320805030"/>
      <w:r>
        <w:rPr>
          <w:rFonts w:hint="eastAsia"/>
        </w:rPr>
        <w:t>移动终端操作系统安全功能</w:t>
      </w:r>
      <w:r>
        <w:t xml:space="preserve"> TOE security functions</w:t>
      </w:r>
      <w:bookmarkEnd w:id="60"/>
      <w:r>
        <w:rPr>
          <w:rFonts w:hint="eastAsia"/>
        </w:rPr>
        <w:t>（</w:t>
      </w:r>
      <w:r>
        <w:t>TSF</w:t>
      </w:r>
      <w:r>
        <w:rPr>
          <w:rFonts w:hint="eastAsia"/>
        </w:rPr>
        <w:t>）</w:t>
      </w:r>
    </w:p>
    <w:p>
      <w:pPr>
        <w:pStyle w:val="a"/>
        <w:ind w:firstLine="31680"/>
        <w:rPr>
          <w:rFonts w:cs="Times New Roman"/>
        </w:rPr>
      </w:pPr>
      <w:r>
        <w:rPr>
          <w:rFonts w:hint="eastAsia"/>
        </w:rPr>
        <w:t>移动终端操作系统正确、完整实现安全功能要求所必须依赖的所有软件、固件、硬件的功能集合。</w:t>
      </w:r>
    </w:p>
    <w:p>
      <w:pPr>
        <w:pStyle w:val="a0"/>
        <w:spacing w:before="156" w:after="156"/>
        <w:rPr>
          <w:rFonts w:cs="Times New Roman"/>
        </w:rPr>
      </w:pPr>
      <w:bookmarkStart w:id="61" w:name="_Toc320805031"/>
      <w:bookmarkStart w:id="62" w:name="_Toc320817104"/>
      <w:bookmarkStart w:id="63" w:name="_Toc320950255"/>
      <w:bookmarkStart w:id="64" w:name="_Toc320955460"/>
      <w:bookmarkStart w:id="65" w:name="_Toc320954963"/>
      <w:r>
        <w:rPr>
          <w:rFonts w:hint="eastAsia"/>
        </w:rPr>
        <w:t>缩略语</w:t>
      </w:r>
      <w:bookmarkEnd w:id="61"/>
      <w:bookmarkEnd w:id="62"/>
      <w:bookmarkEnd w:id="63"/>
      <w:bookmarkEnd w:id="64"/>
      <w:bookmarkEnd w:id="65"/>
    </w:p>
    <w:p>
      <w:pPr>
        <w:pStyle w:val="a"/>
        <w:ind w:firstLine="31680"/>
        <w:rPr>
          <w:rFonts w:cs="Times New Roman"/>
        </w:rPr>
      </w:pPr>
      <w:r>
        <w:t>GB/T 18336.1-2008</w:t>
      </w:r>
      <w:r>
        <w:rPr>
          <w:rFonts w:hint="eastAsia"/>
        </w:rPr>
        <w:t>的如下缩略语适用于本标准。</w:t>
      </w:r>
    </w:p>
    <w:p>
      <w:pPr>
        <w:pStyle w:val="a"/>
        <w:ind w:firstLine="31680"/>
        <w:rPr>
          <w:rFonts w:cs="Times New Roman"/>
        </w:rPr>
      </w:pPr>
      <w:r>
        <w:t xml:space="preserve">SFP  </w:t>
      </w:r>
      <w:r>
        <w:rPr>
          <w:rFonts w:hint="eastAsia"/>
        </w:rPr>
        <w:t>安全功能策略</w:t>
      </w:r>
      <w:r>
        <w:t xml:space="preserve"> Security Function Policy</w:t>
      </w:r>
    </w:p>
    <w:p>
      <w:pPr>
        <w:pStyle w:val="a"/>
        <w:ind w:firstLine="31680"/>
      </w:pPr>
      <w:r>
        <w:t xml:space="preserve">TOE  </w:t>
      </w:r>
      <w:r>
        <w:rPr>
          <w:rFonts w:hint="eastAsia"/>
        </w:rPr>
        <w:t>评估对象</w:t>
      </w:r>
      <w:r>
        <w:t xml:space="preserve"> Target of Evaluation</w:t>
      </w:r>
    </w:p>
    <w:p>
      <w:pPr>
        <w:pStyle w:val="a"/>
        <w:ind w:firstLine="31680"/>
      </w:pPr>
      <w:r>
        <w:t>TSF  TOE</w:t>
      </w:r>
      <w:r>
        <w:rPr>
          <w:rFonts w:hint="eastAsia"/>
        </w:rPr>
        <w:t>安全功能</w:t>
      </w:r>
      <w:r>
        <w:t xml:space="preserve"> TOE Security Functions</w:t>
      </w:r>
    </w:p>
    <w:p>
      <w:pPr>
        <w:pStyle w:val="a"/>
        <w:ind w:firstLine="31680"/>
      </w:pPr>
      <w:r>
        <w:t>TSFI TOE</w:t>
      </w:r>
      <w:r>
        <w:rPr>
          <w:rFonts w:hint="eastAsia"/>
        </w:rPr>
        <w:t>安全功能接口</w:t>
      </w:r>
      <w:r>
        <w:t xml:space="preserve"> TSF Interface</w:t>
      </w:r>
    </w:p>
    <w:p>
      <w:pPr>
        <w:pStyle w:val="a3"/>
        <w:spacing w:before="312" w:after="312"/>
        <w:rPr>
          <w:rFonts w:cs="Times New Roman"/>
        </w:rPr>
      </w:pPr>
      <w:bookmarkStart w:id="66" w:name="_Toc320950256"/>
      <w:bookmarkStart w:id="67" w:name="_Toc320805032"/>
      <w:bookmarkStart w:id="68" w:name="_Toc320817105"/>
      <w:bookmarkStart w:id="69" w:name="_Toc320954964"/>
      <w:bookmarkStart w:id="70" w:name="_Toc320955461"/>
      <w:r>
        <w:rPr>
          <w:rFonts w:hint="eastAsia"/>
        </w:rPr>
        <w:t>概述</w:t>
      </w:r>
      <w:bookmarkEnd w:id="66"/>
      <w:bookmarkEnd w:id="67"/>
      <w:bookmarkEnd w:id="68"/>
      <w:bookmarkEnd w:id="69"/>
      <w:bookmarkEnd w:id="70"/>
    </w:p>
    <w:p>
      <w:pPr>
        <w:pStyle w:val="a0"/>
        <w:spacing w:before="156" w:after="156"/>
        <w:rPr>
          <w:rFonts w:cs="Times New Roman"/>
        </w:rPr>
      </w:pPr>
      <w:bookmarkStart w:id="71" w:name="_Toc320817106"/>
      <w:bookmarkStart w:id="72" w:name="_Toc320805033"/>
      <w:bookmarkStart w:id="73" w:name="_Toc320950257"/>
      <w:bookmarkStart w:id="74" w:name="_Toc320955462"/>
      <w:bookmarkStart w:id="75" w:name="_Toc320954965"/>
      <w:r>
        <w:t>TOE</w:t>
      </w:r>
      <w:r>
        <w:rPr>
          <w:rFonts w:hint="eastAsia"/>
        </w:rPr>
        <w:t>类型</w:t>
      </w:r>
      <w:bookmarkEnd w:id="71"/>
      <w:bookmarkEnd w:id="72"/>
      <w:bookmarkEnd w:id="73"/>
      <w:bookmarkEnd w:id="74"/>
      <w:bookmarkEnd w:id="75"/>
    </w:p>
    <w:p>
      <w:pPr>
        <w:pStyle w:val="a"/>
        <w:ind w:firstLine="31680"/>
        <w:rPr>
          <w:rFonts w:cs="Times New Roman"/>
        </w:rPr>
      </w:pPr>
      <w:r>
        <w:rPr>
          <w:rFonts w:hint="eastAsia"/>
        </w:rPr>
        <w:t>移动通信智能终端操作系统是单人员用户使用的手持操作系统，主要目的是向用户提供良好的操作界面，便于用户使用移动终端的功能。随着处理器能力的提高及移动通信技术的发展，移动终端能够通过多种方式接入国际互联网或其他计算机系统，并支持各种商业应用。</w:t>
      </w:r>
    </w:p>
    <w:p>
      <w:pPr>
        <w:pStyle w:val="a"/>
        <w:ind w:firstLine="31680"/>
        <w:rPr>
          <w:rFonts w:cs="Times New Roman"/>
        </w:rPr>
      </w:pPr>
      <w:r>
        <w:rPr>
          <w:rFonts w:hint="eastAsia"/>
        </w:rPr>
        <w:t>移动通信智能终端操作系统的特点是开放应用软件可编程接口（</w:t>
      </w:r>
      <w:r>
        <w:t>API</w:t>
      </w:r>
      <w:r>
        <w:rPr>
          <w:rFonts w:hint="eastAsia"/>
        </w:rPr>
        <w:t>）或开放操作系统源文件，由此带来的安全威胁使得安全功能成为移动智能终端操作系统必不可少的组成部分。</w:t>
      </w:r>
    </w:p>
    <w:p>
      <w:pPr>
        <w:pStyle w:val="a"/>
        <w:ind w:firstLine="31680"/>
        <w:rPr>
          <w:rFonts w:cs="Times New Roman"/>
        </w:rPr>
      </w:pPr>
      <w:r>
        <w:rPr>
          <w:rFonts w:hint="eastAsia"/>
        </w:rPr>
        <w:t>移动终端操作系统管理移动终端硬件、软件。移动终端上与用户利益直接相关的硬件包括：通信设备（蜂窝移动通信设备、无线局域网设备），终端信源传感器（麦克、摄像头、加速度计、定位导航系统），终端输入输出设备（红外线接口、蓝牙、</w:t>
      </w:r>
      <w:r>
        <w:t>USB</w:t>
      </w:r>
      <w:r>
        <w:rPr>
          <w:rFonts w:hint="eastAsia"/>
        </w:rPr>
        <w:t>接口、</w:t>
      </w:r>
      <w:r>
        <w:t>SDIO</w:t>
      </w:r>
      <w:r>
        <w:rPr>
          <w:rFonts w:hint="eastAsia"/>
        </w:rPr>
        <w:t>接口）等。与用户利益直接相关的软件包括存储用户信息的文件（电话号码本、通信记录、短消息、电子邮件、记事本等）以及相关应用软件。</w:t>
      </w:r>
    </w:p>
    <w:p>
      <w:pPr>
        <w:pStyle w:val="a"/>
        <w:ind w:firstLine="31680"/>
        <w:rPr>
          <w:rFonts w:cs="Times New Roman"/>
        </w:rPr>
      </w:pPr>
      <w:r>
        <w:rPr>
          <w:rFonts w:hint="eastAsia"/>
        </w:rPr>
        <w:t>符合本标准的移动终端操作系统具备下述特征：</w:t>
      </w:r>
    </w:p>
    <w:p>
      <w:pPr>
        <w:pStyle w:val="a16"/>
        <w:numPr>
          <w:ilvl w:val="0"/>
          <w:numId w:val="10"/>
        </w:numPr>
        <w:rPr>
          <w:rFonts w:cs="Times New Roman"/>
        </w:rPr>
      </w:pPr>
      <w:r>
        <w:rPr>
          <w:rFonts w:hint="eastAsia"/>
        </w:rPr>
        <w:t>在手持式单机硬件平台上工作；</w:t>
      </w:r>
    </w:p>
    <w:p>
      <w:pPr>
        <w:pStyle w:val="a16"/>
        <w:numPr>
          <w:ilvl w:val="0"/>
          <w:numId w:val="10"/>
        </w:numPr>
        <w:rPr>
          <w:rFonts w:cs="Times New Roman"/>
        </w:rPr>
      </w:pPr>
      <w:r>
        <w:rPr>
          <w:rFonts w:hint="eastAsia"/>
        </w:rPr>
        <w:t>单人员用户使用</w:t>
      </w:r>
      <w:r>
        <w:t xml:space="preserve"> </w:t>
      </w:r>
      <w:r>
        <w:rPr>
          <w:rFonts w:hint="eastAsia"/>
        </w:rPr>
        <w:t>；</w:t>
      </w:r>
    </w:p>
    <w:p>
      <w:pPr>
        <w:pStyle w:val="a16"/>
        <w:numPr>
          <w:ilvl w:val="0"/>
          <w:numId w:val="10"/>
        </w:numPr>
        <w:rPr>
          <w:rFonts w:cs="Times New Roman"/>
        </w:rPr>
      </w:pPr>
      <w:r>
        <w:rPr>
          <w:rFonts w:hint="eastAsia"/>
        </w:rPr>
        <w:t>支持多个管理员角色</w:t>
      </w:r>
      <w:r>
        <w:t xml:space="preserve"> </w:t>
      </w:r>
      <w:r>
        <w:rPr>
          <w:rFonts w:hint="eastAsia"/>
        </w:rPr>
        <w:t>；</w:t>
      </w:r>
    </w:p>
    <w:p>
      <w:pPr>
        <w:pStyle w:val="a16"/>
        <w:numPr>
          <w:ilvl w:val="0"/>
          <w:numId w:val="10"/>
        </w:numPr>
        <w:rPr>
          <w:rFonts w:cs="Times New Roman"/>
        </w:rPr>
      </w:pPr>
      <w:r>
        <w:rPr>
          <w:rFonts w:hint="eastAsia"/>
        </w:rPr>
        <w:t>支持应用软件安装</w:t>
      </w:r>
      <w:r>
        <w:t xml:space="preserve"> </w:t>
      </w:r>
      <w:r>
        <w:rPr>
          <w:rFonts w:hint="eastAsia"/>
        </w:rPr>
        <w:t>；</w:t>
      </w:r>
    </w:p>
    <w:p>
      <w:pPr>
        <w:pStyle w:val="a16"/>
        <w:numPr>
          <w:ilvl w:val="0"/>
          <w:numId w:val="10"/>
        </w:numPr>
        <w:rPr>
          <w:rFonts w:cs="Times New Roman"/>
        </w:rPr>
      </w:pPr>
      <w:r>
        <w:rPr>
          <w:rFonts w:hint="eastAsia"/>
        </w:rPr>
        <w:t>应用软件通过操作系统介导访问数据、传感器及无线通信资源；</w:t>
      </w:r>
    </w:p>
    <w:p>
      <w:pPr>
        <w:pStyle w:val="a16"/>
        <w:numPr>
          <w:ilvl w:val="0"/>
          <w:numId w:val="10"/>
        </w:numPr>
      </w:pPr>
      <w:r>
        <w:rPr>
          <w:rFonts w:hint="eastAsia"/>
        </w:rPr>
        <w:t>支持基于</w:t>
      </w:r>
      <w:r>
        <w:t>IP</w:t>
      </w:r>
      <w:r>
        <w:rPr>
          <w:rFonts w:hint="eastAsia"/>
        </w:rPr>
        <w:t>协议的网络通信；</w:t>
      </w:r>
      <w:r>
        <w:t xml:space="preserve"> </w:t>
      </w:r>
    </w:p>
    <w:p>
      <w:pPr>
        <w:pStyle w:val="a16"/>
        <w:numPr>
          <w:ilvl w:val="0"/>
          <w:numId w:val="10"/>
        </w:numPr>
        <w:rPr>
          <w:rFonts w:cs="Times New Roman"/>
        </w:rPr>
      </w:pPr>
      <w:r>
        <w:rPr>
          <w:rFonts w:hint="eastAsia"/>
        </w:rPr>
        <w:t>可以与远程</w:t>
      </w:r>
      <w:r>
        <w:t>IT</w:t>
      </w:r>
      <w:r>
        <w:rPr>
          <w:rFonts w:hint="eastAsia"/>
        </w:rPr>
        <w:t>系统协同工作。</w:t>
      </w:r>
    </w:p>
    <w:p>
      <w:pPr>
        <w:pStyle w:val="a0"/>
        <w:spacing w:before="156" w:after="156"/>
        <w:rPr>
          <w:rFonts w:cs="Times New Roman"/>
        </w:rPr>
        <w:sectPr>
          <w:headerReference w:type="default" r:id="rId13"/>
          <w:footerReference w:type="default" r:id="rId14"/>
          <w:type w:val="nextPage"/>
          <w:pgSz w:w="11906" w:h="16838"/>
          <w:pgMar w:top="567" w:right="1134" w:bottom="1134" w:left="1418" w:header="1418" w:footer="1134" w:gutter="0"/>
          <w:pgNumType w:start="3"/>
          <w:cols w:num="1" w:space="425"/>
          <w:formProt w:val="0"/>
          <w:titlePg w:val="0"/>
          <w:docGrid w:type="lines" w:linePitch="312" w:charSpace="0"/>
        </w:sectPr>
      </w:pPr>
      <w:bookmarkStart w:id="76" w:name="_Toc320805034"/>
      <w:bookmarkStart w:id="77" w:name="_Toc320817107"/>
      <w:bookmarkStart w:id="78" w:name="_Toc320950258"/>
      <w:bookmarkStart w:id="79" w:name="_Toc320954966"/>
      <w:bookmarkStart w:id="80" w:name="_Toc320955463"/>
      <w:r>
        <w:t>TOE</w:t>
      </w:r>
      <w:r>
        <w:rPr>
          <w:rFonts w:hint="eastAsia"/>
        </w:rPr>
        <w:t>安全特征</w:t>
      </w:r>
      <w:bookmarkEnd w:id="76"/>
      <w:bookmarkEnd w:id="77"/>
      <w:bookmarkEnd w:id="78"/>
      <w:bookmarkEnd w:id="79"/>
      <w:bookmarkEnd w:id="80"/>
    </w:p>
    <w:p>
      <w:pPr>
        <w:pStyle w:val="a"/>
        <w:ind w:firstLine="31680"/>
        <w:rPr>
          <w:rFonts w:cs="Times New Roman"/>
        </w:rPr>
      </w:pPr>
      <w:r>
        <w:rPr>
          <w:rFonts w:hint="eastAsia"/>
        </w:rPr>
        <w:t>移动终端操作系统需要抵御的威胁主要来自非授权用户的访问、授权用户的恶意访问、恶意应用软件的访问和互联网非授权实体的访问。</w:t>
      </w:r>
    </w:p>
    <w:p>
      <w:pPr>
        <w:pStyle w:val="a"/>
        <w:ind w:firstLine="31680"/>
        <w:rPr>
          <w:rFonts w:cs="Times New Roman"/>
        </w:rPr>
      </w:pPr>
      <w:r>
        <w:rPr>
          <w:rFonts w:hint="eastAsia"/>
        </w:rPr>
        <w:t>移动终端操作系统不提供多人员用户的隔离机制，移动终端失去物理保护时，可能受到非授权人员用户的恶意访问。因此移动终端操作系统必须利用会话建立，会话锁定、会话解锁，数据备份，备份数据保护等功能应对此类威胁，防范用户数据的泄露和丢失。</w:t>
      </w:r>
    </w:p>
    <w:p>
      <w:pPr>
        <w:pStyle w:val="a"/>
        <w:ind w:firstLine="31680"/>
        <w:rPr>
          <w:rFonts w:cs="Times New Roman"/>
        </w:rPr>
      </w:pPr>
      <w:r>
        <w:rPr>
          <w:rFonts w:hint="eastAsia"/>
        </w:rPr>
        <w:t>除使用者外，移动终端还可能存在多个授权用户，包括维修人员、各种服务人员和开发者等理论上的可信用户。这些授权用户可能有旁路或部分旁路移动终端操作系统安全机制的特权。本标准并不要求充分抵御授权用户的恶意行为，但要求移动终端操作系统依据最小特权原则，通过划分角色对授权用户的权限加以限制。</w:t>
      </w:r>
    </w:p>
    <w:p>
      <w:pPr>
        <w:pStyle w:val="a"/>
        <w:ind w:firstLine="31680"/>
        <w:rPr>
          <w:rFonts w:cs="Times New Roman"/>
        </w:rPr>
      </w:pPr>
      <w:r>
        <w:rPr>
          <w:rFonts w:hint="eastAsia"/>
        </w:rPr>
        <w:t>支持应用软件是移动智能终端的基本特征，恶意软件的安装和运行构成移动终端主要的安全威胁。移动终端可通过两类措施抵御恶意软件的威胁：</w:t>
      </w:r>
    </w:p>
    <w:p>
      <w:pPr>
        <w:pStyle w:val="a16"/>
        <w:numPr>
          <w:ilvl w:val="0"/>
          <w:numId w:val="11"/>
        </w:numPr>
        <w:rPr>
          <w:rFonts w:cs="Times New Roman"/>
        </w:rPr>
      </w:pPr>
      <w:r>
        <w:rPr>
          <w:rFonts w:hint="eastAsia"/>
        </w:rPr>
        <w:t>安装可信的应用软件；</w:t>
      </w:r>
    </w:p>
    <w:p>
      <w:pPr>
        <w:pStyle w:val="a16"/>
        <w:numPr>
          <w:ilvl w:val="0"/>
          <w:numId w:val="11"/>
        </w:numPr>
      </w:pPr>
      <w:r>
        <w:rPr>
          <w:rFonts w:hint="eastAsia"/>
        </w:rPr>
        <w:t>执行安全功能策略（访问控制策略和信息流控制策略）对应用软件的访问加以限制。</w:t>
      </w:r>
      <w:r>
        <w:t xml:space="preserve"> </w:t>
      </w:r>
    </w:p>
    <w:p>
      <w:pPr>
        <w:pStyle w:val="a"/>
        <w:ind w:firstLine="31680"/>
        <w:rPr>
          <w:rFonts w:cs="Times New Roman"/>
        </w:rPr>
      </w:pPr>
      <w:r>
        <w:rPr>
          <w:rFonts w:hint="eastAsia"/>
        </w:rPr>
        <w:t>移动终端安装可信应用软件的基础是采取技术手段维系移动终端与应用软件责任担保者之间的信任传递链条。本标准要求移动终端操作系统采用下述安全功能达到这种目的：</w:t>
      </w:r>
    </w:p>
    <w:p>
      <w:pPr>
        <w:pStyle w:val="a16"/>
        <w:numPr>
          <w:ilvl w:val="0"/>
          <w:numId w:val="11"/>
        </w:numPr>
        <w:rPr>
          <w:rFonts w:cs="Times New Roman"/>
        </w:rPr>
      </w:pPr>
      <w:r>
        <w:t>TSF</w:t>
      </w:r>
      <w:r>
        <w:rPr>
          <w:rFonts w:hint="eastAsia"/>
        </w:rPr>
        <w:t>间用户数据保密性传送、完整性传送；（如由可信应用商店承担应用软件的担保责任）；</w:t>
      </w:r>
    </w:p>
    <w:p>
      <w:pPr>
        <w:pStyle w:val="a16"/>
        <w:numPr>
          <w:ilvl w:val="0"/>
          <w:numId w:val="11"/>
        </w:numPr>
        <w:rPr>
          <w:rFonts w:cs="Times New Roman"/>
        </w:rPr>
      </w:pPr>
      <w:r>
        <w:rPr>
          <w:rFonts w:hint="eastAsia"/>
        </w:rPr>
        <w:t>带安全属性的用户数据输入；（如由可信第三方承担应用软件的担保责任）；</w:t>
      </w:r>
    </w:p>
    <w:p>
      <w:pPr>
        <w:pStyle w:val="a16"/>
        <w:numPr>
          <w:ilvl w:val="0"/>
          <w:numId w:val="11"/>
        </w:numPr>
        <w:rPr>
          <w:rFonts w:cs="Times New Roman"/>
        </w:rPr>
      </w:pPr>
      <w:r>
        <w:rPr>
          <w:rFonts w:hint="eastAsia"/>
        </w:rPr>
        <w:t>可信信道。</w:t>
      </w:r>
      <w:r>
        <w:t xml:space="preserve"> </w:t>
      </w:r>
      <w:r>
        <w:rPr>
          <w:rFonts w:hint="eastAsia"/>
        </w:rPr>
        <w:t>（如终端与可信应用商店或可信第三方建立可信通道）。</w:t>
      </w:r>
    </w:p>
    <w:p>
      <w:pPr>
        <w:pStyle w:val="a"/>
        <w:ind w:firstLine="31680"/>
      </w:pPr>
      <w:r>
        <w:rPr>
          <w:rFonts w:hint="eastAsia"/>
        </w:rPr>
        <w:t>移动终端很难完全避免恶意软件的安装，本标准要求移动终端操作系统实施访问控制策略限制应用软件的权限，使移动终端自身具备一定的安全防护能力。应用软件对用户数据、通信资源、传感器的访问均被访问控制策略覆盖。</w:t>
      </w:r>
      <w:r>
        <w:t xml:space="preserve"> </w:t>
      </w:r>
    </w:p>
    <w:p>
      <w:pPr>
        <w:pStyle w:val="a"/>
        <w:ind w:firstLine="31680"/>
      </w:pPr>
      <w:r>
        <w:rPr>
          <w:rFonts w:hint="eastAsia"/>
        </w:rPr>
        <w:t>与大型的专业计算机系统不同，通常情况下，移动终端没有实时在线管理员对安全异常事件做出响应，移动终端使用者也难以胜任全部安全管理职能。因此本标准要求通过安全角色的划分，把对用户数据、通信资源的访问授权管理职能赋予使用者，即移动终端持有者，而允许选择把复杂的安全管理职能（例如卸载已安装的恶意软件、操作系统升级、安全策略的更改）赋予在远程可信</w:t>
      </w:r>
      <w:r>
        <w:t>IT</w:t>
      </w:r>
      <w:r>
        <w:rPr>
          <w:rFonts w:hint="eastAsia"/>
        </w:rPr>
        <w:t>系统上工作的专业技术用户（比如，远程管理员）以实现远程可信</w:t>
      </w:r>
      <w:r>
        <w:t>IT</w:t>
      </w:r>
      <w:r>
        <w:rPr>
          <w:rFonts w:hint="eastAsia"/>
        </w:rPr>
        <w:t>系统对移动终端的管理，本标准对此功能的支持表现在对安全功能行为的管理、安全属性管理、</w:t>
      </w:r>
      <w:r>
        <w:t>TSF</w:t>
      </w:r>
      <w:r>
        <w:rPr>
          <w:rFonts w:hint="eastAsia"/>
        </w:rPr>
        <w:t>数据的管理以及</w:t>
      </w:r>
      <w:r>
        <w:t>TSF</w:t>
      </w:r>
      <w:r>
        <w:rPr>
          <w:rFonts w:hint="eastAsia"/>
        </w:rPr>
        <w:t>数据传送的保密性、完整性、一致性作出要求。</w:t>
      </w:r>
      <w:r>
        <w:t xml:space="preserve"> </w:t>
      </w:r>
    </w:p>
    <w:p>
      <w:pPr>
        <w:pStyle w:val="a"/>
        <w:ind w:firstLine="31680"/>
      </w:pPr>
      <w:r>
        <w:rPr>
          <w:rFonts w:hint="eastAsia"/>
        </w:rPr>
        <w:t>移动终端操作系统内置</w:t>
      </w:r>
      <w:r>
        <w:t>IP</w:t>
      </w:r>
      <w:r>
        <w:rPr>
          <w:rFonts w:hint="eastAsia"/>
        </w:rPr>
        <w:t>网络通信协议。</w:t>
      </w:r>
      <w:r>
        <w:t>IP</w:t>
      </w:r>
      <w:r>
        <w:rPr>
          <w:rFonts w:hint="eastAsia"/>
        </w:rPr>
        <w:t>网所有数据包和控制包都在一个公共管道上传送，不能将不同用户、不同用途的信息流分割到独立的通道中，</w:t>
      </w:r>
      <w:r>
        <w:t>IP</w:t>
      </w:r>
      <w:r>
        <w:rPr>
          <w:rFonts w:hint="eastAsia"/>
        </w:rPr>
        <w:t>网又提供了“任意到任意”和“端到端”的连通性。因此，本标准要求移动终端操作系统对</w:t>
      </w:r>
      <w:r>
        <w:t>IP</w:t>
      </w:r>
      <w:r>
        <w:rPr>
          <w:rFonts w:hint="eastAsia"/>
        </w:rPr>
        <w:t>网络信息实施信息流控制策略，过滤无法鉴别、未经授权的</w:t>
      </w:r>
      <w:r>
        <w:t>IP</w:t>
      </w:r>
      <w:r>
        <w:rPr>
          <w:rFonts w:hint="eastAsia"/>
        </w:rPr>
        <w:t>网络数据包，保护移动终端的带宽资源、话费和电源能量。</w:t>
      </w:r>
      <w:r>
        <w:t xml:space="preserve"> </w:t>
      </w:r>
    </w:p>
    <w:p>
      <w:pPr>
        <w:pStyle w:val="a"/>
        <w:ind w:firstLine="31680"/>
      </w:pPr>
      <w:r>
        <w:rPr>
          <w:rFonts w:hint="eastAsia"/>
        </w:rPr>
        <w:t>此外本标准对移动终端操作系统及其安全功能的保护做出要求，移动终端安全构架应确保移动终端操作系统不受不可信用户、不可信主体的干扰和破坏。</w:t>
      </w:r>
      <w:r>
        <w:t xml:space="preserve"> </w:t>
      </w:r>
    </w:p>
    <w:p>
      <w:pPr>
        <w:pStyle w:val="a"/>
        <w:ind w:firstLine="31680"/>
      </w:pPr>
      <w:r>
        <w:rPr>
          <w:rFonts w:hint="eastAsia"/>
        </w:rPr>
        <w:t>本标准还规定移动终端操作系统高级别安全功能的实现须得到密码服务的支持，这些安全功能包括：标识与鉴别、可信信道等。</w:t>
      </w:r>
      <w:r>
        <w:t xml:space="preserve"> </w:t>
      </w:r>
    </w:p>
    <w:p>
      <w:pPr>
        <w:pStyle w:val="a"/>
        <w:ind w:firstLine="31680"/>
        <w:rPr>
          <w:rFonts w:cs="Times New Roman"/>
        </w:rPr>
      </w:pPr>
      <w:r>
        <w:rPr>
          <w:rFonts w:hint="eastAsia"/>
        </w:rPr>
        <w:t>移动终端操作系统应具备的安全特征如下：</w:t>
      </w:r>
    </w:p>
    <w:p>
      <w:pPr>
        <w:pStyle w:val="a16"/>
        <w:numPr>
          <w:ilvl w:val="0"/>
          <w:numId w:val="11"/>
        </w:numPr>
        <w:rPr>
          <w:rFonts w:cs="Times New Roman"/>
        </w:rPr>
      </w:pPr>
      <w:r>
        <w:rPr>
          <w:rFonts w:hint="eastAsia"/>
        </w:rPr>
        <w:t>给每个用户、应用、主体、进程分配唯一的标识；</w:t>
      </w:r>
    </w:p>
    <w:p>
      <w:pPr>
        <w:pStyle w:val="a16"/>
        <w:numPr>
          <w:ilvl w:val="0"/>
          <w:numId w:val="11"/>
        </w:numPr>
        <w:rPr>
          <w:rFonts w:cs="Times New Roman"/>
        </w:rPr>
      </w:pPr>
      <w:r>
        <w:rPr>
          <w:rFonts w:hint="eastAsia"/>
        </w:rPr>
        <w:t>在允许授权人员用户或远程</w:t>
      </w:r>
      <w:r>
        <w:t>IT</w:t>
      </w:r>
      <w:r>
        <w:rPr>
          <w:rFonts w:hint="eastAsia"/>
        </w:rPr>
        <w:t>实体施行操作前，应对他们的身份进行鉴别；</w:t>
      </w:r>
    </w:p>
    <w:p>
      <w:pPr>
        <w:pStyle w:val="a16"/>
        <w:numPr>
          <w:ilvl w:val="0"/>
          <w:numId w:val="11"/>
        </w:numPr>
        <w:rPr>
          <w:rFonts w:cs="Times New Roman"/>
        </w:rPr>
      </w:pPr>
      <w:r>
        <w:rPr>
          <w:rFonts w:hint="eastAsia"/>
        </w:rPr>
        <w:t>执行访问控制和网络信息流控制策略；</w:t>
      </w:r>
    </w:p>
    <w:p>
      <w:pPr>
        <w:pStyle w:val="a16"/>
        <w:numPr>
          <w:ilvl w:val="0"/>
          <w:numId w:val="11"/>
        </w:numPr>
        <w:rPr>
          <w:rFonts w:cs="Times New Roman"/>
        </w:rPr>
      </w:pPr>
      <w:r>
        <w:rPr>
          <w:rFonts w:hint="eastAsia"/>
        </w:rPr>
        <w:t>执行应用软件限制策略；</w:t>
      </w:r>
    </w:p>
    <w:p>
      <w:pPr>
        <w:pStyle w:val="a16"/>
        <w:numPr>
          <w:ilvl w:val="0"/>
          <w:numId w:val="11"/>
        </w:numPr>
        <w:rPr>
          <w:rFonts w:cs="Times New Roman"/>
        </w:rPr>
        <w:sectPr>
          <w:headerReference w:type="default" r:id="rId15"/>
          <w:footerReference w:type="default" r:id="rId16"/>
          <w:type w:val="nextPage"/>
          <w:pgSz w:w="11906" w:h="16838"/>
          <w:pgMar w:top="567" w:right="1134" w:bottom="1134" w:left="1418" w:header="1418" w:footer="1134" w:gutter="0"/>
          <w:pgNumType w:start="4"/>
          <w:cols w:num="1" w:space="425"/>
          <w:formProt w:val="0"/>
          <w:titlePg w:val="0"/>
          <w:docGrid w:type="lines" w:linePitch="312" w:charSpace="0"/>
        </w:sectPr>
      </w:pPr>
      <w:r>
        <w:rPr>
          <w:rFonts w:hint="eastAsia"/>
        </w:rPr>
        <w:t>执行设备安全管理，即具有可配置的安全和管理策略，实现远程可信</w:t>
      </w:r>
      <w:r>
        <w:t>IT</w:t>
      </w:r>
      <w:r>
        <w:rPr>
          <w:rFonts w:hint="eastAsia"/>
        </w:rPr>
        <w:t>系统对移动终端的安全管理；</w:t>
      </w:r>
    </w:p>
    <w:p>
      <w:pPr>
        <w:pStyle w:val="a16"/>
        <w:numPr>
          <w:ilvl w:val="0"/>
          <w:numId w:val="11"/>
        </w:numPr>
        <w:rPr>
          <w:rFonts w:cs="Times New Roman"/>
        </w:rPr>
      </w:pPr>
      <w:r>
        <w:rPr>
          <w:rFonts w:hint="eastAsia"/>
        </w:rPr>
        <w:t>执行访问授权管理，即持有者能够根据需要初始化、配置、修改应用软件的访问权限；</w:t>
      </w:r>
    </w:p>
    <w:p>
      <w:pPr>
        <w:pStyle w:val="a16"/>
        <w:numPr>
          <w:ilvl w:val="0"/>
          <w:numId w:val="11"/>
        </w:numPr>
        <w:rPr>
          <w:rFonts w:cs="Times New Roman"/>
        </w:rPr>
      </w:pPr>
      <w:r>
        <w:rPr>
          <w:rFonts w:hint="eastAsia"/>
        </w:rPr>
        <w:t>对个体行为审计；</w:t>
      </w:r>
    </w:p>
    <w:p>
      <w:pPr>
        <w:pStyle w:val="a16"/>
        <w:numPr>
          <w:ilvl w:val="0"/>
          <w:numId w:val="11"/>
        </w:numPr>
        <w:rPr>
          <w:rFonts w:cs="Times New Roman"/>
        </w:rPr>
      </w:pPr>
      <w:r>
        <w:rPr>
          <w:rFonts w:hint="eastAsia"/>
        </w:rPr>
        <w:t>提供密码支持。</w:t>
      </w:r>
    </w:p>
    <w:p>
      <w:pPr>
        <w:pStyle w:val="a3"/>
        <w:spacing w:before="312" w:after="312"/>
        <w:rPr>
          <w:rFonts w:cs="Times New Roman"/>
        </w:rPr>
      </w:pPr>
      <w:bookmarkStart w:id="81" w:name="_Toc320805035"/>
      <w:bookmarkStart w:id="82" w:name="_Toc320817108"/>
      <w:bookmarkStart w:id="83" w:name="_Toc320950259"/>
      <w:bookmarkStart w:id="84" w:name="_Toc320954967"/>
      <w:bookmarkStart w:id="85" w:name="_Toc320955464"/>
      <w:r>
        <w:rPr>
          <w:rFonts w:hint="eastAsia"/>
        </w:rPr>
        <w:t>移动通信智能终端操作系统安全问题定义</w:t>
      </w:r>
      <w:bookmarkEnd w:id="81"/>
      <w:bookmarkEnd w:id="82"/>
      <w:bookmarkEnd w:id="83"/>
      <w:bookmarkEnd w:id="84"/>
      <w:bookmarkEnd w:id="85"/>
    </w:p>
    <w:p>
      <w:pPr>
        <w:pStyle w:val="a0"/>
        <w:spacing w:before="156" w:after="156"/>
        <w:rPr>
          <w:rFonts w:cs="Times New Roman"/>
        </w:rPr>
      </w:pPr>
      <w:bookmarkStart w:id="86" w:name="_Toc320805036"/>
      <w:bookmarkStart w:id="87" w:name="_Toc320817109"/>
      <w:bookmarkStart w:id="88" w:name="_Toc320950260"/>
      <w:bookmarkStart w:id="89" w:name="_Toc320954968"/>
      <w:bookmarkStart w:id="90" w:name="_Toc320955465"/>
      <w:r>
        <w:rPr>
          <w:rFonts w:hint="eastAsia"/>
        </w:rPr>
        <w:t>假设</w:t>
      </w:r>
      <w:bookmarkEnd w:id="86"/>
      <w:bookmarkEnd w:id="87"/>
      <w:bookmarkEnd w:id="88"/>
      <w:bookmarkEnd w:id="89"/>
      <w:bookmarkEnd w:id="90"/>
    </w:p>
    <w:p>
      <w:pPr>
        <w:pStyle w:val="a4"/>
        <w:spacing w:before="156" w:after="156"/>
      </w:pPr>
      <w:bookmarkStart w:id="91" w:name="_Toc320805037"/>
      <w:r>
        <w:rPr>
          <w:rFonts w:hint="eastAsia"/>
        </w:rPr>
        <w:t>授权用户</w:t>
      </w:r>
      <w:r>
        <w:t xml:space="preserve"> (A.AUTHORIZED_USER)</w:t>
      </w:r>
      <w:bookmarkEnd w:id="91"/>
    </w:p>
    <w:p>
      <w:pPr>
        <w:pStyle w:val="a"/>
        <w:ind w:firstLine="31680"/>
        <w:rPr>
          <w:rFonts w:cs="Times New Roman"/>
        </w:rPr>
      </w:pPr>
      <w:r>
        <w:rPr>
          <w:rFonts w:hint="eastAsia"/>
        </w:rPr>
        <w:t>授权用户是负责的、无恶意的，没有违背持有人意愿的行为。</w:t>
      </w:r>
    </w:p>
    <w:p>
      <w:pPr>
        <w:pStyle w:val="a4"/>
        <w:spacing w:before="156" w:after="156"/>
        <w:rPr>
          <w:rFonts w:cs="Times New Roman"/>
        </w:rPr>
      </w:pPr>
      <w:bookmarkStart w:id="92" w:name="_Toc320805039"/>
      <w:r>
        <w:rPr>
          <w:rFonts w:hint="eastAsia"/>
        </w:rPr>
        <w:t>可信的</w:t>
      </w:r>
      <w:r>
        <w:t>SIM</w:t>
      </w:r>
      <w:r>
        <w:rPr>
          <w:rFonts w:hint="eastAsia"/>
        </w:rPr>
        <w:t>卡（</w:t>
      </w:r>
      <w:r>
        <w:t>A.TRUSTED SIM</w:t>
      </w:r>
      <w:r>
        <w:rPr>
          <w:rFonts w:hint="eastAsia"/>
        </w:rPr>
        <w:t>）</w:t>
      </w:r>
      <w:bookmarkEnd w:id="92"/>
    </w:p>
    <w:p>
      <w:pPr>
        <w:pStyle w:val="a"/>
        <w:ind w:firstLine="31680"/>
        <w:rPr>
          <w:rFonts w:cs="Times New Roman"/>
        </w:rPr>
      </w:pPr>
      <w:r>
        <w:rPr>
          <w:rFonts w:hint="eastAsia"/>
        </w:rPr>
        <w:t>移动终端操作系统与</w:t>
      </w:r>
      <w:r>
        <w:t>SIM</w:t>
      </w:r>
      <w:r>
        <w:rPr>
          <w:rFonts w:hint="eastAsia"/>
        </w:rPr>
        <w:t>卡的交互符合国际相关通信及安全标准，</w:t>
      </w:r>
      <w:r>
        <w:t>SIM</w:t>
      </w:r>
      <w:r>
        <w:rPr>
          <w:rFonts w:hint="eastAsia"/>
        </w:rPr>
        <w:t>卡承载的应用是可信应用。</w:t>
      </w:r>
    </w:p>
    <w:p>
      <w:pPr>
        <w:pStyle w:val="a4"/>
        <w:spacing w:before="156" w:after="156"/>
      </w:pPr>
      <w:bookmarkStart w:id="93" w:name="_Toc320805040"/>
      <w:r>
        <w:rPr>
          <w:rFonts w:hint="eastAsia"/>
        </w:rPr>
        <w:t>远程可信</w:t>
      </w:r>
      <w:r>
        <w:t>IT</w:t>
      </w:r>
      <w:r>
        <w:rPr>
          <w:rFonts w:hint="eastAsia"/>
        </w:rPr>
        <w:t>系统（</w:t>
      </w:r>
      <w:r>
        <w:t>A.TRUSTED_REMOTE</w:t>
      </w:r>
      <w:r>
        <w:rPr>
          <w:rFonts w:hint="eastAsia"/>
        </w:rPr>
        <w:t>）</w:t>
      </w:r>
      <w:bookmarkEnd w:id="93"/>
      <w:r>
        <w:t xml:space="preserve"> </w:t>
      </w:r>
    </w:p>
    <w:p>
      <w:pPr>
        <w:pStyle w:val="a"/>
        <w:ind w:firstLine="31680"/>
        <w:rPr>
          <w:rFonts w:cs="Times New Roman"/>
        </w:rPr>
      </w:pPr>
      <w:r>
        <w:rPr>
          <w:rFonts w:hint="eastAsia"/>
        </w:rPr>
        <w:t>移动终端操作系统与远程可信</w:t>
      </w:r>
      <w:r>
        <w:t>IT</w:t>
      </w:r>
      <w:r>
        <w:rPr>
          <w:rFonts w:hint="eastAsia"/>
        </w:rPr>
        <w:t>实体配合，实施某些安全功能。</w:t>
      </w:r>
    </w:p>
    <w:p>
      <w:pPr>
        <w:pStyle w:val="a4"/>
        <w:spacing w:before="156" w:after="156"/>
      </w:pPr>
      <w:bookmarkStart w:id="94" w:name="_Toc320805041"/>
      <w:r>
        <w:t>TSF</w:t>
      </w:r>
      <w:r>
        <w:rPr>
          <w:rFonts w:hint="eastAsia"/>
        </w:rPr>
        <w:t>保护（</w:t>
      </w:r>
      <w:r>
        <w:t>A.HARDWARE_PROTECTION</w:t>
      </w:r>
      <w:r>
        <w:rPr>
          <w:rFonts w:hint="eastAsia"/>
        </w:rPr>
        <w:t>或</w:t>
      </w:r>
      <w:r>
        <w:t>A. PRIVILEGE_MODE</w:t>
      </w:r>
      <w:r>
        <w:rPr>
          <w:rFonts w:hint="eastAsia"/>
        </w:rPr>
        <w:t>）</w:t>
      </w:r>
      <w:bookmarkEnd w:id="94"/>
      <w:r>
        <w:t xml:space="preserve"> </w:t>
      </w:r>
    </w:p>
    <w:p>
      <w:pPr>
        <w:pStyle w:val="a"/>
        <w:ind w:firstLine="31680"/>
        <w:rPr>
          <w:rFonts w:cs="Times New Roman"/>
        </w:rPr>
      </w:pPr>
      <w:r>
        <w:rPr>
          <w:rFonts w:hint="eastAsia"/>
        </w:rPr>
        <w:t>移动终端操作系统运行的基础平台提供特对操作系统的保护，保证移动终端操作系统安全功能得到保护，不被干扰、破坏和篡改。</w:t>
      </w:r>
    </w:p>
    <w:p>
      <w:pPr>
        <w:pStyle w:val="a0"/>
        <w:spacing w:before="156" w:after="156"/>
        <w:rPr>
          <w:rFonts w:cs="Times New Roman"/>
        </w:rPr>
      </w:pPr>
      <w:bookmarkStart w:id="95" w:name="_Toc320950261"/>
      <w:bookmarkStart w:id="96" w:name="_Toc320954969"/>
      <w:bookmarkStart w:id="97" w:name="_Toc320817110"/>
      <w:bookmarkStart w:id="98" w:name="_Toc320805042"/>
      <w:bookmarkStart w:id="99" w:name="_Toc320955466"/>
      <w:r>
        <w:rPr>
          <w:rFonts w:hint="eastAsia"/>
        </w:rPr>
        <w:t>资产</w:t>
      </w:r>
      <w:bookmarkEnd w:id="95"/>
      <w:bookmarkEnd w:id="96"/>
      <w:bookmarkEnd w:id="97"/>
      <w:bookmarkEnd w:id="98"/>
      <w:bookmarkEnd w:id="99"/>
    </w:p>
    <w:p>
      <w:pPr>
        <w:pStyle w:val="a"/>
        <w:ind w:firstLine="31680"/>
        <w:rPr>
          <w:rFonts w:cs="Times New Roman"/>
        </w:rPr>
      </w:pPr>
      <w:r>
        <w:rPr>
          <w:rFonts w:hint="eastAsia"/>
        </w:rPr>
        <w:t>在移动终端中需要保护的资产有：</w:t>
      </w:r>
    </w:p>
    <w:p>
      <w:pPr>
        <w:pStyle w:val="a5"/>
        <w:rPr>
          <w:rFonts w:cs="Times New Roman"/>
        </w:rPr>
      </w:pPr>
      <w:r>
        <w:rPr>
          <w:rFonts w:hint="eastAsia"/>
        </w:rPr>
        <w:t>用户数据：包含位置信息、账户信息、通信记录、通信录等。</w:t>
      </w:r>
    </w:p>
    <w:p>
      <w:pPr>
        <w:pStyle w:val="a5"/>
      </w:pPr>
      <w:r>
        <w:rPr>
          <w:rFonts w:hint="eastAsia"/>
        </w:rPr>
        <w:t>移动终端敏感资源：包含通信资源、外设接口，如摄像镜头、位置传感器等。</w:t>
      </w:r>
      <w:r>
        <w:t xml:space="preserve"> </w:t>
      </w:r>
    </w:p>
    <w:p>
      <w:pPr>
        <w:pStyle w:val="a5"/>
        <w:rPr>
          <w:rFonts w:cs="Times New Roman"/>
        </w:rPr>
      </w:pPr>
      <w:r>
        <w:rPr>
          <w:rFonts w:hint="eastAsia"/>
        </w:rPr>
        <w:t>移动终端操作系统安全功能数据：包含鉴别数据、安全属性等。</w:t>
      </w:r>
    </w:p>
    <w:p>
      <w:pPr>
        <w:pStyle w:val="a0"/>
        <w:spacing w:before="156" w:after="156"/>
        <w:rPr>
          <w:rFonts w:cs="Times New Roman"/>
        </w:rPr>
      </w:pPr>
      <w:bookmarkStart w:id="100" w:name="_Toc320950262"/>
      <w:bookmarkStart w:id="101" w:name="_Toc320954970"/>
      <w:bookmarkStart w:id="102" w:name="_Toc320817111"/>
      <w:bookmarkStart w:id="103" w:name="_Toc320955467"/>
      <w:bookmarkStart w:id="104" w:name="_Toc320805043"/>
      <w:r>
        <w:rPr>
          <w:rFonts w:hint="eastAsia"/>
        </w:rPr>
        <w:t>安全威胁</w:t>
      </w:r>
      <w:bookmarkEnd w:id="100"/>
      <w:bookmarkEnd w:id="101"/>
      <w:bookmarkEnd w:id="102"/>
      <w:bookmarkEnd w:id="103"/>
      <w:bookmarkEnd w:id="104"/>
    </w:p>
    <w:p>
      <w:pPr>
        <w:pStyle w:val="a"/>
        <w:ind w:firstLine="31680"/>
        <w:rPr>
          <w:rFonts w:cs="Times New Roman"/>
        </w:rPr>
      </w:pPr>
      <w:r>
        <w:rPr>
          <w:rFonts w:hint="eastAsia"/>
        </w:rPr>
        <w:t>移动终端操作系统面临许多安全威胁，其中威胁主体可能包括：授权用户（手机持有者、管理员、维护人员、应用软件）和非授权用户；攻击方法或威胁起因可能包括：非授权访问（浏览、篡改、删除）以及错误配置等；受威胁的资产包括：用户数据、安全功能数据、系统敏感资源等。本节提到的安全威胁有些可由</w:t>
      </w:r>
      <w:r>
        <w:t>TOE</w:t>
      </w:r>
      <w:r>
        <w:rPr>
          <w:rFonts w:hint="eastAsia"/>
        </w:rPr>
        <w:t>安全功能抵御，而有些则需要</w:t>
      </w:r>
      <w:r>
        <w:t>TOE</w:t>
      </w:r>
      <w:r>
        <w:rPr>
          <w:rFonts w:hint="eastAsia"/>
        </w:rPr>
        <w:t>安全功能联合</w:t>
      </w:r>
      <w:r>
        <w:t>IT</w:t>
      </w:r>
      <w:r>
        <w:rPr>
          <w:rFonts w:hint="eastAsia"/>
        </w:rPr>
        <w:t>环境共同抵御，比如恶意软件。</w:t>
      </w:r>
    </w:p>
    <w:p>
      <w:pPr>
        <w:pStyle w:val="a4"/>
        <w:spacing w:before="156" w:after="156"/>
      </w:pPr>
      <w:bookmarkStart w:id="105" w:name="_Toc320805044"/>
      <w:r>
        <w:rPr>
          <w:rFonts w:hint="eastAsia"/>
        </w:rPr>
        <w:t>用户数据丢失</w:t>
      </w:r>
      <w:r>
        <w:t>(T.LOSS_THEFT)</w:t>
      </w:r>
      <w:bookmarkEnd w:id="105"/>
    </w:p>
    <w:p>
      <w:pPr>
        <w:pStyle w:val="a"/>
        <w:ind w:firstLine="31680"/>
        <w:rPr>
          <w:rFonts w:cs="Times New Roman"/>
        </w:rPr>
      </w:pPr>
      <w:r>
        <w:rPr>
          <w:rFonts w:hint="eastAsia"/>
        </w:rPr>
        <w:t>由于丢失或被盗，可能导致用户数据丢失。</w:t>
      </w:r>
    </w:p>
    <w:p>
      <w:pPr>
        <w:pStyle w:val="a4"/>
        <w:spacing w:before="156" w:after="156"/>
      </w:pPr>
      <w:bookmarkStart w:id="106" w:name="_Toc320805045"/>
      <w:r>
        <w:rPr>
          <w:rFonts w:hint="eastAsia"/>
        </w:rPr>
        <w:t>非授权人员访问</w:t>
      </w:r>
      <w:r>
        <w:t>(T.UNAUTHORIZED_ENTRY)</w:t>
      </w:r>
      <w:bookmarkEnd w:id="106"/>
    </w:p>
    <w:p>
      <w:pPr>
        <w:pStyle w:val="a"/>
        <w:ind w:firstLine="31680"/>
        <w:rPr>
          <w:rFonts w:cs="Times New Roman"/>
        </w:rPr>
      </w:pPr>
      <w:r>
        <w:rPr>
          <w:rFonts w:hint="eastAsia"/>
        </w:rPr>
        <w:t>非授权人员试图访问移动终端上的用户数据和系统敏感资源，例如在手机丢失或被盗的情况下非授权人员访问移动终端。</w:t>
      </w:r>
    </w:p>
    <w:p>
      <w:pPr>
        <w:pStyle w:val="a4"/>
        <w:spacing w:before="156" w:after="156"/>
        <w:rPr>
          <w:rFonts w:cs="Times New Roman"/>
        </w:rPr>
      </w:pPr>
      <w:bookmarkStart w:id="107" w:name="_Toc320805046"/>
      <w:r>
        <w:rPr>
          <w:rFonts w:hint="eastAsia"/>
        </w:rPr>
        <w:t>用户配置错误（</w:t>
      </w:r>
      <w:r>
        <w:t>T.USER_CONFIGRATION_ERROR</w:t>
      </w:r>
      <w:r>
        <w:rPr>
          <w:rFonts w:hint="eastAsia"/>
        </w:rPr>
        <w:t>）</w:t>
      </w:r>
      <w:bookmarkEnd w:id="107"/>
    </w:p>
    <w:p>
      <w:pPr>
        <w:pStyle w:val="a"/>
        <w:ind w:firstLine="31680"/>
        <w:rPr>
          <w:rFonts w:cs="Times New Roman"/>
        </w:rPr>
        <w:sectPr>
          <w:headerReference w:type="default" r:id="rId17"/>
          <w:footerReference w:type="default" r:id="rId18"/>
          <w:type w:val="nextPage"/>
          <w:pgSz w:w="11906" w:h="16838"/>
          <w:pgMar w:top="567" w:right="1134" w:bottom="1134" w:left="1418" w:header="1418" w:footer="1134" w:gutter="0"/>
          <w:pgNumType w:start="5"/>
          <w:cols w:num="1" w:space="425"/>
          <w:formProt w:val="0"/>
          <w:titlePg w:val="0"/>
          <w:docGrid w:type="lines" w:linePitch="312" w:charSpace="0"/>
        </w:sectPr>
      </w:pPr>
      <w:r>
        <w:rPr>
          <w:rFonts w:hint="eastAsia"/>
        </w:rPr>
        <w:t>不具备安全意识或安全意识薄弱的用户通过不正确地配置，使移动终端安全受到威胁。</w:t>
      </w:r>
    </w:p>
    <w:p>
      <w:pPr>
        <w:pStyle w:val="a4"/>
        <w:spacing w:before="156" w:after="156"/>
        <w:rPr>
          <w:rFonts w:cs="Times New Roman"/>
        </w:rPr>
      </w:pPr>
      <w:bookmarkStart w:id="108" w:name="_Toc320805047"/>
      <w:r>
        <w:rPr>
          <w:rFonts w:hint="eastAsia"/>
        </w:rPr>
        <w:t>危及</w:t>
      </w:r>
      <w:r>
        <w:t>TSF</w:t>
      </w:r>
      <w:r>
        <w:rPr>
          <w:rFonts w:hint="eastAsia"/>
        </w:rPr>
        <w:t>安全（</w:t>
      </w:r>
      <w:r>
        <w:t>T.TSF_COMPROMISE</w:t>
      </w:r>
      <w:r>
        <w:rPr>
          <w:rFonts w:hint="eastAsia"/>
        </w:rPr>
        <w:t>）</w:t>
      </w:r>
      <w:bookmarkEnd w:id="108"/>
    </w:p>
    <w:p>
      <w:pPr>
        <w:pStyle w:val="a"/>
        <w:ind w:firstLine="31680"/>
        <w:rPr>
          <w:rFonts w:cs="Times New Roman"/>
        </w:rPr>
      </w:pPr>
      <w:r>
        <w:rPr>
          <w:rFonts w:hint="eastAsia"/>
        </w:rPr>
        <w:t>恶意用户、进程可能查看、更改或删除</w:t>
      </w:r>
      <w:r>
        <w:t>TSF</w:t>
      </w:r>
      <w:r>
        <w:rPr>
          <w:rFonts w:hint="eastAsia"/>
        </w:rPr>
        <w:t>数据或可执行代码，危及</w:t>
      </w:r>
      <w:r>
        <w:t>TSF</w:t>
      </w:r>
      <w:r>
        <w:rPr>
          <w:rFonts w:hint="eastAsia"/>
        </w:rPr>
        <w:t>的安全。</w:t>
      </w:r>
    </w:p>
    <w:p>
      <w:pPr>
        <w:pStyle w:val="a4"/>
        <w:spacing w:before="156" w:after="156"/>
        <w:rPr>
          <w:rFonts w:cs="Times New Roman"/>
        </w:rPr>
      </w:pPr>
      <w:bookmarkStart w:id="109" w:name="_Toc320805048"/>
      <w:r>
        <w:rPr>
          <w:rFonts w:hint="eastAsia"/>
        </w:rPr>
        <w:t>非授权网络流量（</w:t>
      </w:r>
      <w:r>
        <w:t>T.UNAUTHORIZED_ NETTRAFFIC</w:t>
      </w:r>
      <w:r>
        <w:rPr>
          <w:rFonts w:hint="eastAsia"/>
        </w:rPr>
        <w:t>）</w:t>
      </w:r>
      <w:bookmarkEnd w:id="109"/>
    </w:p>
    <w:p>
      <w:pPr>
        <w:pStyle w:val="a"/>
        <w:ind w:firstLine="31680"/>
        <w:rPr>
          <w:rFonts w:cs="Times New Roman"/>
        </w:rPr>
      </w:pPr>
      <w:r>
        <w:rPr>
          <w:rFonts w:hint="eastAsia"/>
        </w:rPr>
        <w:t>未授权外部</w:t>
      </w:r>
      <w:r>
        <w:t>IT</w:t>
      </w:r>
      <w:r>
        <w:rPr>
          <w:rFonts w:hint="eastAsia"/>
        </w:rPr>
        <w:t>实体向</w:t>
      </w:r>
      <w:r>
        <w:t>TOE</w:t>
      </w:r>
      <w:r>
        <w:rPr>
          <w:rFonts w:hint="eastAsia"/>
        </w:rPr>
        <w:t>发送网络数据或接收经由</w:t>
      </w:r>
      <w:r>
        <w:t>TOE</w:t>
      </w:r>
      <w:r>
        <w:rPr>
          <w:rFonts w:hint="eastAsia"/>
        </w:rPr>
        <w:t>路由的网络数据。</w:t>
      </w:r>
    </w:p>
    <w:p>
      <w:pPr>
        <w:pStyle w:val="a4"/>
        <w:spacing w:before="156" w:after="156"/>
        <w:rPr>
          <w:rFonts w:cs="Times New Roman"/>
        </w:rPr>
      </w:pPr>
      <w:bookmarkStart w:id="110" w:name="_Toc320805049"/>
      <w:r>
        <w:rPr>
          <w:rFonts w:hint="eastAsia"/>
        </w:rPr>
        <w:t>授权人员用户的恶意行为（</w:t>
      </w:r>
      <w:r>
        <w:t>T.ACCESS_MALICIOUS</w:t>
      </w:r>
      <w:r>
        <w:rPr>
          <w:rFonts w:hint="eastAsia"/>
        </w:rPr>
        <w:t>）</w:t>
      </w:r>
      <w:bookmarkEnd w:id="110"/>
    </w:p>
    <w:p>
      <w:pPr>
        <w:pStyle w:val="a"/>
        <w:ind w:firstLine="31680"/>
        <w:rPr>
          <w:rFonts w:cs="Times New Roman"/>
        </w:rPr>
      </w:pPr>
      <w:r>
        <w:rPr>
          <w:rFonts w:hint="eastAsia"/>
        </w:rPr>
        <w:t>授权用户利用权限进行非法操作，比如：维修人员在设备维护期间窃取用户隐私、安装恶意软件，或进行其它违背持有者意愿的行为。</w:t>
      </w:r>
    </w:p>
    <w:p>
      <w:pPr>
        <w:pStyle w:val="a4"/>
        <w:spacing w:before="156" w:after="156"/>
        <w:rPr>
          <w:rFonts w:cs="Times New Roman"/>
        </w:rPr>
      </w:pPr>
      <w:bookmarkStart w:id="111" w:name="_Toc320805050"/>
      <w:r>
        <w:rPr>
          <w:rFonts w:hint="eastAsia"/>
        </w:rPr>
        <w:t>恶意软件（</w:t>
      </w:r>
      <w:r>
        <w:t>T.MALICIOUS_SOFTWARE</w:t>
      </w:r>
      <w:r>
        <w:rPr>
          <w:rFonts w:hint="eastAsia"/>
        </w:rPr>
        <w:t>）</w:t>
      </w:r>
      <w:bookmarkEnd w:id="111"/>
    </w:p>
    <w:p>
      <w:pPr>
        <w:pStyle w:val="a"/>
        <w:ind w:firstLine="31680"/>
        <w:rPr>
          <w:rFonts w:cs="Times New Roman"/>
        </w:rPr>
      </w:pPr>
      <w:r>
        <w:rPr>
          <w:rFonts w:hint="eastAsia"/>
        </w:rPr>
        <w:t>恶意软件可能通过伪装成授权应用或进程非授权访问用户数据和系统敏感资源，比如，木马或病毒。</w:t>
      </w:r>
    </w:p>
    <w:p>
      <w:pPr>
        <w:pStyle w:val="a4"/>
        <w:spacing w:before="156" w:after="156"/>
        <w:rPr>
          <w:rFonts w:cs="Times New Roman"/>
        </w:rPr>
      </w:pPr>
      <w:bookmarkStart w:id="112" w:name="_Toc320805051"/>
      <w:r>
        <w:rPr>
          <w:rFonts w:hint="eastAsia"/>
        </w:rPr>
        <w:t>数据备份（</w:t>
      </w:r>
      <w:r>
        <w:t>T.DATA_BACKUP</w:t>
      </w:r>
      <w:r>
        <w:rPr>
          <w:rFonts w:hint="eastAsia"/>
        </w:rPr>
        <w:t>）</w:t>
      </w:r>
      <w:bookmarkEnd w:id="112"/>
    </w:p>
    <w:p>
      <w:pPr>
        <w:pStyle w:val="a"/>
        <w:ind w:firstLine="31680"/>
        <w:rPr>
          <w:rFonts w:cs="Times New Roman"/>
        </w:rPr>
      </w:pPr>
      <w:r>
        <w:rPr>
          <w:rFonts w:hint="eastAsia"/>
        </w:rPr>
        <w:t>攻击者可能在备份数据传送过程中被窃取或破坏用户数据。</w:t>
      </w:r>
    </w:p>
    <w:p>
      <w:pPr>
        <w:pStyle w:val="a4"/>
        <w:spacing w:before="156" w:after="156"/>
        <w:rPr>
          <w:rFonts w:cs="Times New Roman"/>
        </w:rPr>
      </w:pPr>
      <w:bookmarkStart w:id="113" w:name="_Toc320805052"/>
      <w:r>
        <w:rPr>
          <w:rFonts w:hint="eastAsia"/>
        </w:rPr>
        <w:t>设备管理（</w:t>
      </w:r>
      <w:r>
        <w:t>T. DEVICE_MANAGEMENT</w:t>
      </w:r>
      <w:r>
        <w:rPr>
          <w:rFonts w:hint="eastAsia"/>
        </w:rPr>
        <w:t>）</w:t>
      </w:r>
      <w:bookmarkEnd w:id="113"/>
    </w:p>
    <w:p>
      <w:pPr>
        <w:pStyle w:val="a"/>
        <w:ind w:firstLine="31680"/>
        <w:rPr>
          <w:rFonts w:cs="Times New Roman"/>
        </w:rPr>
      </w:pPr>
      <w:r>
        <w:rPr>
          <w:rFonts w:hint="eastAsia"/>
        </w:rPr>
        <w:t>攻击者可能在设备管理过程中篡改、破坏管理数据、配置数据和系统更新数据。</w:t>
      </w:r>
    </w:p>
    <w:p>
      <w:pPr>
        <w:pStyle w:val="a0"/>
        <w:spacing w:before="156" w:after="156"/>
        <w:rPr>
          <w:rFonts w:cs="Times New Roman"/>
        </w:rPr>
      </w:pPr>
      <w:bookmarkStart w:id="114" w:name="_Toc320954971"/>
      <w:bookmarkStart w:id="115" w:name="_Toc320955468"/>
      <w:bookmarkStart w:id="116" w:name="_Toc320950263"/>
      <w:bookmarkStart w:id="117" w:name="_Toc320805053"/>
      <w:bookmarkStart w:id="118" w:name="_Toc320817112"/>
      <w:r>
        <w:rPr>
          <w:rFonts w:hint="eastAsia"/>
        </w:rPr>
        <w:t>组织安全策略</w:t>
      </w:r>
      <w:bookmarkEnd w:id="114"/>
      <w:bookmarkEnd w:id="115"/>
      <w:bookmarkEnd w:id="116"/>
      <w:bookmarkEnd w:id="117"/>
      <w:bookmarkEnd w:id="118"/>
    </w:p>
    <w:p>
      <w:pPr>
        <w:pStyle w:val="a4"/>
        <w:spacing w:before="156" w:after="156"/>
        <w:rPr>
          <w:rFonts w:cs="Times New Roman"/>
        </w:rPr>
      </w:pPr>
      <w:bookmarkStart w:id="119" w:name="_Toc320805054"/>
      <w:r>
        <w:rPr>
          <w:rFonts w:hint="eastAsia"/>
        </w:rPr>
        <w:t>按需授予（</w:t>
      </w:r>
      <w:r>
        <w:t>P.NEED_TO_KNOW</w:t>
      </w:r>
      <w:r>
        <w:rPr>
          <w:rFonts w:hint="eastAsia"/>
        </w:rPr>
        <w:t>）</w:t>
      </w:r>
      <w:bookmarkEnd w:id="119"/>
    </w:p>
    <w:p>
      <w:pPr>
        <w:pStyle w:val="a"/>
        <w:ind w:firstLine="31680"/>
        <w:rPr>
          <w:rFonts w:cs="Times New Roman"/>
        </w:rPr>
      </w:pPr>
      <w:r>
        <w:rPr>
          <w:rFonts w:hint="eastAsia"/>
        </w:rPr>
        <w:t>限制授权用户及主体访问能力的原则是按需给予。</w:t>
      </w:r>
    </w:p>
    <w:p>
      <w:pPr>
        <w:pStyle w:val="a4"/>
        <w:spacing w:before="156" w:after="156"/>
      </w:pPr>
      <w:bookmarkStart w:id="120" w:name="_Toc320805055"/>
      <w:r>
        <w:rPr>
          <w:rFonts w:hint="eastAsia"/>
        </w:rPr>
        <w:t>访问授权管理</w:t>
      </w:r>
      <w:r>
        <w:t>(P.ACCESS_ AUTHORIZATION_MANAGE)</w:t>
      </w:r>
      <w:bookmarkEnd w:id="120"/>
    </w:p>
    <w:p>
      <w:pPr>
        <w:pStyle w:val="a"/>
        <w:ind w:firstLine="31680"/>
        <w:rPr>
          <w:rFonts w:cs="Times New Roman"/>
        </w:rPr>
      </w:pPr>
      <w:r>
        <w:rPr>
          <w:rFonts w:hint="eastAsia"/>
        </w:rPr>
        <w:t>移动终端操作系统应向用户提供访问授权管理能力。（比如，用户可进行一定的访问限制管理配置，以限制应用软件的访问能力。因为手机没有一个实时在线的管理员对手机安全进行管理</w:t>
      </w:r>
      <w:r>
        <w:rPr>
          <w:rFonts w:hint="eastAsia"/>
          <w:color w:val="92D050"/>
        </w:rPr>
        <w:t>。</w:t>
      </w:r>
      <w:r>
        <w:rPr>
          <w:rFonts w:hint="eastAsia"/>
        </w:rPr>
        <w:t>）</w:t>
      </w:r>
    </w:p>
    <w:p>
      <w:pPr>
        <w:pStyle w:val="a4"/>
        <w:spacing w:before="156" w:after="156"/>
      </w:pPr>
      <w:bookmarkStart w:id="121" w:name="_Toc320805056"/>
      <w:r>
        <w:rPr>
          <w:rFonts w:hint="eastAsia"/>
        </w:rPr>
        <w:t>明确提示</w:t>
      </w:r>
      <w:r>
        <w:t>(P. VISIBLE_PROMPT)</w:t>
      </w:r>
      <w:bookmarkEnd w:id="121"/>
    </w:p>
    <w:p>
      <w:pPr>
        <w:pStyle w:val="a"/>
        <w:ind w:firstLine="31680"/>
        <w:rPr>
          <w:rFonts w:cs="Times New Roman"/>
        </w:rPr>
      </w:pPr>
      <w:r>
        <w:rPr>
          <w:rFonts w:hint="eastAsia"/>
        </w:rPr>
        <w:t>当访问与安全、法律有关的用户数据和系统敏感资源时，移动终端操作系统应能够向用户提供明确的提示。</w:t>
      </w:r>
    </w:p>
    <w:p>
      <w:pPr>
        <w:pStyle w:val="a4"/>
        <w:spacing w:before="156" w:after="156"/>
      </w:pPr>
      <w:bookmarkStart w:id="122" w:name="_Toc320805057"/>
      <w:r>
        <w:rPr>
          <w:rFonts w:hint="eastAsia"/>
        </w:rPr>
        <w:t>标识和鉴别</w:t>
      </w:r>
      <w:r>
        <w:t>(P.I_AND_A )</w:t>
      </w:r>
      <w:bookmarkEnd w:id="122"/>
    </w:p>
    <w:p>
      <w:pPr>
        <w:pStyle w:val="a"/>
        <w:ind w:firstLine="31680"/>
        <w:rPr>
          <w:rFonts w:cs="Times New Roman"/>
        </w:rPr>
      </w:pPr>
      <w:r>
        <w:rPr>
          <w:rFonts w:hint="eastAsia"/>
        </w:rPr>
        <w:t>移动终端的用户、应用软件、进程、主体、客体都应被分配唯一的标识，并在执行访问和实施动作之前加以鉴别。</w:t>
      </w:r>
    </w:p>
    <w:p>
      <w:pPr>
        <w:pStyle w:val="a4"/>
        <w:spacing w:before="156" w:after="156"/>
      </w:pPr>
      <w:bookmarkStart w:id="123" w:name="_Toc320805058"/>
      <w:r>
        <w:rPr>
          <w:rFonts w:hint="eastAsia"/>
        </w:rPr>
        <w:t>追溯</w:t>
      </w:r>
      <w:r>
        <w:t>(P.TRACE )</w:t>
      </w:r>
      <w:bookmarkEnd w:id="123"/>
    </w:p>
    <w:p>
      <w:pPr>
        <w:pStyle w:val="a"/>
        <w:ind w:firstLine="31680"/>
        <w:rPr>
          <w:rFonts w:cs="Times New Roman"/>
        </w:rPr>
      </w:pPr>
      <w:r>
        <w:rPr>
          <w:rFonts w:hint="eastAsia"/>
        </w:rPr>
        <w:t>主体行为可以被追溯。</w:t>
      </w:r>
    </w:p>
    <w:p>
      <w:pPr>
        <w:pStyle w:val="a4"/>
        <w:spacing w:before="156" w:after="156"/>
      </w:pPr>
      <w:bookmarkStart w:id="124" w:name="_Toc320805059"/>
      <w:r>
        <w:rPr>
          <w:rFonts w:hint="eastAsia"/>
        </w:rPr>
        <w:t>密码（</w:t>
      </w:r>
      <w:r>
        <w:t>P.CRYPTOGRAPHY )</w:t>
      </w:r>
      <w:bookmarkEnd w:id="124"/>
    </w:p>
    <w:p>
      <w:pPr>
        <w:pStyle w:val="a"/>
        <w:ind w:firstLine="31680"/>
        <w:rPr>
          <w:rFonts w:cs="Times New Roman"/>
        </w:rPr>
        <w:sectPr>
          <w:headerReference w:type="default" r:id="rId19"/>
          <w:footerReference w:type="default" r:id="rId20"/>
          <w:type w:val="nextPage"/>
          <w:pgSz w:w="11906" w:h="16838"/>
          <w:pgMar w:top="567" w:right="1134" w:bottom="1134" w:left="1418" w:header="1418" w:footer="1134" w:gutter="0"/>
          <w:pgNumType w:start="6"/>
          <w:cols w:num="1" w:space="425"/>
          <w:formProt w:val="0"/>
          <w:titlePg w:val="0"/>
          <w:docGrid w:type="lines" w:linePitch="312" w:charSpace="0"/>
        </w:sectPr>
      </w:pPr>
      <w:r>
        <w:rPr>
          <w:rFonts w:hint="eastAsia"/>
        </w:rPr>
        <w:t>移动终端操作系统安全功能应得到密码技术的支持，密码算法应符合国家和行业的信息技术安全标准或规范。</w:t>
      </w:r>
    </w:p>
    <w:p>
      <w:pPr>
        <w:pStyle w:val="a4"/>
        <w:spacing w:before="156" w:after="156"/>
        <w:rPr>
          <w:rFonts w:cs="Times New Roman"/>
        </w:rPr>
      </w:pPr>
      <w:bookmarkStart w:id="125" w:name="_Toc320805060"/>
      <w:r>
        <w:rPr>
          <w:rFonts w:hint="eastAsia"/>
        </w:rPr>
        <w:t>网络连接（</w:t>
      </w:r>
      <w:r>
        <w:t>P.NETWORK</w:t>
      </w:r>
      <w:r>
        <w:rPr>
          <w:rFonts w:hint="eastAsia"/>
        </w:rPr>
        <w:t>）</w:t>
      </w:r>
      <w:bookmarkEnd w:id="125"/>
    </w:p>
    <w:p>
      <w:pPr>
        <w:pStyle w:val="a"/>
        <w:ind w:firstLine="31680"/>
        <w:rPr>
          <w:rFonts w:cs="Times New Roman"/>
        </w:rPr>
      </w:pPr>
      <w:r>
        <w:rPr>
          <w:rFonts w:hint="eastAsia"/>
        </w:rPr>
        <w:t>移动终端操作系统用户通过互联网访问远程可信</w:t>
      </w:r>
      <w:r>
        <w:t>IT</w:t>
      </w:r>
      <w:r>
        <w:rPr>
          <w:rFonts w:hint="eastAsia"/>
        </w:rPr>
        <w:t>实体（应用软件商店、运营商服务器、设备管理系统、邮件服务器）时应能够建立安全连接。</w:t>
      </w:r>
    </w:p>
    <w:p>
      <w:pPr>
        <w:pStyle w:val="a3"/>
        <w:spacing w:before="312" w:after="312"/>
        <w:rPr>
          <w:rFonts w:cs="Times New Roman"/>
        </w:rPr>
      </w:pPr>
      <w:bookmarkStart w:id="126" w:name="_Toc320955469"/>
      <w:bookmarkStart w:id="127" w:name="_Toc320954972"/>
      <w:bookmarkStart w:id="128" w:name="_Toc320805061"/>
      <w:bookmarkStart w:id="129" w:name="_Toc320817113"/>
      <w:bookmarkStart w:id="130" w:name="_Toc320950264"/>
      <w:r>
        <w:rPr>
          <w:rFonts w:hint="eastAsia"/>
        </w:rPr>
        <w:t>移动通信智能终端操作系统安全目的</w:t>
      </w:r>
      <w:bookmarkEnd w:id="126"/>
      <w:bookmarkEnd w:id="127"/>
      <w:bookmarkEnd w:id="128"/>
      <w:bookmarkEnd w:id="129"/>
      <w:bookmarkEnd w:id="130"/>
    </w:p>
    <w:p>
      <w:pPr>
        <w:pStyle w:val="a0"/>
        <w:spacing w:before="156" w:after="156"/>
        <w:rPr>
          <w:rFonts w:cs="Times New Roman"/>
        </w:rPr>
      </w:pPr>
      <w:bookmarkStart w:id="131" w:name="_Toc320805062"/>
      <w:bookmarkStart w:id="132" w:name="_Toc320955470"/>
      <w:bookmarkStart w:id="133" w:name="_Toc320817114"/>
      <w:bookmarkStart w:id="134" w:name="_Toc320950265"/>
      <w:bookmarkStart w:id="135" w:name="_Toc320954973"/>
      <w:r>
        <w:rPr>
          <w:rFonts w:hint="eastAsia"/>
        </w:rPr>
        <w:t>设备访问（</w:t>
      </w:r>
      <w:r>
        <w:t>O.DEVICE_ACCESS</w:t>
      </w:r>
      <w:r>
        <w:rPr>
          <w:rFonts w:hint="eastAsia"/>
        </w:rPr>
        <w:t>）</w:t>
      </w:r>
      <w:bookmarkEnd w:id="131"/>
      <w:bookmarkEnd w:id="132"/>
      <w:bookmarkEnd w:id="133"/>
      <w:bookmarkEnd w:id="134"/>
      <w:bookmarkEnd w:id="135"/>
    </w:p>
    <w:p>
      <w:pPr>
        <w:pStyle w:val="a"/>
        <w:ind w:firstLine="31680"/>
        <w:rPr>
          <w:rFonts w:cs="Times New Roman"/>
        </w:rPr>
      </w:pPr>
      <w:r>
        <w:rPr>
          <w:rFonts w:hint="eastAsia"/>
        </w:rPr>
        <w:t>用户、进程、主体应通过授权访问方式访问用户数据及系统敏感资源。</w:t>
      </w:r>
    </w:p>
    <w:p>
      <w:pPr>
        <w:pStyle w:val="a0"/>
        <w:spacing w:before="156" w:after="156"/>
      </w:pPr>
      <w:bookmarkStart w:id="136" w:name="_Toc320955471"/>
      <w:bookmarkStart w:id="137" w:name="_Toc320950266"/>
      <w:bookmarkStart w:id="138" w:name="_Toc320817115"/>
      <w:bookmarkStart w:id="139" w:name="_Toc320805063"/>
      <w:bookmarkStart w:id="140" w:name="_Toc320954974"/>
      <w:r>
        <w:rPr>
          <w:rFonts w:hint="eastAsia"/>
        </w:rPr>
        <w:t>管理员角色</w:t>
      </w:r>
      <w:r>
        <w:t>(O.ADMINISTRATOR_ROLE)</w:t>
      </w:r>
      <w:bookmarkEnd w:id="136"/>
      <w:bookmarkEnd w:id="137"/>
      <w:bookmarkEnd w:id="138"/>
      <w:bookmarkEnd w:id="139"/>
      <w:bookmarkEnd w:id="140"/>
    </w:p>
    <w:p>
      <w:pPr>
        <w:pStyle w:val="a"/>
        <w:ind w:firstLine="31680"/>
        <w:rPr>
          <w:rFonts w:cs="Times New Roman"/>
        </w:rPr>
      </w:pPr>
      <w:r>
        <w:rPr>
          <w:rFonts w:hint="eastAsia"/>
        </w:rPr>
        <w:t>设置管理员角色以隔离管理员行为。</w:t>
      </w:r>
    </w:p>
    <w:p>
      <w:pPr>
        <w:pStyle w:val="a0"/>
        <w:spacing w:before="156" w:after="156"/>
        <w:rPr>
          <w:rFonts w:cs="Times New Roman"/>
        </w:rPr>
      </w:pPr>
      <w:bookmarkStart w:id="141" w:name="_Toc320950267"/>
      <w:bookmarkStart w:id="142" w:name="_Toc320955472"/>
      <w:bookmarkStart w:id="143" w:name="_Toc320954975"/>
      <w:bookmarkStart w:id="144" w:name="_Toc320805064"/>
      <w:bookmarkStart w:id="145" w:name="_Toc320817116"/>
      <w:r>
        <w:rPr>
          <w:rFonts w:hint="eastAsia"/>
        </w:rPr>
        <w:t>会话锁定（</w:t>
      </w:r>
      <w:r>
        <w:t>O.SESSION_LOCK</w:t>
      </w:r>
      <w:r>
        <w:rPr>
          <w:rFonts w:hint="eastAsia"/>
        </w:rPr>
        <w:t>）</w:t>
      </w:r>
      <w:bookmarkEnd w:id="141"/>
      <w:bookmarkEnd w:id="142"/>
      <w:bookmarkEnd w:id="143"/>
      <w:bookmarkEnd w:id="144"/>
      <w:bookmarkEnd w:id="145"/>
    </w:p>
    <w:p>
      <w:pPr>
        <w:pStyle w:val="a"/>
        <w:ind w:firstLine="31680"/>
        <w:rPr>
          <w:rFonts w:cs="Times New Roman"/>
        </w:rPr>
      </w:pPr>
      <w:r>
        <w:rPr>
          <w:rFonts w:hint="eastAsia"/>
        </w:rPr>
        <w:t>移动终端操作系统应能在不活动时间达到规定值时锁定会话。同时也应支持由用户发起的会话锁定。重新激活终端必须经过用户的再次鉴别。</w:t>
      </w:r>
    </w:p>
    <w:p>
      <w:pPr>
        <w:pStyle w:val="a0"/>
        <w:spacing w:before="156" w:after="156"/>
      </w:pPr>
      <w:bookmarkStart w:id="146" w:name="_Toc320805065"/>
      <w:bookmarkStart w:id="147" w:name="_Toc320817117"/>
      <w:bookmarkStart w:id="148" w:name="_Toc320954976"/>
      <w:bookmarkStart w:id="149" w:name="_Toc320950268"/>
      <w:bookmarkStart w:id="150" w:name="_Toc320955473"/>
      <w:r>
        <w:rPr>
          <w:rFonts w:hint="eastAsia"/>
        </w:rPr>
        <w:t>审计产生</w:t>
      </w:r>
      <w:r>
        <w:t>(O.AUDIT_GENERATION )</w:t>
      </w:r>
      <w:bookmarkEnd w:id="146"/>
      <w:bookmarkEnd w:id="147"/>
      <w:bookmarkEnd w:id="148"/>
      <w:bookmarkEnd w:id="149"/>
      <w:bookmarkEnd w:id="150"/>
    </w:p>
    <w:p>
      <w:pPr>
        <w:pStyle w:val="a"/>
        <w:ind w:firstLine="31680"/>
        <w:rPr>
          <w:rFonts w:cs="Times New Roman"/>
        </w:rPr>
      </w:pPr>
      <w:r>
        <w:rPr>
          <w:rFonts w:hint="eastAsia"/>
        </w:rPr>
        <w:t>移动终端操作系统具备检测与安全有关事件的能力，并产生审计记录。</w:t>
      </w:r>
    </w:p>
    <w:p>
      <w:pPr>
        <w:pStyle w:val="a0"/>
        <w:spacing w:before="156" w:after="156"/>
      </w:pPr>
      <w:bookmarkStart w:id="151" w:name="_Toc320954977"/>
      <w:bookmarkStart w:id="152" w:name="_Toc320955474"/>
      <w:bookmarkStart w:id="153" w:name="_Toc320817118"/>
      <w:bookmarkStart w:id="154" w:name="_Toc320805066"/>
      <w:bookmarkStart w:id="155" w:name="_Toc320950269"/>
      <w:r>
        <w:rPr>
          <w:rFonts w:hint="eastAsia"/>
        </w:rPr>
        <w:t>审计保护</w:t>
      </w:r>
      <w:r>
        <w:t>(O.AUDIT_PROTECTION)</w:t>
      </w:r>
      <w:bookmarkEnd w:id="151"/>
      <w:bookmarkEnd w:id="152"/>
      <w:bookmarkEnd w:id="153"/>
      <w:bookmarkEnd w:id="154"/>
      <w:bookmarkEnd w:id="155"/>
    </w:p>
    <w:p>
      <w:pPr>
        <w:pStyle w:val="a"/>
        <w:ind w:firstLine="31680"/>
        <w:rPr>
          <w:rFonts w:cs="Times New Roman"/>
        </w:rPr>
      </w:pPr>
      <w:r>
        <w:rPr>
          <w:rFonts w:hint="eastAsia"/>
        </w:rPr>
        <w:t>保护审计信息。</w:t>
      </w:r>
    </w:p>
    <w:p>
      <w:pPr>
        <w:pStyle w:val="a0"/>
        <w:spacing w:before="156" w:after="156"/>
      </w:pPr>
      <w:bookmarkStart w:id="156" w:name="_Toc320950270"/>
      <w:bookmarkStart w:id="157" w:name="_Toc320805067"/>
      <w:bookmarkStart w:id="158" w:name="_Toc320817119"/>
      <w:bookmarkStart w:id="159" w:name="_Toc320955475"/>
      <w:bookmarkStart w:id="160" w:name="_Toc320954978"/>
      <w:r>
        <w:rPr>
          <w:rFonts w:hint="eastAsia"/>
        </w:rPr>
        <w:t>审计调阅</w:t>
      </w:r>
      <w:r>
        <w:t>(O.AUDIT_REVIEW )</w:t>
      </w:r>
      <w:bookmarkEnd w:id="156"/>
      <w:bookmarkEnd w:id="157"/>
      <w:bookmarkEnd w:id="158"/>
      <w:bookmarkEnd w:id="159"/>
      <w:bookmarkEnd w:id="160"/>
    </w:p>
    <w:p>
      <w:pPr>
        <w:pStyle w:val="a"/>
        <w:ind w:firstLine="31680"/>
        <w:rPr>
          <w:rFonts w:cs="Times New Roman"/>
        </w:rPr>
      </w:pPr>
      <w:r>
        <w:rPr>
          <w:rFonts w:hint="eastAsia"/>
        </w:rPr>
        <w:t>具备选择性审阅审计信息的能力。</w:t>
      </w:r>
    </w:p>
    <w:p>
      <w:pPr>
        <w:pStyle w:val="a0"/>
        <w:spacing w:before="156" w:after="156"/>
      </w:pPr>
      <w:bookmarkStart w:id="161" w:name="_Toc320817120"/>
      <w:bookmarkStart w:id="162" w:name="_Toc320805068"/>
      <w:bookmarkStart w:id="163" w:name="_Toc320950271"/>
      <w:bookmarkStart w:id="164" w:name="_Toc320954979"/>
      <w:bookmarkStart w:id="165" w:name="_Toc320955476"/>
      <w:r>
        <w:rPr>
          <w:rFonts w:hint="eastAsia"/>
        </w:rPr>
        <w:t>管理</w:t>
      </w:r>
      <w:r>
        <w:t>(O.MANAGE)</w:t>
      </w:r>
      <w:bookmarkEnd w:id="161"/>
      <w:bookmarkEnd w:id="162"/>
      <w:bookmarkEnd w:id="163"/>
      <w:bookmarkEnd w:id="164"/>
      <w:bookmarkEnd w:id="165"/>
    </w:p>
    <w:p>
      <w:pPr>
        <w:pStyle w:val="a"/>
        <w:ind w:firstLine="31680"/>
        <w:rPr>
          <w:rFonts w:cs="Times New Roman"/>
        </w:rPr>
      </w:pPr>
      <w:r>
        <w:rPr>
          <w:rFonts w:hint="eastAsia"/>
        </w:rPr>
        <w:t>向管理员提供管理移动终端操作系统安全的功能，并限制非授权用户使用此项功能。</w:t>
      </w:r>
    </w:p>
    <w:p>
      <w:pPr>
        <w:pStyle w:val="a0"/>
        <w:spacing w:before="156" w:after="156"/>
      </w:pPr>
      <w:bookmarkStart w:id="166" w:name="_Toc320954980"/>
      <w:bookmarkStart w:id="167" w:name="_Toc320955477"/>
      <w:bookmarkStart w:id="168" w:name="_Toc320817121"/>
      <w:bookmarkStart w:id="169" w:name="_Toc320950272"/>
      <w:bookmarkStart w:id="170" w:name="_Toc320805069"/>
      <w:r>
        <w:rPr>
          <w:rFonts w:hint="eastAsia"/>
        </w:rPr>
        <w:t>用户数据备份</w:t>
      </w:r>
      <w:r>
        <w:t>(O.USERDATA_BACKUP)</w:t>
      </w:r>
      <w:bookmarkEnd w:id="166"/>
      <w:bookmarkEnd w:id="167"/>
      <w:bookmarkEnd w:id="168"/>
      <w:bookmarkEnd w:id="169"/>
      <w:bookmarkEnd w:id="170"/>
    </w:p>
    <w:p>
      <w:pPr>
        <w:pStyle w:val="a"/>
        <w:ind w:firstLine="31680"/>
        <w:rPr>
          <w:rFonts w:cs="Times New Roman"/>
        </w:rPr>
      </w:pPr>
      <w:r>
        <w:rPr>
          <w:rFonts w:hint="eastAsia"/>
        </w:rPr>
        <w:t>移动终端操作系统应提供用户数据备份机制。</w:t>
      </w:r>
    </w:p>
    <w:p>
      <w:pPr>
        <w:pStyle w:val="a0"/>
        <w:spacing w:before="156" w:after="156"/>
      </w:pPr>
      <w:bookmarkStart w:id="171" w:name="_Toc320955478"/>
      <w:bookmarkStart w:id="172" w:name="_Toc320950273"/>
      <w:bookmarkStart w:id="173" w:name="_Toc320954981"/>
      <w:bookmarkStart w:id="174" w:name="_Toc320817122"/>
      <w:bookmarkStart w:id="175" w:name="_Toc320805070"/>
      <w:r>
        <w:rPr>
          <w:rFonts w:hint="eastAsia"/>
        </w:rPr>
        <w:t>域隔离</w:t>
      </w:r>
      <w:r>
        <w:t>(O.DOMAIN_ISOLATION )</w:t>
      </w:r>
      <w:bookmarkEnd w:id="171"/>
      <w:bookmarkEnd w:id="172"/>
      <w:bookmarkEnd w:id="173"/>
      <w:bookmarkEnd w:id="174"/>
      <w:bookmarkEnd w:id="175"/>
    </w:p>
    <w:p>
      <w:pPr>
        <w:pStyle w:val="a"/>
        <w:ind w:firstLine="31680"/>
        <w:rPr>
          <w:rFonts w:cs="Times New Roman"/>
        </w:rPr>
      </w:pPr>
      <w:r>
        <w:rPr>
          <w:rFonts w:hint="eastAsia"/>
        </w:rPr>
        <w:t>提供域隔离机制，保护自身及资源不受到外部冲突、篡改或破坏。</w:t>
      </w:r>
    </w:p>
    <w:p>
      <w:pPr>
        <w:pStyle w:val="a0"/>
        <w:spacing w:before="156" w:after="156"/>
      </w:pPr>
      <w:bookmarkStart w:id="176" w:name="_Toc320805071"/>
      <w:bookmarkStart w:id="177" w:name="_Toc320817123"/>
      <w:bookmarkStart w:id="178" w:name="_Toc320950274"/>
      <w:bookmarkStart w:id="179" w:name="_Toc320954982"/>
      <w:bookmarkStart w:id="180" w:name="_Toc320955479"/>
      <w:r>
        <w:rPr>
          <w:rFonts w:hint="eastAsia"/>
        </w:rPr>
        <w:t>密码服务</w:t>
      </w:r>
      <w:r>
        <w:t>(O.CRYPTOGRAPHIC_SERVICES )</w:t>
      </w:r>
      <w:bookmarkEnd w:id="176"/>
      <w:bookmarkEnd w:id="177"/>
      <w:bookmarkEnd w:id="178"/>
      <w:bookmarkEnd w:id="179"/>
      <w:bookmarkEnd w:id="180"/>
    </w:p>
    <w:p>
      <w:pPr>
        <w:pStyle w:val="a"/>
        <w:ind w:firstLine="31680"/>
        <w:rPr>
          <w:rFonts w:cs="Times New Roman"/>
        </w:rPr>
      </w:pPr>
      <w:r>
        <w:rPr>
          <w:rFonts w:hint="eastAsia"/>
        </w:rPr>
        <w:t>移动终端操作系统应为安全功能的实施提供密码服务。</w:t>
      </w:r>
    </w:p>
    <w:p>
      <w:pPr>
        <w:pStyle w:val="a0"/>
        <w:spacing w:before="156" w:after="156"/>
      </w:pPr>
      <w:bookmarkStart w:id="181" w:name="_Toc320817124"/>
      <w:bookmarkStart w:id="182" w:name="_Toc320954983"/>
      <w:bookmarkStart w:id="183" w:name="_Toc320805072"/>
      <w:bookmarkStart w:id="184" w:name="_Toc320950275"/>
      <w:bookmarkStart w:id="185" w:name="_Toc320955480"/>
      <w:r>
        <w:rPr>
          <w:rFonts w:hint="eastAsia"/>
        </w:rPr>
        <w:t>鉴别</w:t>
      </w:r>
      <w:r>
        <w:t>(O.USER_AUTHENTICATION)</w:t>
      </w:r>
      <w:bookmarkEnd w:id="181"/>
      <w:bookmarkEnd w:id="182"/>
      <w:bookmarkEnd w:id="183"/>
      <w:bookmarkEnd w:id="184"/>
      <w:bookmarkEnd w:id="185"/>
    </w:p>
    <w:p>
      <w:pPr>
        <w:pStyle w:val="a"/>
        <w:ind w:firstLine="31680"/>
        <w:rPr>
          <w:rFonts w:cs="Times New Roman"/>
        </w:rPr>
      </w:pPr>
      <w:r>
        <w:rPr>
          <w:rFonts w:hint="eastAsia"/>
        </w:rPr>
        <w:t>鉴别用户、应用软件的身份。</w:t>
      </w:r>
    </w:p>
    <w:p>
      <w:pPr>
        <w:pStyle w:val="a0"/>
        <w:spacing w:before="156" w:after="156"/>
      </w:pPr>
      <w:bookmarkStart w:id="186" w:name="_Toc320955481"/>
      <w:bookmarkStart w:id="187" w:name="_Toc320805073"/>
      <w:bookmarkStart w:id="188" w:name="_Toc320950276"/>
      <w:bookmarkStart w:id="189" w:name="_Toc320954984"/>
      <w:bookmarkStart w:id="190" w:name="_Toc320817125"/>
      <w:r>
        <w:rPr>
          <w:rFonts w:hint="eastAsia"/>
        </w:rPr>
        <w:t>标识</w:t>
      </w:r>
      <w:r>
        <w:t>(O.USER_IDENTIFICATION )</w:t>
      </w:r>
      <w:bookmarkEnd w:id="186"/>
      <w:bookmarkEnd w:id="187"/>
      <w:bookmarkEnd w:id="188"/>
      <w:bookmarkEnd w:id="189"/>
      <w:bookmarkEnd w:id="190"/>
    </w:p>
    <w:p>
      <w:pPr>
        <w:pStyle w:val="a"/>
        <w:ind w:firstLine="31680"/>
        <w:rPr>
          <w:rFonts w:cs="Times New Roman"/>
        </w:rPr>
        <w:sectPr>
          <w:headerReference w:type="default" r:id="rId21"/>
          <w:footerReference w:type="default" r:id="rId22"/>
          <w:type w:val="nextPage"/>
          <w:pgSz w:w="11906" w:h="16838"/>
          <w:pgMar w:top="567" w:right="1134" w:bottom="1134" w:left="1418" w:header="1418" w:footer="1134" w:gutter="0"/>
          <w:pgNumType w:start="7"/>
          <w:cols w:num="1" w:space="425"/>
          <w:formProt w:val="0"/>
          <w:titlePg w:val="0"/>
          <w:docGrid w:type="lines" w:linePitch="312" w:charSpace="0"/>
        </w:sectPr>
      </w:pPr>
      <w:r>
        <w:rPr>
          <w:rFonts w:hint="eastAsia"/>
        </w:rPr>
        <w:t>给用户、应用软件分配唯一的标识。</w:t>
      </w:r>
    </w:p>
    <w:p>
      <w:pPr>
        <w:pStyle w:val="a0"/>
        <w:spacing w:before="156" w:after="156"/>
      </w:pPr>
      <w:bookmarkStart w:id="191" w:name="_Toc320954985"/>
      <w:bookmarkStart w:id="192" w:name="_Toc320955482"/>
      <w:bookmarkStart w:id="193" w:name="_Toc320805074"/>
      <w:bookmarkStart w:id="194" w:name="_Toc320817126"/>
      <w:bookmarkStart w:id="195" w:name="_Toc320950277"/>
      <w:r>
        <w:rPr>
          <w:rFonts w:hint="eastAsia"/>
        </w:rPr>
        <w:t>应用软件限制</w:t>
      </w:r>
      <w:r>
        <w:t>(O.APPLICATION_RESTRICT)</w:t>
      </w:r>
      <w:bookmarkEnd w:id="191"/>
      <w:bookmarkEnd w:id="192"/>
      <w:bookmarkEnd w:id="193"/>
      <w:bookmarkEnd w:id="194"/>
      <w:bookmarkEnd w:id="195"/>
    </w:p>
    <w:p>
      <w:pPr>
        <w:pStyle w:val="a"/>
        <w:ind w:firstLine="31680"/>
        <w:rPr>
          <w:rFonts w:cs="Times New Roman"/>
        </w:rPr>
      </w:pPr>
      <w:r>
        <w:rPr>
          <w:rFonts w:hint="eastAsia"/>
        </w:rPr>
        <w:t>在应用软件安装、运行时，对应用软件进行限制。</w:t>
      </w:r>
    </w:p>
    <w:p>
      <w:pPr>
        <w:pStyle w:val="a0"/>
        <w:spacing w:before="156" w:after="156"/>
        <w:rPr>
          <w:rFonts w:cs="Times New Roman"/>
        </w:rPr>
      </w:pPr>
      <w:bookmarkStart w:id="196" w:name="_Toc320950278"/>
      <w:bookmarkStart w:id="197" w:name="_Toc320817127"/>
      <w:bookmarkStart w:id="198" w:name="_Toc320955483"/>
      <w:bookmarkStart w:id="199" w:name="_Toc320954986"/>
      <w:bookmarkStart w:id="200" w:name="_Toc320805075"/>
      <w:r>
        <w:rPr>
          <w:rFonts w:hint="eastAsia"/>
        </w:rPr>
        <w:t>网络信息流控制（</w:t>
      </w:r>
      <w:r>
        <w:t>O.NETWORK_FLOW_CONTROL</w:t>
      </w:r>
      <w:r>
        <w:rPr>
          <w:rFonts w:hint="eastAsia"/>
        </w:rPr>
        <w:t>）</w:t>
      </w:r>
      <w:bookmarkEnd w:id="196"/>
      <w:bookmarkEnd w:id="197"/>
      <w:bookmarkEnd w:id="198"/>
      <w:bookmarkEnd w:id="199"/>
      <w:bookmarkEnd w:id="200"/>
    </w:p>
    <w:p>
      <w:pPr>
        <w:pStyle w:val="a"/>
        <w:ind w:firstLine="31680"/>
        <w:rPr>
          <w:rFonts w:cs="Times New Roman"/>
        </w:rPr>
      </w:pPr>
      <w:r>
        <w:rPr>
          <w:rFonts w:hint="eastAsia"/>
        </w:rPr>
        <w:t>移动终端操作系统依据信息流控制策略与远程</w:t>
      </w:r>
      <w:r>
        <w:t>IT</w:t>
      </w:r>
      <w:r>
        <w:rPr>
          <w:rFonts w:hint="eastAsia"/>
        </w:rPr>
        <w:t>实体通信。</w:t>
      </w:r>
    </w:p>
    <w:p>
      <w:pPr>
        <w:pStyle w:val="a0"/>
        <w:spacing w:before="156" w:after="156"/>
      </w:pPr>
      <w:bookmarkStart w:id="201" w:name="_Toc320955484"/>
      <w:bookmarkStart w:id="202" w:name="_Toc320817128"/>
      <w:bookmarkStart w:id="203" w:name="_Toc320950279"/>
      <w:bookmarkStart w:id="204" w:name="_Toc320805076"/>
      <w:bookmarkStart w:id="205" w:name="_Toc320954987"/>
      <w:r>
        <w:rPr>
          <w:rFonts w:hint="eastAsia"/>
        </w:rPr>
        <w:t>备份数据保护</w:t>
      </w:r>
      <w:r>
        <w:t>(O.BACKUP_DATA_PROTECT)</w:t>
      </w:r>
      <w:bookmarkEnd w:id="201"/>
      <w:bookmarkEnd w:id="202"/>
      <w:bookmarkEnd w:id="203"/>
      <w:bookmarkEnd w:id="204"/>
      <w:bookmarkEnd w:id="205"/>
    </w:p>
    <w:p>
      <w:pPr>
        <w:pStyle w:val="a"/>
        <w:ind w:firstLine="31680"/>
        <w:rPr>
          <w:rFonts w:cs="Times New Roman"/>
        </w:rPr>
      </w:pPr>
      <w:r>
        <w:rPr>
          <w:rFonts w:hint="eastAsia"/>
        </w:rPr>
        <w:t>移动终端操作系统应在备份数据输出前对数据进行保密性和完整性保护。</w:t>
      </w:r>
    </w:p>
    <w:p>
      <w:pPr>
        <w:pStyle w:val="a0"/>
        <w:spacing w:before="156" w:after="156"/>
      </w:pPr>
      <w:bookmarkStart w:id="206" w:name="_Toc320955485"/>
      <w:bookmarkStart w:id="207" w:name="_Toc320954988"/>
      <w:bookmarkStart w:id="208" w:name="_Toc320805077"/>
      <w:bookmarkStart w:id="209" w:name="_Toc320817129"/>
      <w:bookmarkStart w:id="210" w:name="_Toc320950280"/>
      <w:r>
        <w:rPr>
          <w:rFonts w:hint="eastAsia"/>
        </w:rPr>
        <w:t>设备管理</w:t>
      </w:r>
      <w:r>
        <w:t xml:space="preserve"> (O.DEVICE_MANAGEMENT)</w:t>
      </w:r>
      <w:bookmarkEnd w:id="206"/>
      <w:bookmarkEnd w:id="207"/>
      <w:bookmarkEnd w:id="208"/>
      <w:bookmarkEnd w:id="209"/>
      <w:bookmarkEnd w:id="210"/>
    </w:p>
    <w:p>
      <w:pPr>
        <w:pStyle w:val="a"/>
        <w:ind w:firstLine="31680"/>
        <w:rPr>
          <w:rFonts w:cs="Times New Roman"/>
        </w:rPr>
      </w:pPr>
      <w:r>
        <w:rPr>
          <w:rFonts w:hint="eastAsia"/>
        </w:rPr>
        <w:t>移动终端操作系统应保护设备管理过程中传送的管理数据、配置数据和系统更新数据。</w:t>
      </w:r>
    </w:p>
    <w:p>
      <w:pPr>
        <w:pStyle w:val="a0"/>
        <w:spacing w:before="156" w:after="156"/>
        <w:rPr>
          <w:rFonts w:cs="Times New Roman"/>
        </w:rPr>
      </w:pPr>
      <w:bookmarkStart w:id="211" w:name="_Toc320805078"/>
      <w:bookmarkStart w:id="212" w:name="_Toc320817130"/>
      <w:bookmarkStart w:id="213" w:name="_Toc320950281"/>
      <w:bookmarkStart w:id="214" w:name="_Toc320954989"/>
      <w:bookmarkStart w:id="215" w:name="_Toc320955486"/>
      <w:r>
        <w:rPr>
          <w:rFonts w:hint="eastAsia"/>
        </w:rPr>
        <w:t>网络连接（</w:t>
      </w:r>
      <w:r>
        <w:t>O.NETWORK</w:t>
      </w:r>
      <w:r>
        <w:rPr>
          <w:rFonts w:hint="eastAsia"/>
        </w:rPr>
        <w:t>）</w:t>
      </w:r>
      <w:bookmarkEnd w:id="211"/>
      <w:bookmarkEnd w:id="212"/>
      <w:bookmarkEnd w:id="213"/>
      <w:bookmarkEnd w:id="214"/>
      <w:bookmarkEnd w:id="215"/>
    </w:p>
    <w:p>
      <w:pPr>
        <w:pStyle w:val="a"/>
        <w:ind w:firstLine="31680"/>
        <w:rPr>
          <w:rFonts w:cs="Times New Roman"/>
        </w:rPr>
      </w:pPr>
      <w:r>
        <w:rPr>
          <w:rFonts w:hint="eastAsia"/>
        </w:rPr>
        <w:t>移动终端操作系统与远程可信</w:t>
      </w:r>
      <w:r>
        <w:t>IT</w:t>
      </w:r>
      <w:r>
        <w:rPr>
          <w:rFonts w:hint="eastAsia"/>
        </w:rPr>
        <w:t>实体通信应建立安全连接。</w:t>
      </w:r>
    </w:p>
    <w:p>
      <w:pPr>
        <w:pStyle w:val="a3"/>
        <w:spacing w:before="312" w:after="312"/>
        <w:rPr>
          <w:rFonts w:cs="Times New Roman"/>
        </w:rPr>
      </w:pPr>
      <w:bookmarkStart w:id="216" w:name="_Toc320950282"/>
      <w:bookmarkStart w:id="217" w:name="_Toc320955487"/>
      <w:bookmarkStart w:id="218" w:name="_Toc320805079"/>
      <w:bookmarkStart w:id="219" w:name="_Toc320817131"/>
      <w:bookmarkStart w:id="220" w:name="_Toc320954990"/>
      <w:r>
        <w:rPr>
          <w:rFonts w:hint="eastAsia"/>
        </w:rPr>
        <w:t>移动终端操作系统安全功能要求</w:t>
      </w:r>
      <w:bookmarkEnd w:id="216"/>
      <w:bookmarkEnd w:id="217"/>
      <w:bookmarkEnd w:id="218"/>
      <w:bookmarkEnd w:id="219"/>
      <w:bookmarkEnd w:id="220"/>
    </w:p>
    <w:p>
      <w:pPr>
        <w:pStyle w:val="a0"/>
        <w:spacing w:before="156" w:after="156"/>
        <w:rPr>
          <w:rFonts w:cs="Times New Roman"/>
        </w:rPr>
      </w:pPr>
      <w:bookmarkStart w:id="221" w:name="_Toc320817132"/>
      <w:bookmarkStart w:id="222" w:name="_Toc320950283"/>
      <w:bookmarkStart w:id="223" w:name="_Toc320955488"/>
      <w:bookmarkStart w:id="224" w:name="_Toc320954991"/>
      <w:bookmarkStart w:id="225" w:name="_Toc320805080"/>
      <w:r>
        <w:rPr>
          <w:rFonts w:hint="eastAsia"/>
        </w:rPr>
        <w:t>编写说明</w:t>
      </w:r>
      <w:bookmarkEnd w:id="221"/>
      <w:bookmarkEnd w:id="222"/>
      <w:bookmarkEnd w:id="223"/>
      <w:bookmarkEnd w:id="224"/>
      <w:bookmarkEnd w:id="225"/>
    </w:p>
    <w:p>
      <w:pPr>
        <w:pStyle w:val="a"/>
        <w:ind w:firstLine="31680"/>
        <w:rPr>
          <w:rFonts w:cs="Times New Roman"/>
        </w:rPr>
      </w:pPr>
      <w:r>
        <w:rPr>
          <w:rFonts w:hint="eastAsia"/>
        </w:rPr>
        <w:t>本标准依据</w:t>
      </w:r>
      <w:r>
        <w:t>GB/T 18336.1</w:t>
      </w:r>
      <w:r>
        <w:rPr>
          <w:rFonts w:hint="eastAsia"/>
        </w:rPr>
        <w:t>对安全功能要求的表达可使用：赋值、反复、选择、细化的方式。</w:t>
      </w:r>
    </w:p>
    <w:p>
      <w:pPr>
        <w:pStyle w:val="a"/>
        <w:ind w:firstLine="31680"/>
        <w:rPr>
          <w:rFonts w:cs="Times New Roman"/>
        </w:rPr>
      </w:pPr>
      <w:r>
        <w:rPr>
          <w:rFonts w:hint="eastAsia"/>
        </w:rPr>
        <w:t>用正常字体表示已完成的赋值、选择和细化。</w:t>
      </w:r>
    </w:p>
    <w:p>
      <w:pPr>
        <w:pStyle w:val="a"/>
        <w:ind w:firstLine="31680"/>
        <w:rPr>
          <w:rFonts w:cs="Times New Roman"/>
        </w:rPr>
      </w:pPr>
      <w:r>
        <w:rPr>
          <w:rFonts w:hint="eastAsia"/>
        </w:rPr>
        <w:t>用括号【】内的加粗字体表示有待赋值和选择的内容。</w:t>
      </w:r>
    </w:p>
    <w:p>
      <w:pPr>
        <w:pStyle w:val="a"/>
        <w:ind w:firstLine="31680"/>
        <w:rPr>
          <w:rFonts w:cs="Times New Roman"/>
        </w:rPr>
      </w:pPr>
      <w:r>
        <w:rPr>
          <w:rFonts w:hint="eastAsia"/>
        </w:rPr>
        <w:t>用安全功能组件后括号（）内的字符表示对一个安全功能组件的反复使用或限定使用。</w:t>
      </w:r>
    </w:p>
    <w:p>
      <w:pPr>
        <w:pStyle w:val="a"/>
        <w:ind w:firstLine="31680"/>
        <w:rPr>
          <w:rFonts w:cs="Times New Roman"/>
        </w:rPr>
      </w:pPr>
      <w:r>
        <w:rPr>
          <w:rFonts w:hint="eastAsia"/>
        </w:rPr>
        <w:t>用</w:t>
      </w:r>
      <w:r>
        <w:t>_EXT</w:t>
      </w:r>
      <w:r>
        <w:rPr>
          <w:rFonts w:hint="eastAsia"/>
        </w:rPr>
        <w:t>表示族或组件的扩展。</w:t>
      </w:r>
    </w:p>
    <w:p>
      <w:pPr>
        <w:pStyle w:val="a0"/>
        <w:spacing w:before="156" w:after="156"/>
        <w:rPr>
          <w:rFonts w:cs="Times New Roman"/>
        </w:rPr>
      </w:pPr>
      <w:bookmarkStart w:id="226" w:name="_Toc320817133"/>
      <w:bookmarkStart w:id="227" w:name="_Toc320950284"/>
      <w:bookmarkStart w:id="228" w:name="_Toc320805081"/>
      <w:bookmarkStart w:id="229" w:name="_Toc320955489"/>
      <w:bookmarkStart w:id="230" w:name="_Toc320954992"/>
      <w:r>
        <w:rPr>
          <w:rFonts w:hint="eastAsia"/>
        </w:rPr>
        <w:t>扩展组件说明</w:t>
      </w:r>
      <w:bookmarkEnd w:id="226"/>
      <w:bookmarkEnd w:id="227"/>
      <w:bookmarkEnd w:id="228"/>
      <w:bookmarkEnd w:id="229"/>
      <w:bookmarkEnd w:id="230"/>
    </w:p>
    <w:p>
      <w:pPr>
        <w:pStyle w:val="a80"/>
        <w:spacing w:before="156" w:after="156"/>
        <w:rPr>
          <w:rFonts w:cs="Times New Roman"/>
        </w:rPr>
      </w:pPr>
      <w:r>
        <w:rPr>
          <w:rFonts w:hint="eastAsia"/>
        </w:rPr>
        <w:t>表</w:t>
      </w:r>
      <w:r>
        <w:t xml:space="preserve">1 </w:t>
      </w:r>
      <w:r>
        <w:rPr>
          <w:rFonts w:hint="eastAsia"/>
        </w:rPr>
        <w:t>扩展的安全功能要求组件</w:t>
      </w:r>
    </w:p>
    <w:tbl>
      <w:tblPr>
        <w:tblStyle w:val="TableNormal"/>
        <w:tblW w:w="0" w:type="auto"/>
        <w:tblInd w:w="-10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518"/>
        <w:gridCol w:w="2693"/>
        <w:gridCol w:w="2693"/>
      </w:tblGrid>
      <w:tr>
        <w:tblPrEx>
          <w:tblW w:w="0" w:type="auto"/>
          <w:tblInd w:w="-10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c>
          <w:tcPr>
            <w:tcW w:w="2518" w:type="dxa"/>
            <w:tcBorders>
              <w:top w:val="single" w:sz="8" w:space="0" w:color="auto"/>
              <w:bottom w:val="single" w:sz="8" w:space="0" w:color="auto"/>
            </w:tcBorders>
          </w:tcPr>
          <w:p>
            <w:pPr>
              <w:rPr>
                <w:rFonts w:ascii="宋体"/>
                <w:sz w:val="18"/>
                <w:szCs w:val="18"/>
              </w:rPr>
            </w:pPr>
            <w:r>
              <w:rPr>
                <w:rFonts w:ascii="宋体" w:cs="宋体" w:hint="eastAsia"/>
                <w:sz w:val="18"/>
                <w:szCs w:val="18"/>
              </w:rPr>
              <w:t>扩展组件</w:t>
            </w:r>
          </w:p>
        </w:tc>
        <w:tc>
          <w:tcPr>
            <w:tcW w:w="2693" w:type="dxa"/>
            <w:tcBorders>
              <w:top w:val="single" w:sz="8" w:space="0" w:color="auto"/>
              <w:bottom w:val="single" w:sz="8" w:space="0" w:color="auto"/>
            </w:tcBorders>
          </w:tcPr>
          <w:p>
            <w:pPr>
              <w:rPr>
                <w:rFonts w:ascii="宋体"/>
                <w:sz w:val="18"/>
                <w:szCs w:val="18"/>
              </w:rPr>
            </w:pPr>
            <w:r>
              <w:rPr>
                <w:rFonts w:ascii="宋体" w:cs="宋体" w:hint="eastAsia"/>
                <w:sz w:val="18"/>
                <w:szCs w:val="18"/>
              </w:rPr>
              <w:t>扩展组件名称</w:t>
            </w:r>
          </w:p>
        </w:tc>
        <w:tc>
          <w:tcPr>
            <w:tcW w:w="2693" w:type="dxa"/>
            <w:tcBorders>
              <w:top w:val="single" w:sz="8" w:space="0" w:color="auto"/>
              <w:bottom w:val="single" w:sz="8" w:space="0" w:color="auto"/>
            </w:tcBorders>
          </w:tcPr>
          <w:p>
            <w:pPr>
              <w:rPr>
                <w:rFonts w:ascii="宋体"/>
                <w:sz w:val="18"/>
                <w:szCs w:val="18"/>
              </w:rPr>
            </w:pPr>
            <w:r>
              <w:rPr>
                <w:rFonts w:ascii="宋体" w:cs="宋体" w:hint="eastAsia"/>
                <w:sz w:val="18"/>
                <w:szCs w:val="18"/>
              </w:rPr>
              <w:t>说明</w:t>
            </w:r>
          </w:p>
        </w:tc>
      </w:tr>
      <w:tr>
        <w:tblPrEx>
          <w:tblW w:w="0" w:type="auto"/>
          <w:tblInd w:w="-106" w:type="dxa"/>
          <w:tblLayout w:type="fixed"/>
          <w:tblCellMar>
            <w:top w:w="0" w:type="dxa"/>
            <w:left w:w="108" w:type="dxa"/>
            <w:bottom w:w="0" w:type="dxa"/>
            <w:right w:w="108" w:type="dxa"/>
          </w:tblCellMar>
        </w:tblPrEx>
        <w:tc>
          <w:tcPr>
            <w:tcW w:w="2518" w:type="dxa"/>
          </w:tcPr>
          <w:p>
            <w:pPr>
              <w:rPr>
                <w:rFonts w:ascii="宋体" w:cs="宋体"/>
                <w:sz w:val="18"/>
                <w:szCs w:val="18"/>
              </w:rPr>
            </w:pPr>
            <w:r>
              <w:rPr>
                <w:rFonts w:ascii="宋体" w:cs="宋体"/>
                <w:sz w:val="18"/>
                <w:szCs w:val="18"/>
              </w:rPr>
              <w:t>FCS_CBR_EXT.1</w:t>
            </w:r>
          </w:p>
        </w:tc>
        <w:tc>
          <w:tcPr>
            <w:tcW w:w="2693" w:type="dxa"/>
          </w:tcPr>
          <w:p>
            <w:pPr>
              <w:rPr>
                <w:rFonts w:ascii="宋体"/>
                <w:sz w:val="18"/>
                <w:szCs w:val="18"/>
              </w:rPr>
            </w:pPr>
            <w:r>
              <w:rPr>
                <w:rFonts w:ascii="宋体" w:cs="宋体" w:hint="eastAsia"/>
                <w:sz w:val="18"/>
                <w:szCs w:val="18"/>
              </w:rPr>
              <w:t>密码基本要求</w:t>
            </w:r>
          </w:p>
        </w:tc>
        <w:tc>
          <w:tcPr>
            <w:tcW w:w="2693" w:type="dxa"/>
          </w:tcPr>
          <w:p>
            <w:pPr>
              <w:rPr>
                <w:rFonts w:ascii="宋体"/>
                <w:sz w:val="18"/>
                <w:szCs w:val="18"/>
              </w:rPr>
            </w:pPr>
            <w:r>
              <w:rPr>
                <w:rFonts w:ascii="宋体" w:cs="宋体"/>
                <w:sz w:val="18"/>
                <w:szCs w:val="18"/>
              </w:rPr>
              <w:t>7.7.2</w:t>
            </w:r>
            <w:r>
              <w:rPr>
                <w:rFonts w:ascii="宋体" w:cs="宋体" w:hint="eastAsia"/>
                <w:sz w:val="18"/>
                <w:szCs w:val="18"/>
              </w:rPr>
              <w:t>章节</w:t>
            </w:r>
          </w:p>
        </w:tc>
      </w:tr>
      <w:tr>
        <w:tblPrEx>
          <w:tblW w:w="0" w:type="auto"/>
          <w:tblInd w:w="-106" w:type="dxa"/>
          <w:tblLayout w:type="fixed"/>
          <w:tblCellMar>
            <w:top w:w="0" w:type="dxa"/>
            <w:left w:w="108" w:type="dxa"/>
            <w:bottom w:w="0" w:type="dxa"/>
            <w:right w:w="108" w:type="dxa"/>
          </w:tblCellMar>
        </w:tblPrEx>
        <w:tc>
          <w:tcPr>
            <w:tcW w:w="2518" w:type="dxa"/>
            <w:tcBorders>
              <w:bottom w:val="single" w:sz="8" w:space="0" w:color="auto"/>
            </w:tcBorders>
          </w:tcPr>
          <w:p>
            <w:pPr>
              <w:rPr>
                <w:rFonts w:ascii="宋体" w:cs="宋体"/>
                <w:sz w:val="18"/>
                <w:szCs w:val="18"/>
              </w:rPr>
            </w:pPr>
            <w:r>
              <w:rPr>
                <w:rFonts w:ascii="宋体" w:cs="宋体"/>
                <w:sz w:val="18"/>
                <w:szCs w:val="18"/>
              </w:rPr>
              <w:t>FCS_COA_EXT.1</w:t>
            </w:r>
          </w:p>
        </w:tc>
        <w:tc>
          <w:tcPr>
            <w:tcW w:w="2693" w:type="dxa"/>
            <w:tcBorders>
              <w:bottom w:val="single" w:sz="8" w:space="0" w:color="auto"/>
            </w:tcBorders>
          </w:tcPr>
          <w:p>
            <w:pPr>
              <w:rPr>
                <w:rFonts w:ascii="宋体"/>
                <w:sz w:val="18"/>
                <w:szCs w:val="18"/>
              </w:rPr>
            </w:pPr>
            <w:r>
              <w:rPr>
                <w:rFonts w:ascii="宋体" w:cs="宋体" w:hint="eastAsia"/>
                <w:sz w:val="18"/>
                <w:szCs w:val="18"/>
              </w:rPr>
              <w:t>密码操作应用</w:t>
            </w:r>
          </w:p>
        </w:tc>
        <w:tc>
          <w:tcPr>
            <w:tcW w:w="2693" w:type="dxa"/>
            <w:tcBorders>
              <w:bottom w:val="single" w:sz="8" w:space="0" w:color="auto"/>
            </w:tcBorders>
          </w:tcPr>
          <w:p>
            <w:pPr>
              <w:rPr>
                <w:rFonts w:ascii="宋体"/>
                <w:sz w:val="18"/>
                <w:szCs w:val="18"/>
              </w:rPr>
            </w:pPr>
            <w:r>
              <w:rPr>
                <w:rFonts w:ascii="宋体" w:cs="宋体"/>
                <w:sz w:val="18"/>
                <w:szCs w:val="18"/>
              </w:rPr>
              <w:t>7.7.3</w:t>
            </w:r>
            <w:r>
              <w:rPr>
                <w:rFonts w:ascii="宋体" w:cs="宋体" w:hint="eastAsia"/>
                <w:sz w:val="18"/>
                <w:szCs w:val="18"/>
              </w:rPr>
              <w:t>章节</w:t>
            </w:r>
          </w:p>
        </w:tc>
      </w:tr>
    </w:tbl>
    <w:p>
      <w:pPr>
        <w:pStyle w:val="a0"/>
        <w:spacing w:before="156" w:after="156"/>
        <w:rPr>
          <w:rFonts w:cs="Times New Roman"/>
        </w:rPr>
      </w:pPr>
      <w:bookmarkStart w:id="231" w:name="_Toc320950285"/>
      <w:bookmarkStart w:id="232" w:name="_Toc320954993"/>
      <w:bookmarkStart w:id="233" w:name="_Toc320955490"/>
      <w:bookmarkStart w:id="234" w:name="_Toc320817134"/>
      <w:bookmarkStart w:id="235" w:name="_Toc320805082"/>
      <w:r>
        <w:rPr>
          <w:rFonts w:hint="eastAsia"/>
        </w:rPr>
        <w:t>用户数据保护</w:t>
      </w:r>
      <w:bookmarkEnd w:id="231"/>
      <w:bookmarkEnd w:id="232"/>
      <w:bookmarkEnd w:id="233"/>
      <w:bookmarkEnd w:id="234"/>
      <w:bookmarkEnd w:id="235"/>
    </w:p>
    <w:p>
      <w:pPr>
        <w:pStyle w:val="a4"/>
        <w:spacing w:before="156" w:after="156"/>
        <w:rPr>
          <w:rFonts w:cs="Times New Roman"/>
        </w:rPr>
      </w:pPr>
      <w:bookmarkStart w:id="236" w:name="_Toc320805083"/>
      <w:r>
        <w:rPr>
          <w:rFonts w:hint="eastAsia"/>
        </w:rPr>
        <w:t>类架构图</w:t>
      </w:r>
      <w:bookmarkEnd w:id="236"/>
    </w:p>
    <w:p>
      <w:pPr>
        <w:pStyle w:val="a"/>
        <w:ind w:firstLine="31680"/>
        <w:rPr>
          <w:rFonts w:cs="Times New Roman"/>
        </w:rPr>
      </w:pPr>
      <w:r>
        <w:rPr>
          <w:rFonts w:hint="eastAsia"/>
        </w:rPr>
        <w:t>本章规定与用户数据保护相关的移动终端操作系统安全功能策略。</w:t>
      </w:r>
    </w:p>
    <w:p>
      <w:pPr>
        <w:pStyle w:val="a"/>
        <w:ind w:firstLine="31680"/>
        <w:rPr>
          <w:rFonts w:cs="Times New Roman"/>
        </w:rPr>
      </w:pPr>
      <w:r>
        <w:rPr>
          <w:rFonts w:hint="eastAsia"/>
        </w:rPr>
        <w:t>安全功能策略有应用软件限制</w:t>
      </w:r>
      <w:r>
        <w:t>SFP</w:t>
      </w:r>
      <w:r>
        <w:rPr>
          <w:rFonts w:hint="eastAsia"/>
        </w:rPr>
        <w:t>、设备访问控制</w:t>
      </w:r>
      <w:r>
        <w:t>SFP</w:t>
      </w:r>
      <w:r>
        <w:rPr>
          <w:rFonts w:hint="eastAsia"/>
        </w:rPr>
        <w:t>、网络信息流控制</w:t>
      </w:r>
      <w:r>
        <w:t>SPF</w:t>
      </w:r>
      <w:r>
        <w:rPr>
          <w:rFonts w:hint="eastAsia"/>
        </w:rPr>
        <w:t>、管理信息流控制</w:t>
      </w:r>
      <w:r>
        <w:t>SFP</w:t>
      </w:r>
      <w:r>
        <w:rPr>
          <w:rFonts w:hint="eastAsia"/>
        </w:rPr>
        <w:t>：</w:t>
      </w:r>
    </w:p>
    <w:p>
      <w:pPr>
        <w:pStyle w:val="a16"/>
        <w:numPr>
          <w:ilvl w:val="0"/>
          <w:numId w:val="14"/>
        </w:numPr>
        <w:rPr>
          <w:rFonts w:cs="Times New Roman"/>
        </w:rPr>
      </w:pPr>
      <w:r>
        <w:rPr>
          <w:rFonts w:hint="eastAsia"/>
        </w:rPr>
        <w:t>应用软件限制</w:t>
      </w:r>
      <w:r>
        <w:t>SFP</w:t>
      </w:r>
      <w:r>
        <w:rPr>
          <w:rFonts w:hint="eastAsia"/>
        </w:rPr>
        <w:t>用于限制非可信应用软件的安装和执行；</w:t>
      </w:r>
    </w:p>
    <w:p>
      <w:pPr>
        <w:pStyle w:val="a16"/>
        <w:numPr>
          <w:ilvl w:val="0"/>
          <w:numId w:val="14"/>
        </w:numPr>
        <w:rPr>
          <w:rFonts w:cs="Times New Roman"/>
        </w:rPr>
      </w:pPr>
      <w:r>
        <w:rPr>
          <w:rFonts w:hint="eastAsia"/>
        </w:rPr>
        <w:t>设备访问控制</w:t>
      </w:r>
      <w:r>
        <w:t>SFP</w:t>
      </w:r>
      <w:r>
        <w:rPr>
          <w:rFonts w:hint="eastAsia"/>
        </w:rPr>
        <w:t>用于防止非授权用户对用户数据的访问和对系统敏感资源的使用；</w:t>
      </w:r>
    </w:p>
    <w:p>
      <w:pPr>
        <w:pStyle w:val="a16"/>
        <w:numPr>
          <w:ilvl w:val="0"/>
          <w:numId w:val="14"/>
        </w:numPr>
        <w:rPr>
          <w:rFonts w:cs="Times New Roman"/>
        </w:rPr>
      </w:pPr>
      <w:r>
        <w:rPr>
          <w:rFonts w:hint="eastAsia"/>
        </w:rPr>
        <w:t>网络信息流控制</w:t>
      </w:r>
      <w:r>
        <w:t>SFP</w:t>
      </w:r>
      <w:r>
        <w:rPr>
          <w:rFonts w:hint="eastAsia"/>
        </w:rPr>
        <w:t>用于防止移动终端产生或接收未知的网络流量，造成移动用户资费及无线资源的损失；</w:t>
      </w:r>
    </w:p>
    <w:p>
      <w:pPr>
        <w:pStyle w:val="a16"/>
        <w:numPr>
          <w:ilvl w:val="0"/>
          <w:numId w:val="14"/>
        </w:numPr>
        <w:rPr>
          <w:rFonts w:cs="Times New Roman"/>
        </w:rPr>
        <w:sectPr>
          <w:headerReference w:type="default" r:id="rId23"/>
          <w:footerReference w:type="default" r:id="rId24"/>
          <w:type w:val="nextPage"/>
          <w:pgSz w:w="11906" w:h="16838"/>
          <w:pgMar w:top="567" w:right="1134" w:bottom="1134" w:left="1418" w:header="1418" w:footer="1134" w:gutter="0"/>
          <w:pgNumType w:start="8"/>
          <w:cols w:num="1" w:space="425"/>
          <w:formProt w:val="0"/>
          <w:titlePg w:val="0"/>
          <w:docGrid w:type="lines" w:linePitch="312" w:charSpace="0"/>
        </w:sectPr>
      </w:pPr>
      <w:r>
        <w:rPr>
          <w:rFonts w:hint="eastAsia"/>
        </w:rPr>
        <w:t>管理信息流控制</w:t>
      </w:r>
      <w:r>
        <w:t>SFP</w:t>
      </w:r>
      <w:r>
        <w:rPr>
          <w:rFonts w:hint="eastAsia"/>
        </w:rPr>
        <w:t>是预防非授权或假冒的管理信息造成对移动终端的安全危害。</w:t>
      </w:r>
    </w:p>
    <w:p>
      <w:pPr>
        <w:pStyle w:val="a"/>
        <w:ind w:firstLine="0" w:firstLineChars="0"/>
        <w:jc w:val="center"/>
        <w:rPr>
          <w:rFonts w:cs="Times New Roman"/>
        </w:rPr>
      </w:pPr>
      <w:r>
        <w:rPr>
          <w:rFonts w:cs="Times New Roman"/>
        </w:rPr>
        <w:object>
          <v:shape id="_x0000_i1032" type="#_x0000_t75" style="width:197.25pt;height:262.5pt" o:ole="" coordsize="21600,21600" o:preferrelative="t" filled="f" stroked="f">
            <v:stroke joinstyle="miter"/>
            <v:imagedata r:id="rId25" o:title=""/>
            <o:lock v:ext="edit" aspectratio="t"/>
            <w10:anchorlock/>
          </v:shape>
          <o:OLEObject Type="Embed" ProgID="Msxml2.SAXXMLReader.5.0" ShapeID="_x0000_i1032" DrawAspect="Content" ObjectID="_1468075725" r:id="rId26"/>
        </w:object>
      </w:r>
    </w:p>
    <w:p>
      <w:pPr>
        <w:pStyle w:val="a82"/>
        <w:spacing w:before="156" w:after="156"/>
        <w:rPr>
          <w:rFonts w:cs="Times New Roman"/>
        </w:rPr>
      </w:pPr>
      <w:r>
        <w:rPr>
          <w:rFonts w:hint="eastAsia"/>
        </w:rPr>
        <w:t>用户数据保护类分解</w:t>
      </w:r>
    </w:p>
    <w:p>
      <w:pPr>
        <w:pStyle w:val="a4"/>
        <w:spacing w:before="156" w:after="156"/>
      </w:pPr>
      <w:bookmarkStart w:id="237" w:name="_Toc320805084"/>
      <w:r>
        <w:rPr>
          <w:rFonts w:hint="eastAsia"/>
        </w:rPr>
        <w:t>子集访问控制（</w:t>
      </w:r>
      <w:r>
        <w:t>AP</w:t>
      </w:r>
      <w:r>
        <w:rPr>
          <w:rFonts w:hint="eastAsia"/>
        </w:rPr>
        <w:t>）（</w:t>
      </w:r>
      <w:r>
        <w:t>FDP_ACC.1</w:t>
      </w:r>
      <w:r>
        <w:rPr>
          <w:rFonts w:hint="eastAsia"/>
        </w:rPr>
        <w:t>）</w:t>
      </w:r>
      <w:r>
        <w:t>(AP:</w:t>
      </w:r>
      <w:r>
        <w:rPr>
          <w:rFonts w:hint="eastAsia"/>
        </w:rPr>
        <w:t>应用软件</w:t>
      </w:r>
      <w:r>
        <w:t>)</w:t>
      </w:r>
      <w:bookmarkEnd w:id="237"/>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FDP_ACF.1</w:t>
      </w:r>
      <w:r>
        <w:rPr>
          <w:rFonts w:hint="eastAsia"/>
        </w:rPr>
        <w:t>（</w:t>
      </w:r>
      <w:r>
        <w:t>AP</w:t>
      </w:r>
      <w:r>
        <w:rPr>
          <w:rFonts w:hint="eastAsia"/>
        </w:rPr>
        <w:t>）</w:t>
      </w:r>
      <w:r>
        <w:t xml:space="preserve"> </w:t>
      </w:r>
      <w:r>
        <w:rPr>
          <w:rFonts w:hint="eastAsia"/>
        </w:rPr>
        <w:t>基于安全属性的访问控制。</w:t>
      </w:r>
    </w:p>
    <w:p>
      <w:pPr>
        <w:pStyle w:val="a"/>
        <w:ind w:firstLine="31680"/>
        <w:rPr>
          <w:rFonts w:cs="Times New Roman"/>
        </w:rPr>
      </w:pPr>
    </w:p>
    <w:p>
      <w:pPr>
        <w:pStyle w:val="a"/>
        <w:ind w:firstLine="31680"/>
        <w:rPr>
          <w:rFonts w:cs="Times New Roman"/>
        </w:rPr>
      </w:pPr>
      <w:r>
        <w:t xml:space="preserve">FDP_ACC.1.1 </w:t>
      </w:r>
      <w:r>
        <w:rPr>
          <w:rFonts w:hint="eastAsia"/>
        </w:rPr>
        <w:t>移动终端操作系统的安全功能应对如下主体、客体及主体和客体之间的操作执行应用软件限制</w:t>
      </w:r>
      <w:r>
        <w:t>SFP</w:t>
      </w:r>
      <w:r>
        <w:rPr>
          <w:rFonts w:hint="eastAsia"/>
        </w:rPr>
        <w:t>：</w:t>
      </w:r>
    </w:p>
    <w:p>
      <w:pPr>
        <w:pStyle w:val="a16"/>
        <w:numPr>
          <w:ilvl w:val="0"/>
          <w:numId w:val="15"/>
        </w:numPr>
        <w:rPr>
          <w:rFonts w:cs="Times New Roman"/>
        </w:rPr>
      </w:pPr>
      <w:r>
        <w:rPr>
          <w:rFonts w:hint="eastAsia"/>
        </w:rPr>
        <w:t>主体：代表安装文件、动态链接文件和可执行文件行为的系统管理进程；</w:t>
      </w:r>
    </w:p>
    <w:p>
      <w:pPr>
        <w:pStyle w:val="a16"/>
        <w:numPr>
          <w:ilvl w:val="0"/>
          <w:numId w:val="15"/>
        </w:numPr>
        <w:rPr>
          <w:rFonts w:cs="Times New Roman"/>
        </w:rPr>
      </w:pPr>
      <w:r>
        <w:rPr>
          <w:rFonts w:hint="eastAsia"/>
        </w:rPr>
        <w:t>客体：移动设备资源；</w:t>
      </w:r>
    </w:p>
    <w:p>
      <w:pPr>
        <w:pStyle w:val="a16"/>
        <w:numPr>
          <w:ilvl w:val="0"/>
          <w:numId w:val="15"/>
        </w:numPr>
        <w:rPr>
          <w:rFonts w:cs="Times New Roman"/>
        </w:rPr>
      </w:pPr>
      <w:r>
        <w:rPr>
          <w:rFonts w:hint="eastAsia"/>
        </w:rPr>
        <w:t>操作：安装、加载。</w:t>
      </w:r>
    </w:p>
    <w:p>
      <w:pPr>
        <w:pStyle w:val="a"/>
        <w:ind w:firstLine="31680"/>
        <w:rPr>
          <w:rFonts w:cs="Times New Roman"/>
        </w:rPr>
      </w:pPr>
    </w:p>
    <w:p>
      <w:pPr>
        <w:pStyle w:val="a4"/>
        <w:spacing w:before="156" w:after="156"/>
      </w:pPr>
      <w:bookmarkStart w:id="238" w:name="_Toc320805085"/>
      <w:r>
        <w:rPr>
          <w:rFonts w:hint="eastAsia"/>
        </w:rPr>
        <w:t>基于安全属性的访问控制（</w:t>
      </w:r>
      <w:r>
        <w:t>AP</w:t>
      </w:r>
      <w:r>
        <w:rPr>
          <w:rFonts w:hint="eastAsia"/>
        </w:rPr>
        <w:t>）（</w:t>
      </w:r>
      <w:r>
        <w:t>FDP_ACF.1</w:t>
      </w:r>
      <w:r>
        <w:rPr>
          <w:rFonts w:hint="eastAsia"/>
        </w:rPr>
        <w:t>）</w:t>
      </w:r>
      <w:r>
        <w:t>(AP:</w:t>
      </w:r>
      <w:r>
        <w:rPr>
          <w:rFonts w:hint="eastAsia"/>
        </w:rPr>
        <w:t>应用软件安装</w:t>
      </w:r>
      <w:r>
        <w:t>)</w:t>
      </w:r>
      <w:bookmarkEnd w:id="238"/>
    </w:p>
    <w:p>
      <w:pPr>
        <w:pStyle w:val="a"/>
        <w:ind w:firstLine="31680"/>
        <w:rPr>
          <w:rFonts w:cs="Times New Roman"/>
        </w:rPr>
      </w:pPr>
      <w:r>
        <w:rPr>
          <w:rFonts w:hint="eastAsia"/>
        </w:rPr>
        <w:t>从属于</w:t>
      </w:r>
      <w:r>
        <w:t>:</w:t>
      </w:r>
      <w:r>
        <w:rPr>
          <w:rFonts w:hint="eastAsia"/>
        </w:rPr>
        <w:t>无。</w:t>
      </w:r>
    </w:p>
    <w:p>
      <w:pPr>
        <w:pStyle w:val="a"/>
        <w:ind w:firstLine="31680"/>
        <w:rPr>
          <w:rFonts w:cs="Times New Roman"/>
        </w:rPr>
      </w:pPr>
      <w:r>
        <w:rPr>
          <w:rFonts w:hint="eastAsia"/>
        </w:rPr>
        <w:t>依赖于：</w:t>
      </w:r>
      <w:r>
        <w:t xml:space="preserve">FDP_ACC.1 </w:t>
      </w:r>
      <w:r>
        <w:rPr>
          <w:rFonts w:hint="eastAsia"/>
        </w:rPr>
        <w:t>（</w:t>
      </w:r>
      <w:r>
        <w:t>AP</w:t>
      </w:r>
      <w:r>
        <w:rPr>
          <w:rFonts w:hint="eastAsia"/>
        </w:rPr>
        <w:t>）子集访问控制；</w:t>
      </w:r>
    </w:p>
    <w:p>
      <w:pPr>
        <w:pStyle w:val="a"/>
        <w:ind w:firstLine="1260" w:firstLineChars="600"/>
        <w:rPr>
          <w:rFonts w:cs="Times New Roman"/>
        </w:rPr>
      </w:pPr>
      <w:r>
        <w:t xml:space="preserve">FMT_MSA.3 </w:t>
      </w:r>
      <w:r>
        <w:rPr>
          <w:rFonts w:hint="eastAsia"/>
        </w:rPr>
        <w:t>静态属性初始化。</w:t>
      </w:r>
    </w:p>
    <w:p>
      <w:pPr>
        <w:pStyle w:val="a"/>
        <w:ind w:firstLine="1260" w:firstLineChars="600"/>
        <w:rPr>
          <w:rFonts w:cs="Times New Roman"/>
        </w:rPr>
      </w:pPr>
    </w:p>
    <w:p>
      <w:pPr>
        <w:pStyle w:val="a"/>
        <w:ind w:firstLine="31680"/>
        <w:rPr>
          <w:rFonts w:cs="Times New Roman"/>
        </w:rPr>
      </w:pPr>
      <w:r>
        <w:t xml:space="preserve">FDP_ACF.1.1 </w:t>
      </w:r>
      <w:r>
        <w:rPr>
          <w:rFonts w:hint="eastAsia"/>
        </w:rPr>
        <w:t>移动终端操作系统的安全功能应在代表安装文件、动态链接文件和可执行文件行为的系统管理进程对客体进行操作时，依据主体的安全属性，实施应用软件限制</w:t>
      </w:r>
      <w:r>
        <w:t>SFP</w:t>
      </w:r>
      <w:r>
        <w:rPr>
          <w:rFonts w:hint="eastAsia"/>
        </w:rPr>
        <w:t>：</w:t>
      </w:r>
    </w:p>
    <w:p>
      <w:pPr>
        <w:pStyle w:val="a16"/>
        <w:numPr>
          <w:ilvl w:val="0"/>
          <w:numId w:val="15"/>
        </w:numPr>
        <w:rPr>
          <w:rFonts w:cs="Times New Roman"/>
          <w:b/>
          <w:bCs/>
        </w:rPr>
      </w:pPr>
      <w:r>
        <w:rPr>
          <w:rFonts w:hint="eastAsia"/>
        </w:rPr>
        <w:t>安装文件：安装文件提供商的标识或数字签名、文件撤销列表、</w:t>
      </w:r>
      <w:r>
        <w:rPr>
          <w:rFonts w:hint="eastAsia"/>
          <w:b/>
          <w:bCs/>
        </w:rPr>
        <w:t>【赋值：其他属性】；</w:t>
      </w:r>
    </w:p>
    <w:p>
      <w:pPr>
        <w:pStyle w:val="a16"/>
        <w:numPr>
          <w:ilvl w:val="0"/>
          <w:numId w:val="15"/>
        </w:numPr>
        <w:rPr>
          <w:rFonts w:cs="Times New Roman"/>
          <w:b/>
          <w:bCs/>
        </w:rPr>
      </w:pPr>
      <w:r>
        <w:rPr>
          <w:rFonts w:hint="eastAsia"/>
        </w:rPr>
        <w:t>动态链接文件：动态链接文件提供商的标识或数字签名、文件撤销列表、</w:t>
      </w:r>
      <w:r>
        <w:rPr>
          <w:rFonts w:hint="eastAsia"/>
          <w:b/>
          <w:bCs/>
        </w:rPr>
        <w:t>【赋值：其他属性】；</w:t>
      </w:r>
    </w:p>
    <w:p>
      <w:pPr>
        <w:pStyle w:val="a16"/>
        <w:numPr>
          <w:ilvl w:val="0"/>
          <w:numId w:val="15"/>
        </w:numPr>
        <w:rPr>
          <w:rFonts w:cs="Times New Roman"/>
          <w:b/>
          <w:bCs/>
        </w:rPr>
        <w:sectPr>
          <w:headerReference w:type="default" r:id="rId27"/>
          <w:footerReference w:type="default" r:id="rId28"/>
          <w:type w:val="nextPage"/>
          <w:pgSz w:w="11906" w:h="16838"/>
          <w:pgMar w:top="567" w:right="1134" w:bottom="1134" w:left="1418" w:header="1418" w:footer="1134" w:gutter="0"/>
          <w:pgNumType w:start="9"/>
          <w:cols w:num="1" w:space="425"/>
          <w:formProt w:val="0"/>
          <w:titlePg w:val="0"/>
          <w:docGrid w:type="lines" w:linePitch="312" w:charSpace="0"/>
        </w:sectPr>
      </w:pPr>
      <w:r>
        <w:rPr>
          <w:rFonts w:hint="eastAsia"/>
        </w:rPr>
        <w:t>可执行文件：可执行文件提供商的标识或数字签名、文件撤销列表、</w:t>
      </w:r>
      <w:r>
        <w:rPr>
          <w:rFonts w:hint="eastAsia"/>
          <w:b/>
          <w:bCs/>
        </w:rPr>
        <w:t>【赋值：其他属性】；</w:t>
      </w:r>
    </w:p>
    <w:p>
      <w:pPr>
        <w:pStyle w:val="a"/>
        <w:ind w:firstLine="31680"/>
        <w:rPr>
          <w:rFonts w:cs="Times New Roman"/>
        </w:rPr>
      </w:pPr>
      <w:r>
        <w:t xml:space="preserve">FDP_ACF.1.2 </w:t>
      </w:r>
      <w:r>
        <w:rPr>
          <w:rFonts w:hint="eastAsia"/>
        </w:rPr>
        <w:t>移动终端操作系统的安全功能应依据如下规则，决定安装文件、动态链接文件和可执行文件的安装和加载是否允许：</w:t>
      </w:r>
    </w:p>
    <w:p>
      <w:pPr>
        <w:pStyle w:val="a16"/>
        <w:numPr>
          <w:ilvl w:val="0"/>
          <w:numId w:val="15"/>
        </w:numPr>
        <w:rPr>
          <w:rFonts w:cs="Times New Roman"/>
        </w:rPr>
      </w:pPr>
      <w:r>
        <w:rPr>
          <w:rFonts w:hint="eastAsia"/>
        </w:rPr>
        <w:t>若安装文件、动态链接文件和可执行文件提供商的标识或数字签名是可信的，则允许安装和加载；</w:t>
      </w:r>
    </w:p>
    <w:p>
      <w:pPr>
        <w:pStyle w:val="a16"/>
        <w:numPr>
          <w:ilvl w:val="0"/>
          <w:numId w:val="15"/>
        </w:numPr>
        <w:rPr>
          <w:rFonts w:cs="Times New Roman"/>
        </w:rPr>
      </w:pPr>
      <w:r>
        <w:rPr>
          <w:rFonts w:hint="eastAsia"/>
        </w:rPr>
        <w:t>若安装文件、动态链接文件和可执行文件提供商的标识或数字签名是不可识别或无标识、无数字签名，则需要明确提示持有者，由其决定安装和加载。</w:t>
      </w:r>
    </w:p>
    <w:p>
      <w:pPr>
        <w:pStyle w:val="a"/>
        <w:ind w:firstLine="31680"/>
        <w:rPr>
          <w:rFonts w:cs="Times New Roman"/>
        </w:rPr>
      </w:pPr>
      <w:r>
        <w:t xml:space="preserve">FDP_ACF.1.3 </w:t>
      </w:r>
      <w:r>
        <w:rPr>
          <w:rFonts w:hint="eastAsia"/>
        </w:rPr>
        <w:t>移动终端操作系统的安全功能应无附加规则，明确允许安装文件、动态链接文件和可执行文件的安装和加载：</w:t>
      </w:r>
    </w:p>
    <w:p>
      <w:pPr>
        <w:pStyle w:val="a"/>
        <w:ind w:firstLine="31680"/>
        <w:rPr>
          <w:rFonts w:cs="Times New Roman"/>
        </w:rPr>
      </w:pPr>
      <w:r>
        <w:t xml:space="preserve">FDP_ACF.1.4 </w:t>
      </w:r>
      <w:r>
        <w:rPr>
          <w:rFonts w:hint="eastAsia"/>
        </w:rPr>
        <w:t>移动终端操作系统的安全功能应维护应用软件撤销列表，若安装文件、动态链接文件和可执行文件在应用软件撤销列表中</w:t>
      </w:r>
      <w:r>
        <w:rPr>
          <w:rFonts w:hint="eastAsia"/>
          <w:b/>
          <w:bCs/>
        </w:rPr>
        <w:t>、【赋值：其他附加规则】</w:t>
      </w:r>
      <w:r>
        <w:rPr>
          <w:rFonts w:hint="eastAsia"/>
        </w:rPr>
        <w:t>中，则明确拒绝安装和加载。</w:t>
      </w:r>
    </w:p>
    <w:p>
      <w:pPr>
        <w:pStyle w:val="a4"/>
        <w:spacing w:before="156" w:after="156"/>
      </w:pPr>
      <w:bookmarkStart w:id="239" w:name="_Toc320805086"/>
      <w:r>
        <w:rPr>
          <w:rFonts w:hint="eastAsia"/>
        </w:rPr>
        <w:t>子集访问控制（</w:t>
      </w:r>
      <w:r>
        <w:t>DA</w:t>
      </w:r>
      <w:r>
        <w:rPr>
          <w:rFonts w:hint="eastAsia"/>
        </w:rPr>
        <w:t>）（</w:t>
      </w:r>
      <w:r>
        <w:t>FDP_ACC.1</w:t>
      </w:r>
      <w:r>
        <w:rPr>
          <w:rFonts w:hint="eastAsia"/>
        </w:rPr>
        <w:t>）</w:t>
      </w:r>
      <w:r>
        <w:t>(DA:</w:t>
      </w:r>
      <w:r>
        <w:rPr>
          <w:rFonts w:hint="eastAsia"/>
        </w:rPr>
        <w:t>设备访问控制</w:t>
      </w:r>
      <w:r>
        <w:t>)</w:t>
      </w:r>
      <w:bookmarkEnd w:id="239"/>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FDP_ACF.1</w:t>
      </w:r>
      <w:r>
        <w:rPr>
          <w:rFonts w:hint="eastAsia"/>
        </w:rPr>
        <w:t>（</w:t>
      </w:r>
      <w:r>
        <w:t>DA</w:t>
      </w:r>
      <w:r>
        <w:rPr>
          <w:rFonts w:hint="eastAsia"/>
        </w:rPr>
        <w:t>）</w:t>
      </w:r>
      <w:r>
        <w:t xml:space="preserve"> </w:t>
      </w:r>
      <w:r>
        <w:rPr>
          <w:rFonts w:hint="eastAsia"/>
        </w:rPr>
        <w:t>基于安全属性的访问控制。</w:t>
      </w:r>
    </w:p>
    <w:p>
      <w:pPr>
        <w:pStyle w:val="a"/>
        <w:ind w:firstLine="31680"/>
        <w:rPr>
          <w:rFonts w:cs="Times New Roman"/>
        </w:rPr>
      </w:pPr>
    </w:p>
    <w:p>
      <w:pPr>
        <w:pStyle w:val="a"/>
        <w:ind w:firstLine="31680"/>
        <w:rPr>
          <w:rFonts w:cs="Times New Roman"/>
        </w:rPr>
      </w:pPr>
      <w:r>
        <w:t xml:space="preserve">FDP_ACC.1.1 </w:t>
      </w:r>
      <w:r>
        <w:rPr>
          <w:rFonts w:hint="eastAsia"/>
        </w:rPr>
        <w:t>移动终端操作系统的安全功能应对所有代表应用软件的进程，对</w:t>
      </w:r>
      <w:r>
        <w:rPr>
          <w:rFonts w:hint="eastAsia"/>
          <w:b/>
          <w:bCs/>
        </w:rPr>
        <w:t>【赋值：与用户隐私及用户利益相关的客体，如用户数据文件、敏感资源等】</w:t>
      </w:r>
      <w:r>
        <w:rPr>
          <w:rFonts w:hint="eastAsia"/>
        </w:rPr>
        <w:t>进行</w:t>
      </w:r>
      <w:r>
        <w:rPr>
          <w:rFonts w:hint="eastAsia"/>
          <w:b/>
          <w:bCs/>
        </w:rPr>
        <w:t>【赋值：执行动作列表（如读、写、执行、打开</w:t>
      </w:r>
      <w:r>
        <w:rPr>
          <w:b/>
          <w:bCs/>
        </w:rPr>
        <w:t>/</w:t>
      </w:r>
      <w:r>
        <w:rPr>
          <w:rFonts w:hint="eastAsia"/>
          <w:b/>
          <w:bCs/>
        </w:rPr>
        <w:t>关闭等操作）】</w:t>
      </w:r>
      <w:r>
        <w:rPr>
          <w:rFonts w:hint="eastAsia"/>
        </w:rPr>
        <w:t>时，执行设备访问控制</w:t>
      </w:r>
      <w:r>
        <w:t>SFP</w:t>
      </w:r>
      <w:r>
        <w:rPr>
          <w:rFonts w:hint="eastAsia"/>
        </w:rPr>
        <w:t>。</w:t>
      </w:r>
    </w:p>
    <w:p>
      <w:pPr>
        <w:pStyle w:val="a"/>
        <w:ind w:firstLine="31680"/>
        <w:rPr>
          <w:rFonts w:cs="Times New Roman"/>
        </w:rPr>
      </w:pPr>
    </w:p>
    <w:p>
      <w:pPr>
        <w:pStyle w:val="a"/>
        <w:ind w:firstLine="31680"/>
        <w:rPr>
          <w:rFonts w:cs="Times New Roman"/>
        </w:rPr>
      </w:pPr>
      <w:r>
        <w:rPr>
          <w:rFonts w:hint="eastAsia"/>
          <w:b/>
          <w:bCs/>
        </w:rPr>
        <w:t>应用注释</w:t>
      </w:r>
      <w:r>
        <w:rPr>
          <w:rFonts w:hint="eastAsia"/>
        </w:rPr>
        <w:t>：与用户利益相关的敏感资源有：终端通信设备（如：移动通信设备、无线局域网设备），终端信源传感器（如：麦克、摄像头、加速度计、定位导航系统），终端外部输入输出设备等（如：红外线接口、蓝牙）；与用户隐私相关的客体有：存储用户信息的文件（如：号码本、通信记录、短消息、电子邮件等）。</w:t>
      </w:r>
    </w:p>
    <w:p>
      <w:pPr>
        <w:pStyle w:val="a4"/>
        <w:spacing w:before="156" w:after="156"/>
      </w:pPr>
      <w:bookmarkStart w:id="240" w:name="_Toc320805087"/>
      <w:r>
        <w:rPr>
          <w:rFonts w:hint="eastAsia"/>
        </w:rPr>
        <w:t>基于安全属性的访问控制（</w:t>
      </w:r>
      <w:r>
        <w:t>DA</w:t>
      </w:r>
      <w:r>
        <w:rPr>
          <w:rFonts w:hint="eastAsia"/>
        </w:rPr>
        <w:t>）（</w:t>
      </w:r>
      <w:r>
        <w:t>FDP_ACF.1</w:t>
      </w:r>
      <w:r>
        <w:rPr>
          <w:rFonts w:hint="eastAsia"/>
        </w:rPr>
        <w:t>）</w:t>
      </w:r>
      <w:r>
        <w:t>(DA:</w:t>
      </w:r>
      <w:r>
        <w:rPr>
          <w:rFonts w:hint="eastAsia"/>
        </w:rPr>
        <w:t>设备访问控制</w:t>
      </w:r>
      <w:r>
        <w:t>)</w:t>
      </w:r>
      <w:bookmarkEnd w:id="240"/>
    </w:p>
    <w:p>
      <w:pPr>
        <w:pStyle w:val="a"/>
        <w:ind w:firstLine="31680"/>
        <w:rPr>
          <w:rFonts w:cs="Times New Roman"/>
        </w:rPr>
      </w:pPr>
      <w:r>
        <w:rPr>
          <w:rFonts w:hint="eastAsia"/>
        </w:rPr>
        <w:t>从属于</w:t>
      </w:r>
      <w:r>
        <w:t>:</w:t>
      </w:r>
      <w:r>
        <w:rPr>
          <w:rFonts w:hint="eastAsia"/>
        </w:rPr>
        <w:t>无。</w:t>
      </w:r>
    </w:p>
    <w:p>
      <w:pPr>
        <w:pStyle w:val="a"/>
        <w:ind w:firstLine="31680"/>
        <w:rPr>
          <w:rFonts w:cs="Times New Roman"/>
        </w:rPr>
      </w:pPr>
      <w:r>
        <w:rPr>
          <w:rFonts w:hint="eastAsia"/>
        </w:rPr>
        <w:t>依赖于：</w:t>
      </w:r>
      <w:r>
        <w:t xml:space="preserve">FDP_ACC.1 </w:t>
      </w:r>
      <w:r>
        <w:rPr>
          <w:rFonts w:hint="eastAsia"/>
        </w:rPr>
        <w:t>（</w:t>
      </w:r>
      <w:r>
        <w:t>DA</w:t>
      </w:r>
      <w:r>
        <w:rPr>
          <w:rFonts w:hint="eastAsia"/>
        </w:rPr>
        <w:t>）子集访问控制；</w:t>
      </w:r>
    </w:p>
    <w:p>
      <w:pPr>
        <w:pStyle w:val="a"/>
        <w:ind w:firstLine="1260" w:firstLineChars="600"/>
        <w:rPr>
          <w:rFonts w:cs="Times New Roman"/>
        </w:rPr>
      </w:pPr>
      <w:r>
        <w:t xml:space="preserve">FMT_MSA.3 </w:t>
      </w:r>
      <w:r>
        <w:rPr>
          <w:rFonts w:hint="eastAsia"/>
        </w:rPr>
        <w:t>静态属性初始化。</w:t>
      </w:r>
    </w:p>
    <w:p>
      <w:pPr>
        <w:pStyle w:val="a"/>
        <w:ind w:firstLine="1260" w:firstLineChars="600"/>
        <w:rPr>
          <w:rFonts w:cs="Times New Roman"/>
        </w:rPr>
      </w:pPr>
    </w:p>
    <w:p>
      <w:pPr>
        <w:pStyle w:val="a"/>
        <w:ind w:firstLine="31680"/>
        <w:rPr>
          <w:rFonts w:cs="Times New Roman"/>
        </w:rPr>
      </w:pPr>
      <w:r>
        <w:t xml:space="preserve">FDP_ACF.1.1 </w:t>
      </w:r>
      <w:r>
        <w:rPr>
          <w:rFonts w:hint="eastAsia"/>
        </w:rPr>
        <w:t>移动终端操作系统的安全功能应对所有代表应用软件的进程对用户数据及系统敏感资源进行访问时，依据如下的安全属性，实施设备访问控制</w:t>
      </w:r>
      <w:r>
        <w:t>SFP</w:t>
      </w:r>
      <w:r>
        <w:rPr>
          <w:rFonts w:hint="eastAsia"/>
        </w:rPr>
        <w:t>：</w:t>
      </w:r>
    </w:p>
    <w:p>
      <w:pPr>
        <w:pStyle w:val="a"/>
        <w:ind w:firstLine="31680"/>
        <w:rPr>
          <w:rFonts w:cs="Times New Roman"/>
          <w:b/>
          <w:bCs/>
        </w:rPr>
      </w:pPr>
      <w:r>
        <w:rPr>
          <w:rFonts w:hint="eastAsia"/>
          <w:b/>
          <w:bCs/>
        </w:rPr>
        <w:t>【选择：</w:t>
      </w:r>
    </w:p>
    <w:p>
      <w:pPr>
        <w:pStyle w:val="a16"/>
        <w:numPr>
          <w:ilvl w:val="0"/>
          <w:numId w:val="17"/>
        </w:numPr>
        <w:rPr>
          <w:rFonts w:cs="Times New Roman"/>
          <w:b/>
          <w:bCs/>
        </w:rPr>
      </w:pPr>
      <w:r>
        <w:rPr>
          <w:rFonts w:hint="eastAsia"/>
          <w:b/>
          <w:bCs/>
        </w:rPr>
        <w:t>应用标识、应用组标识、及其访问能力参数；</w:t>
      </w:r>
    </w:p>
    <w:p>
      <w:pPr>
        <w:pStyle w:val="a16"/>
        <w:numPr>
          <w:ilvl w:val="0"/>
          <w:numId w:val="17"/>
        </w:numPr>
        <w:rPr>
          <w:rFonts w:cs="Times New Roman"/>
          <w:b/>
          <w:bCs/>
        </w:rPr>
      </w:pPr>
      <w:r>
        <w:rPr>
          <w:rFonts w:hint="eastAsia"/>
          <w:b/>
          <w:bCs/>
        </w:rPr>
        <w:t>客体标识及访问控制列表；</w:t>
      </w:r>
    </w:p>
    <w:p>
      <w:pPr>
        <w:pStyle w:val="a16"/>
        <w:numPr>
          <w:ilvl w:val="0"/>
          <w:numId w:val="17"/>
        </w:numPr>
        <w:rPr>
          <w:rFonts w:cs="Times New Roman"/>
          <w:b/>
          <w:bCs/>
        </w:rPr>
      </w:pPr>
      <w:r>
        <w:rPr>
          <w:rFonts w:hint="eastAsia"/>
          <w:b/>
          <w:bCs/>
        </w:rPr>
        <w:t>【赋值：应用软件的其他属性，客体的其他属性】。</w:t>
      </w:r>
    </w:p>
    <w:p>
      <w:pPr>
        <w:pStyle w:val="a"/>
        <w:ind w:firstLine="31680"/>
        <w:rPr>
          <w:rFonts w:cs="Times New Roman"/>
        </w:rPr>
      </w:pPr>
      <w:r>
        <w:rPr>
          <w:rFonts w:hint="eastAsia"/>
          <w:b/>
          <w:bCs/>
        </w:rPr>
        <w:t>】</w:t>
      </w:r>
    </w:p>
    <w:p>
      <w:pPr>
        <w:pStyle w:val="a"/>
        <w:ind w:firstLine="31680"/>
        <w:rPr>
          <w:rFonts w:cs="Times New Roman"/>
        </w:rPr>
      </w:pPr>
      <w:r>
        <w:t xml:space="preserve">FDP_ACF.1.2 </w:t>
      </w:r>
      <w:r>
        <w:rPr>
          <w:rFonts w:hint="eastAsia"/>
        </w:rPr>
        <w:t>移动终端操作系统的安全功能应依据如下规则，决定代表应用软件的进程对受控客体的操作是否允许：</w:t>
      </w:r>
    </w:p>
    <w:p>
      <w:pPr>
        <w:pStyle w:val="a16"/>
        <w:numPr>
          <w:ilvl w:val="0"/>
          <w:numId w:val="17"/>
        </w:numPr>
        <w:rPr>
          <w:rFonts w:cs="Times New Roman"/>
        </w:rPr>
      </w:pPr>
      <w:r>
        <w:rPr>
          <w:rFonts w:hint="eastAsia"/>
        </w:rPr>
        <w:t>如果应用软件要求的访问方式没有允许，则拒绝访问；</w:t>
      </w:r>
    </w:p>
    <w:p>
      <w:pPr>
        <w:pStyle w:val="a16"/>
        <w:numPr>
          <w:ilvl w:val="0"/>
          <w:numId w:val="17"/>
        </w:numPr>
        <w:rPr>
          <w:rFonts w:cs="Times New Roman"/>
        </w:rPr>
      </w:pPr>
      <w:r>
        <w:rPr>
          <w:rFonts w:hint="eastAsia"/>
        </w:rPr>
        <w:t>如果应用软件要求的访问方式被允许，则允许访问；</w:t>
      </w:r>
    </w:p>
    <w:p>
      <w:pPr>
        <w:pStyle w:val="a16"/>
        <w:numPr>
          <w:ilvl w:val="0"/>
          <w:numId w:val="17"/>
        </w:numPr>
        <w:rPr>
          <w:rFonts w:cs="Times New Roman"/>
        </w:rPr>
      </w:pPr>
      <w:r>
        <w:rPr>
          <w:rFonts w:hint="eastAsia"/>
        </w:rPr>
        <w:t>如果应用软件所属于的每一个组所要求的访问方式被拒绝，则拒绝访问；</w:t>
      </w:r>
    </w:p>
    <w:p>
      <w:pPr>
        <w:pStyle w:val="a16"/>
        <w:numPr>
          <w:ilvl w:val="0"/>
          <w:numId w:val="17"/>
        </w:numPr>
        <w:rPr>
          <w:rFonts w:cs="Times New Roman"/>
        </w:rPr>
      </w:pPr>
      <w:r>
        <w:rPr>
          <w:rFonts w:hint="eastAsia"/>
        </w:rPr>
        <w:t>如果应用软件所属于的任何一个组所要求的访问方式被允许，则允许访问；</w:t>
      </w:r>
    </w:p>
    <w:p>
      <w:pPr>
        <w:pStyle w:val="a16"/>
        <w:numPr>
          <w:ilvl w:val="0"/>
          <w:numId w:val="17"/>
        </w:numPr>
        <w:rPr>
          <w:rFonts w:cs="Times New Roman"/>
        </w:rPr>
        <w:sectPr>
          <w:headerReference w:type="default" r:id="rId29"/>
          <w:footerReference w:type="default" r:id="rId30"/>
          <w:type w:val="nextPage"/>
          <w:pgSz w:w="11906" w:h="16838"/>
          <w:pgMar w:top="567" w:right="1134" w:bottom="1134" w:left="1418" w:header="1418" w:footer="1134" w:gutter="0"/>
          <w:pgNumType w:start="10"/>
          <w:cols w:num="1" w:space="425"/>
          <w:formProt w:val="0"/>
          <w:titlePg w:val="0"/>
          <w:docGrid w:type="lines" w:linePitch="312" w:charSpace="0"/>
        </w:sectPr>
      </w:pPr>
      <w:r>
        <w:rPr>
          <w:rFonts w:hint="eastAsia"/>
        </w:rPr>
        <w:t>其他，则拒绝访问。</w:t>
      </w:r>
    </w:p>
    <w:p>
      <w:pPr>
        <w:pStyle w:val="a"/>
        <w:ind w:firstLine="31680"/>
        <w:rPr>
          <w:rFonts w:cs="Times New Roman"/>
        </w:rPr>
      </w:pPr>
      <w:r>
        <w:t xml:space="preserve">FDP_ACF.1.3 </w:t>
      </w:r>
      <w:r>
        <w:rPr>
          <w:rFonts w:hint="eastAsia"/>
        </w:rPr>
        <w:t>移动终端操作系统的安全功能应无附加规则，明确允许代表应用软件的进程对受控客体的授权访问。</w:t>
      </w:r>
    </w:p>
    <w:p>
      <w:pPr>
        <w:pStyle w:val="a"/>
        <w:ind w:firstLine="31680"/>
        <w:rPr>
          <w:rFonts w:cs="Times New Roman"/>
        </w:rPr>
      </w:pPr>
      <w:r>
        <w:t xml:space="preserve">FDP_ACF.1.4 </w:t>
      </w:r>
      <w:r>
        <w:rPr>
          <w:rFonts w:hint="eastAsia"/>
        </w:rPr>
        <w:t>移动终端操作系统的安全功能应依据如下附加规则，明确拒绝代表应用软件的进程对受控客体的访问：</w:t>
      </w:r>
    </w:p>
    <w:p>
      <w:pPr>
        <w:pStyle w:val="a16"/>
        <w:numPr>
          <w:ilvl w:val="0"/>
          <w:numId w:val="17"/>
        </w:numPr>
        <w:rPr>
          <w:rFonts w:cs="Times New Roman"/>
        </w:rPr>
      </w:pPr>
      <w:r>
        <w:rPr>
          <w:rFonts w:hint="eastAsia"/>
        </w:rPr>
        <w:t>应用软件在应用软件撤销列表中；</w:t>
      </w:r>
    </w:p>
    <w:p>
      <w:pPr>
        <w:pStyle w:val="a16"/>
        <w:numPr>
          <w:ilvl w:val="0"/>
          <w:numId w:val="17"/>
        </w:numPr>
        <w:rPr>
          <w:rFonts w:cs="Times New Roman"/>
        </w:rPr>
      </w:pPr>
      <w:r>
        <w:rPr>
          <w:rFonts w:hint="eastAsia"/>
        </w:rPr>
        <w:t>对</w:t>
      </w:r>
      <w:r>
        <w:rPr>
          <w:rFonts w:hint="eastAsia"/>
          <w:b/>
          <w:bCs/>
        </w:rPr>
        <w:t>【赋值：与用户隐私或利益相关的客体列表】</w:t>
      </w:r>
      <w:r>
        <w:rPr>
          <w:rFonts w:hint="eastAsia"/>
        </w:rPr>
        <w:t>的访问未获用户许可。</w:t>
      </w:r>
    </w:p>
    <w:p>
      <w:pPr>
        <w:pStyle w:val="a4"/>
        <w:spacing w:before="156" w:after="156"/>
        <w:rPr>
          <w:rFonts w:cs="Times New Roman"/>
        </w:rPr>
      </w:pPr>
      <w:bookmarkStart w:id="241" w:name="_Toc320805088"/>
      <w:r>
        <w:rPr>
          <w:rFonts w:hint="eastAsia"/>
        </w:rPr>
        <w:t>不带安全属性的用户数据输出（</w:t>
      </w:r>
      <w:r>
        <w:t>UD</w:t>
      </w:r>
      <w:r>
        <w:rPr>
          <w:rFonts w:hint="eastAsia"/>
        </w:rPr>
        <w:t>）（</w:t>
      </w:r>
      <w:r>
        <w:t>FDP_ETC.1</w:t>
      </w:r>
      <w:r>
        <w:rPr>
          <w:rFonts w:hint="eastAsia"/>
        </w:rPr>
        <w:t>）（</w:t>
      </w:r>
      <w:r>
        <w:t>UD</w:t>
      </w:r>
      <w:r>
        <w:rPr>
          <w:rFonts w:hint="eastAsia"/>
        </w:rPr>
        <w:t>：用户数据）</w:t>
      </w:r>
      <w:bookmarkEnd w:id="241"/>
    </w:p>
    <w:p>
      <w:pPr>
        <w:pStyle w:val="a"/>
        <w:ind w:firstLine="31680"/>
        <w:rPr>
          <w:rFonts w:cs="Times New Roman"/>
        </w:rPr>
      </w:pPr>
      <w:r>
        <w:rPr>
          <w:rFonts w:hint="eastAsia"/>
        </w:rPr>
        <w:t>从属于：无。</w:t>
      </w:r>
    </w:p>
    <w:p>
      <w:pPr>
        <w:pStyle w:val="a"/>
        <w:ind w:firstLine="31680"/>
      </w:pPr>
      <w:r>
        <w:rPr>
          <w:rFonts w:hint="eastAsia"/>
        </w:rPr>
        <w:t>依赖于：</w:t>
      </w:r>
      <w:r>
        <w:t>FDP_ACC.1 (DA)</w:t>
      </w:r>
      <w:r>
        <w:rPr>
          <w:rFonts w:hint="eastAsia"/>
        </w:rPr>
        <w:t>子集访问控制和</w:t>
      </w:r>
      <w:r>
        <w:t>/</w:t>
      </w:r>
      <w:r>
        <w:rPr>
          <w:rFonts w:hint="eastAsia"/>
        </w:rPr>
        <w:t>或</w:t>
      </w:r>
      <w:r>
        <w:t>FDP_IFC.1 (NIC)</w:t>
      </w:r>
      <w:r>
        <w:rPr>
          <w:rFonts w:hint="eastAsia"/>
        </w:rPr>
        <w:t>子集信息流控制</w:t>
      </w:r>
      <w:r>
        <w:t>;</w:t>
      </w:r>
    </w:p>
    <w:p>
      <w:pPr>
        <w:pStyle w:val="a"/>
        <w:ind w:firstLine="31680"/>
      </w:pPr>
    </w:p>
    <w:p>
      <w:pPr>
        <w:pStyle w:val="a"/>
        <w:ind w:firstLine="31680"/>
        <w:rPr>
          <w:rFonts w:cs="Times New Roman"/>
        </w:rPr>
      </w:pPr>
      <w:r>
        <w:t xml:space="preserve">FDP_ETC.1.1 </w:t>
      </w:r>
      <w:r>
        <w:rPr>
          <w:rFonts w:hint="eastAsia"/>
        </w:rPr>
        <w:t>在安全功能策略覆盖下的用户数据输出到</w:t>
      </w:r>
      <w:r>
        <w:t>TOE</w:t>
      </w:r>
      <w:r>
        <w:rPr>
          <w:rFonts w:hint="eastAsia"/>
        </w:rPr>
        <w:t>之外时，移动终端操作系统的安全功能应实施设备访问控制</w:t>
      </w:r>
      <w:r>
        <w:t>SFP</w:t>
      </w:r>
      <w:r>
        <w:rPr>
          <w:rFonts w:hint="eastAsia"/>
        </w:rPr>
        <w:t>和</w:t>
      </w:r>
      <w:r>
        <w:t>/</w:t>
      </w:r>
      <w:r>
        <w:rPr>
          <w:rFonts w:hint="eastAsia"/>
        </w:rPr>
        <w:t>或网络信息流控制</w:t>
      </w:r>
      <w:r>
        <w:t>SFP</w:t>
      </w:r>
      <w:r>
        <w:rPr>
          <w:rFonts w:hint="eastAsia"/>
        </w:rPr>
        <w:t>。</w:t>
      </w:r>
    </w:p>
    <w:p>
      <w:pPr>
        <w:pStyle w:val="a"/>
        <w:ind w:firstLine="31680"/>
        <w:rPr>
          <w:rFonts w:cs="Times New Roman"/>
        </w:rPr>
      </w:pPr>
      <w:r>
        <w:t xml:space="preserve">FDP_ETC.1.2 </w:t>
      </w:r>
      <w:r>
        <w:rPr>
          <w:rFonts w:hint="eastAsia"/>
        </w:rPr>
        <w:t>移动终端操作系统的安全功能应能输出用户数据，但不带有用户数据关联的安全属性。</w:t>
      </w:r>
    </w:p>
    <w:p>
      <w:pPr>
        <w:pStyle w:val="a"/>
        <w:ind w:firstLine="31680"/>
        <w:rPr>
          <w:rFonts w:cs="Times New Roman"/>
        </w:rPr>
      </w:pPr>
    </w:p>
    <w:p>
      <w:pPr>
        <w:pStyle w:val="a"/>
        <w:ind w:firstLine="31680"/>
        <w:rPr>
          <w:rFonts w:cs="Times New Roman"/>
        </w:rPr>
      </w:pPr>
      <w:r>
        <w:rPr>
          <w:rFonts w:hint="eastAsia"/>
          <w:b/>
          <w:bCs/>
        </w:rPr>
        <w:t>应用注释</w:t>
      </w:r>
      <w:r>
        <w:rPr>
          <w:rFonts w:hint="eastAsia"/>
        </w:rPr>
        <w:t>：在不带与用户数据关联的安全属性输出用户数据时，对用户数据的保护要依赖环境。</w:t>
      </w:r>
    </w:p>
    <w:p>
      <w:pPr>
        <w:pStyle w:val="a4"/>
        <w:spacing w:before="156" w:after="156"/>
        <w:rPr>
          <w:rFonts w:cs="Times New Roman"/>
        </w:rPr>
      </w:pPr>
      <w:bookmarkStart w:id="242" w:name="_Toc320805089"/>
      <w:r>
        <w:rPr>
          <w:rFonts w:hint="eastAsia"/>
        </w:rPr>
        <w:t>带安全属性的用户数据输出（</w:t>
      </w:r>
      <w:r>
        <w:t>FDP_ETC.2</w:t>
      </w:r>
      <w:r>
        <w:rPr>
          <w:rFonts w:hint="eastAsia"/>
        </w:rPr>
        <w:t>）</w:t>
      </w:r>
      <w:bookmarkEnd w:id="242"/>
    </w:p>
    <w:p>
      <w:pPr>
        <w:pStyle w:val="a"/>
        <w:ind w:firstLine="31680"/>
        <w:rPr>
          <w:rFonts w:cs="Times New Roman"/>
        </w:rPr>
      </w:pPr>
      <w:r>
        <w:rPr>
          <w:rFonts w:hint="eastAsia"/>
        </w:rPr>
        <w:t>从属于：无。</w:t>
      </w:r>
    </w:p>
    <w:p>
      <w:pPr>
        <w:pStyle w:val="a"/>
        <w:ind w:left="1155" w:hanging="735" w:leftChars="200" w:hangingChars="350"/>
        <w:rPr>
          <w:rFonts w:cs="Times New Roman"/>
        </w:rPr>
      </w:pPr>
      <w:r>
        <w:rPr>
          <w:rFonts w:hint="eastAsia"/>
        </w:rPr>
        <w:t>依赖于：</w:t>
      </w:r>
      <w:r>
        <w:t xml:space="preserve">FDP_ACC.1 </w:t>
      </w:r>
      <w:r>
        <w:rPr>
          <w:rFonts w:hint="eastAsia"/>
        </w:rPr>
        <w:t>（</w:t>
      </w:r>
      <w:r>
        <w:t>DA</w:t>
      </w:r>
      <w:r>
        <w:rPr>
          <w:rFonts w:hint="eastAsia"/>
        </w:rPr>
        <w:t>）子集访问控制和</w:t>
      </w:r>
      <w:r>
        <w:t>/</w:t>
      </w:r>
      <w:r>
        <w:rPr>
          <w:rFonts w:hint="eastAsia"/>
        </w:rPr>
        <w:t>或</w:t>
      </w:r>
      <w:r>
        <w:t>FDP_IFC.1</w:t>
      </w:r>
      <w:r>
        <w:rPr>
          <w:rFonts w:hint="eastAsia"/>
        </w:rPr>
        <w:t>（</w:t>
      </w:r>
      <w:r>
        <w:t>NIC</w:t>
      </w:r>
      <w:r>
        <w:rPr>
          <w:rFonts w:hint="eastAsia"/>
        </w:rPr>
        <w:t>）子集信息流控制和</w:t>
      </w:r>
      <w:r>
        <w:t>/</w:t>
      </w:r>
      <w:r>
        <w:rPr>
          <w:rFonts w:hint="eastAsia"/>
        </w:rPr>
        <w:t>或</w:t>
      </w:r>
    </w:p>
    <w:p>
      <w:pPr>
        <w:pStyle w:val="a"/>
        <w:ind w:left="1155" w:firstLine="105" w:leftChars="550" w:firstLineChars="50"/>
        <w:rPr>
          <w:rFonts w:cs="Times New Roman"/>
        </w:rPr>
      </w:pPr>
      <w:r>
        <w:t>FDP_IFC.1 (MIC)</w:t>
      </w:r>
      <w:r>
        <w:rPr>
          <w:rFonts w:hint="eastAsia"/>
        </w:rPr>
        <w:t>子集信息流控制；</w:t>
      </w:r>
    </w:p>
    <w:p>
      <w:pPr>
        <w:pStyle w:val="a"/>
        <w:ind w:firstLine="1260" w:firstLineChars="600"/>
        <w:rPr>
          <w:rFonts w:cs="Times New Roman"/>
        </w:rPr>
      </w:pPr>
      <w:r>
        <w:t xml:space="preserve">FCS_CPR_EXT.1 </w:t>
      </w:r>
      <w:r>
        <w:rPr>
          <w:rFonts w:hint="eastAsia"/>
        </w:rPr>
        <w:t>密码提供要求。</w:t>
      </w:r>
    </w:p>
    <w:p>
      <w:pPr>
        <w:pStyle w:val="a"/>
        <w:ind w:firstLine="1260" w:firstLineChars="600"/>
        <w:rPr>
          <w:rFonts w:cs="Times New Roman"/>
        </w:rPr>
      </w:pPr>
    </w:p>
    <w:p>
      <w:pPr>
        <w:pStyle w:val="a"/>
        <w:ind w:firstLine="31680"/>
        <w:rPr>
          <w:rFonts w:cs="Times New Roman"/>
        </w:rPr>
      </w:pPr>
      <w:r>
        <w:t xml:space="preserve">FDP_ETC.2.1 </w:t>
      </w:r>
      <w:r>
        <w:rPr>
          <w:rFonts w:hint="eastAsia"/>
        </w:rPr>
        <w:t>在安全功能策略覆盖下的用户数据输出到</w:t>
      </w:r>
      <w:r>
        <w:t>TOE</w:t>
      </w:r>
      <w:r>
        <w:rPr>
          <w:rFonts w:hint="eastAsia"/>
        </w:rPr>
        <w:t>之外时，移动终端操作系统的安全功能应实施设备访问控制</w:t>
      </w:r>
      <w:r>
        <w:t>SFP</w:t>
      </w:r>
      <w:r>
        <w:rPr>
          <w:rFonts w:hint="eastAsia"/>
        </w:rPr>
        <w:t>和</w:t>
      </w:r>
      <w:r>
        <w:t>/</w:t>
      </w:r>
      <w:r>
        <w:rPr>
          <w:rFonts w:hint="eastAsia"/>
        </w:rPr>
        <w:t>或网络信息流控制</w:t>
      </w:r>
      <w:r>
        <w:t>SFP</w:t>
      </w:r>
      <w:r>
        <w:rPr>
          <w:rFonts w:hint="eastAsia"/>
        </w:rPr>
        <w:t>和</w:t>
      </w:r>
      <w:r>
        <w:t>/</w:t>
      </w:r>
      <w:r>
        <w:rPr>
          <w:rFonts w:hint="eastAsia"/>
        </w:rPr>
        <w:t>或管理信息流控制</w:t>
      </w:r>
      <w:r>
        <w:t>SFP</w:t>
      </w:r>
      <w:r>
        <w:rPr>
          <w:rFonts w:hint="eastAsia"/>
        </w:rPr>
        <w:t>。</w:t>
      </w:r>
    </w:p>
    <w:p>
      <w:pPr>
        <w:pStyle w:val="a"/>
        <w:ind w:firstLine="31680"/>
        <w:rPr>
          <w:rFonts w:cs="Times New Roman"/>
        </w:rPr>
      </w:pPr>
      <w:r>
        <w:t xml:space="preserve">FDP_ETC.2.2 </w:t>
      </w:r>
      <w:r>
        <w:rPr>
          <w:rFonts w:hint="eastAsia"/>
        </w:rPr>
        <w:t>移动终端操作系统的安全功能应输出用户数据且带有与用户数据关联的安全属性。</w:t>
      </w:r>
    </w:p>
    <w:p>
      <w:pPr>
        <w:pStyle w:val="a"/>
        <w:ind w:firstLine="31680"/>
        <w:rPr>
          <w:rFonts w:cs="Times New Roman"/>
        </w:rPr>
      </w:pPr>
      <w:r>
        <w:t xml:space="preserve">FDP_ETC.2.3 </w:t>
      </w:r>
      <w:r>
        <w:rPr>
          <w:rFonts w:hint="eastAsia"/>
        </w:rPr>
        <w:t>移动终端操作系统的安全功能应确保安全属性，在输出到</w:t>
      </w:r>
      <w:r>
        <w:t>TOE</w:t>
      </w:r>
      <w:r>
        <w:rPr>
          <w:rFonts w:hint="eastAsia"/>
        </w:rPr>
        <w:t>之外时，与所输出的用户数据明确关联。</w:t>
      </w:r>
    </w:p>
    <w:p>
      <w:pPr>
        <w:pStyle w:val="a"/>
        <w:ind w:firstLine="31680"/>
        <w:rPr>
          <w:rFonts w:cs="Times New Roman"/>
        </w:rPr>
      </w:pPr>
      <w:r>
        <w:t xml:space="preserve">FDP_ETC.2.4 </w:t>
      </w:r>
      <w:r>
        <w:rPr>
          <w:rFonts w:hint="eastAsia"/>
        </w:rPr>
        <w:t>当用户数据输出到</w:t>
      </w:r>
      <w:r>
        <w:t>TOE</w:t>
      </w:r>
      <w:r>
        <w:rPr>
          <w:rFonts w:hint="eastAsia"/>
        </w:rPr>
        <w:t>之外时，移动终端操作系统的安全功能应实施下列规则：</w:t>
      </w:r>
      <w:r>
        <w:rPr>
          <w:rFonts w:hint="eastAsia"/>
          <w:b/>
          <w:bCs/>
        </w:rPr>
        <w:t>【选择：对用户数据加密保护，【赋值：附加的输出控制规则】】</w:t>
      </w:r>
      <w:r>
        <w:rPr>
          <w:rFonts w:hint="eastAsia"/>
        </w:rPr>
        <w:t>。</w:t>
      </w:r>
    </w:p>
    <w:p>
      <w:pPr>
        <w:pStyle w:val="a4"/>
        <w:spacing w:before="156" w:after="156"/>
        <w:rPr>
          <w:rFonts w:cs="Times New Roman"/>
        </w:rPr>
      </w:pPr>
      <w:bookmarkStart w:id="243" w:name="_Toc320805090"/>
      <w:r>
        <w:rPr>
          <w:rFonts w:hint="eastAsia"/>
        </w:rPr>
        <w:t>子集信息流控制（</w:t>
      </w:r>
      <w:r>
        <w:t>NIC</w:t>
      </w:r>
      <w:r>
        <w:rPr>
          <w:rFonts w:hint="eastAsia"/>
        </w:rPr>
        <w:t>）（</w:t>
      </w:r>
      <w:r>
        <w:t>FDP_IFC.1</w:t>
      </w:r>
      <w:r>
        <w:rPr>
          <w:rFonts w:hint="eastAsia"/>
        </w:rPr>
        <w:t>）（</w:t>
      </w:r>
      <w:r>
        <w:t>NIC</w:t>
      </w:r>
      <w:r>
        <w:rPr>
          <w:rFonts w:hint="eastAsia"/>
        </w:rPr>
        <w:t>：网络信息流控制</w:t>
      </w:r>
      <w:r>
        <w:t>SFP</w:t>
      </w:r>
      <w:r>
        <w:rPr>
          <w:rFonts w:hint="eastAsia"/>
        </w:rPr>
        <w:t>）</w:t>
      </w:r>
      <w:bookmarkEnd w:id="243"/>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 xml:space="preserve">FDP_IFF.1 </w:t>
      </w:r>
      <w:r>
        <w:rPr>
          <w:rFonts w:hint="eastAsia"/>
        </w:rPr>
        <w:t>（</w:t>
      </w:r>
      <w:r>
        <w:t>NIC</w:t>
      </w:r>
      <w:r>
        <w:rPr>
          <w:rFonts w:hint="eastAsia"/>
        </w:rPr>
        <w:t>）简单安全属性。</w:t>
      </w:r>
    </w:p>
    <w:p>
      <w:pPr>
        <w:pStyle w:val="a"/>
        <w:ind w:firstLine="31680"/>
        <w:rPr>
          <w:rFonts w:cs="Times New Roman"/>
        </w:rPr>
      </w:pPr>
    </w:p>
    <w:p>
      <w:pPr>
        <w:pStyle w:val="a"/>
        <w:ind w:firstLine="31680"/>
        <w:rPr>
          <w:rFonts w:cs="Times New Roman"/>
        </w:rPr>
      </w:pPr>
      <w:r>
        <w:t xml:space="preserve">FDP_IFC.1.1 </w:t>
      </w:r>
      <w:r>
        <w:rPr>
          <w:rFonts w:hint="eastAsia"/>
        </w:rPr>
        <w:t>移动终端操作系统的安全功能应对下列主体和网络信息流及其操作实施网络信息流控制</w:t>
      </w:r>
      <w:r>
        <w:t>SFP</w:t>
      </w:r>
      <w:r>
        <w:rPr>
          <w:rFonts w:hint="eastAsia"/>
        </w:rPr>
        <w:t>：</w:t>
      </w:r>
    </w:p>
    <w:p>
      <w:pPr>
        <w:pStyle w:val="a16"/>
        <w:rPr>
          <w:rFonts w:cs="Times New Roman"/>
        </w:rPr>
      </w:pPr>
      <w:r>
        <w:rPr>
          <w:rFonts w:hint="eastAsia"/>
        </w:rPr>
        <w:t>主体：</w:t>
      </w:r>
    </w:p>
    <w:p>
      <w:pPr>
        <w:pStyle w:val="a11"/>
        <w:rPr>
          <w:rFonts w:cs="Times New Roman"/>
        </w:rPr>
      </w:pPr>
      <w:r>
        <w:rPr>
          <w:rFonts w:hint="eastAsia"/>
        </w:rPr>
        <w:t>在</w:t>
      </w:r>
      <w:r>
        <w:t>TOE</w:t>
      </w:r>
      <w:r>
        <w:rPr>
          <w:rFonts w:hint="eastAsia"/>
        </w:rPr>
        <w:t>介导下发送和接收网络信息的没有鉴别的外部</w:t>
      </w:r>
      <w:r>
        <w:t>IT</w:t>
      </w:r>
      <w:r>
        <w:rPr>
          <w:rFonts w:hint="eastAsia"/>
        </w:rPr>
        <w:t>实体；</w:t>
      </w:r>
    </w:p>
    <w:p>
      <w:pPr>
        <w:pStyle w:val="a11"/>
        <w:rPr>
          <w:rFonts w:cs="Times New Roman"/>
        </w:rPr>
      </w:pPr>
      <w:r>
        <w:rPr>
          <w:rFonts w:hint="eastAsia"/>
          <w:b/>
          <w:bCs/>
        </w:rPr>
        <w:t>【赋值：其他由</w:t>
      </w:r>
      <w:r>
        <w:rPr>
          <w:b/>
          <w:bCs/>
        </w:rPr>
        <w:t>TOE</w:t>
      </w:r>
      <w:r>
        <w:rPr>
          <w:rFonts w:hint="eastAsia"/>
          <w:b/>
          <w:bCs/>
        </w:rPr>
        <w:t>介导发送、接收网络信息的其他主体】</w:t>
      </w:r>
      <w:r>
        <w:rPr>
          <w:rFonts w:hint="eastAsia"/>
        </w:rPr>
        <w:t>。</w:t>
      </w:r>
    </w:p>
    <w:p>
      <w:pPr>
        <w:pStyle w:val="a16"/>
        <w:rPr>
          <w:rFonts w:cs="Times New Roman"/>
        </w:rPr>
      </w:pPr>
      <w:r>
        <w:rPr>
          <w:rFonts w:hint="eastAsia"/>
        </w:rPr>
        <w:t>信息：经</w:t>
      </w:r>
      <w:r>
        <w:t>TOE</w:t>
      </w:r>
      <w:r>
        <w:rPr>
          <w:rFonts w:hint="eastAsia"/>
        </w:rPr>
        <w:t>路由的网络数据；</w:t>
      </w:r>
    </w:p>
    <w:p>
      <w:pPr>
        <w:pStyle w:val="a16"/>
        <w:rPr>
          <w:rFonts w:cs="Times New Roman"/>
        </w:rPr>
      </w:pPr>
      <w:r>
        <w:rPr>
          <w:rFonts w:hint="eastAsia"/>
        </w:rPr>
        <w:t>操作：导致信息流动的所有操作。</w:t>
      </w:r>
    </w:p>
    <w:p>
      <w:pPr>
        <w:pStyle w:val="a16"/>
        <w:numPr>
          <w:ilvl w:val="0"/>
          <w:numId w:val="0"/>
        </w:numPr>
        <w:ind w:left="420"/>
        <w:rPr>
          <w:rFonts w:cs="Times New Roman"/>
        </w:rPr>
        <w:sectPr>
          <w:headerReference w:type="default" r:id="rId31"/>
          <w:footerReference w:type="default" r:id="rId32"/>
          <w:type w:val="nextPage"/>
          <w:pgSz w:w="11906" w:h="16838"/>
          <w:pgMar w:top="567" w:right="1134" w:bottom="1134" w:left="1418" w:header="1418" w:footer="1134" w:gutter="0"/>
          <w:pgNumType w:start="11"/>
          <w:cols w:num="1" w:space="425"/>
          <w:formProt w:val="0"/>
          <w:titlePg w:val="0"/>
          <w:docGrid w:type="lines" w:linePitch="312" w:charSpace="0"/>
        </w:sectPr>
      </w:pPr>
    </w:p>
    <w:p>
      <w:pPr>
        <w:pStyle w:val="a"/>
        <w:ind w:firstLine="31680"/>
        <w:rPr>
          <w:rFonts w:cs="Times New Roman"/>
        </w:rPr>
      </w:pPr>
      <w:r>
        <w:rPr>
          <w:rFonts w:hint="eastAsia"/>
          <w:b/>
          <w:bCs/>
        </w:rPr>
        <w:t>应用注释</w:t>
      </w:r>
      <w:r>
        <w:rPr>
          <w:rFonts w:hint="eastAsia"/>
        </w:rPr>
        <w:t>：操作可能是发送、接收、转发、丢弃或对发送方的一个应答。</w:t>
      </w:r>
    </w:p>
    <w:p>
      <w:pPr>
        <w:pStyle w:val="a4"/>
        <w:spacing w:before="156" w:after="156"/>
        <w:rPr>
          <w:rFonts w:cs="Times New Roman"/>
        </w:rPr>
      </w:pPr>
      <w:bookmarkStart w:id="244" w:name="_Toc320805091"/>
      <w:r>
        <w:rPr>
          <w:rFonts w:hint="eastAsia"/>
        </w:rPr>
        <w:t>简单安全属性（</w:t>
      </w:r>
      <w:r>
        <w:t>NIC</w:t>
      </w:r>
      <w:r>
        <w:rPr>
          <w:rFonts w:hint="eastAsia"/>
        </w:rPr>
        <w:t>）（</w:t>
      </w:r>
      <w:r>
        <w:t>FDP_IFF.1</w:t>
      </w:r>
      <w:r>
        <w:rPr>
          <w:rFonts w:hint="eastAsia"/>
        </w:rPr>
        <w:t>）（</w:t>
      </w:r>
      <w:r>
        <w:t>NIC</w:t>
      </w:r>
      <w:r>
        <w:rPr>
          <w:rFonts w:hint="eastAsia"/>
        </w:rPr>
        <w:t>：网络信息流控制</w:t>
      </w:r>
      <w:r>
        <w:t>SFP</w:t>
      </w:r>
      <w:r>
        <w:rPr>
          <w:rFonts w:hint="eastAsia"/>
        </w:rPr>
        <w:t>）</w:t>
      </w:r>
      <w:bookmarkEnd w:id="244"/>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FDP_IFC.1</w:t>
      </w:r>
      <w:r>
        <w:rPr>
          <w:rFonts w:hint="eastAsia"/>
        </w:rPr>
        <w:t>（</w:t>
      </w:r>
      <w:r>
        <w:t>NIC</w:t>
      </w:r>
      <w:r>
        <w:rPr>
          <w:rFonts w:hint="eastAsia"/>
        </w:rPr>
        <w:t>）</w:t>
      </w:r>
      <w:r>
        <w:t xml:space="preserve"> </w:t>
      </w:r>
      <w:r>
        <w:rPr>
          <w:rFonts w:hint="eastAsia"/>
        </w:rPr>
        <w:t>子集信息流控制；</w:t>
      </w:r>
    </w:p>
    <w:p>
      <w:pPr>
        <w:pStyle w:val="a"/>
        <w:ind w:firstLine="1260" w:firstLineChars="600"/>
        <w:rPr>
          <w:rFonts w:cs="Times New Roman"/>
        </w:rPr>
      </w:pPr>
      <w:r>
        <w:t xml:space="preserve">FMT_MSA.3 </w:t>
      </w:r>
      <w:r>
        <w:rPr>
          <w:rFonts w:hint="eastAsia"/>
        </w:rPr>
        <w:t>静态属性初始化。</w:t>
      </w:r>
    </w:p>
    <w:p>
      <w:pPr>
        <w:pStyle w:val="a"/>
        <w:ind w:firstLine="1260" w:firstLineChars="600"/>
        <w:rPr>
          <w:rFonts w:cs="Times New Roman"/>
        </w:rPr>
      </w:pPr>
    </w:p>
    <w:p>
      <w:pPr>
        <w:pStyle w:val="a"/>
        <w:ind w:firstLine="31680"/>
        <w:rPr>
          <w:rFonts w:cs="Times New Roman"/>
        </w:rPr>
      </w:pPr>
      <w:r>
        <w:t xml:space="preserve">FDP_IFF.1.1 </w:t>
      </w:r>
      <w:r>
        <w:rPr>
          <w:rFonts w:hint="eastAsia"/>
        </w:rPr>
        <w:t>移动终端操作系统的安全功能应基于下列主体类型和网络信息的安全属性，实施网络信息流控制</w:t>
      </w:r>
      <w:r>
        <w:t>SFP</w:t>
      </w:r>
      <w:r>
        <w:rPr>
          <w:rFonts w:hint="eastAsia"/>
        </w:rPr>
        <w:t>：</w:t>
      </w:r>
    </w:p>
    <w:p>
      <w:pPr>
        <w:pStyle w:val="a16"/>
        <w:numPr>
          <w:ilvl w:val="0"/>
          <w:numId w:val="19"/>
        </w:numPr>
        <w:rPr>
          <w:rFonts w:cs="Times New Roman"/>
        </w:rPr>
      </w:pPr>
      <w:r>
        <w:rPr>
          <w:rFonts w:hint="eastAsia"/>
        </w:rPr>
        <w:t>客体属性（与主体类型相关）：</w:t>
      </w:r>
    </w:p>
    <w:p>
      <w:pPr>
        <w:pStyle w:val="a11"/>
        <w:numPr>
          <w:ilvl w:val="1"/>
          <w:numId w:val="20"/>
        </w:numPr>
        <w:rPr>
          <w:rFonts w:cs="Times New Roman"/>
        </w:rPr>
      </w:pPr>
      <w:r>
        <w:rPr>
          <w:rFonts w:hint="eastAsia"/>
        </w:rPr>
        <w:t>网络数据所通过的逻辑或物理的网络接口；</w:t>
      </w:r>
    </w:p>
    <w:p>
      <w:pPr>
        <w:pStyle w:val="a11"/>
        <w:numPr>
          <w:ilvl w:val="1"/>
          <w:numId w:val="20"/>
        </w:numPr>
        <w:rPr>
          <w:rFonts w:cs="Times New Roman"/>
          <w:b/>
          <w:bCs/>
        </w:rPr>
      </w:pPr>
      <w:r>
        <w:rPr>
          <w:rFonts w:hint="eastAsia"/>
          <w:b/>
          <w:bCs/>
        </w:rPr>
        <w:t>【赋值：其他客体属性】。</w:t>
      </w:r>
    </w:p>
    <w:p>
      <w:pPr>
        <w:pStyle w:val="a16"/>
        <w:numPr>
          <w:ilvl w:val="0"/>
          <w:numId w:val="19"/>
        </w:numPr>
        <w:rPr>
          <w:rFonts w:cs="Times New Roman"/>
        </w:rPr>
      </w:pPr>
      <w:r>
        <w:t>TCP/IP</w:t>
      </w:r>
      <w:r>
        <w:rPr>
          <w:rFonts w:hint="eastAsia"/>
        </w:rPr>
        <w:t>信息的安全属性：</w:t>
      </w:r>
    </w:p>
    <w:p>
      <w:pPr>
        <w:pStyle w:val="a11"/>
        <w:numPr>
          <w:ilvl w:val="1"/>
          <w:numId w:val="20"/>
        </w:numPr>
        <w:rPr>
          <w:rFonts w:cs="Times New Roman"/>
        </w:rPr>
      </w:pPr>
      <w:r>
        <w:rPr>
          <w:rFonts w:hint="eastAsia"/>
        </w:rPr>
        <w:t>源和目的的</w:t>
      </w:r>
      <w:r>
        <w:t>IP</w:t>
      </w:r>
      <w:r>
        <w:rPr>
          <w:rFonts w:hint="eastAsia"/>
        </w:rPr>
        <w:t>地址；</w:t>
      </w:r>
    </w:p>
    <w:p>
      <w:pPr>
        <w:pStyle w:val="a11"/>
        <w:numPr>
          <w:ilvl w:val="1"/>
          <w:numId w:val="20"/>
        </w:numPr>
        <w:rPr>
          <w:rFonts w:cs="Times New Roman"/>
        </w:rPr>
      </w:pPr>
      <w:r>
        <w:rPr>
          <w:rFonts w:hint="eastAsia"/>
        </w:rPr>
        <w:t>源和目的的</w:t>
      </w:r>
      <w:r>
        <w:t>TCP</w:t>
      </w:r>
      <w:r>
        <w:rPr>
          <w:rFonts w:hint="eastAsia"/>
        </w:rPr>
        <w:t>端口；</w:t>
      </w:r>
    </w:p>
    <w:p>
      <w:pPr>
        <w:pStyle w:val="a11"/>
        <w:numPr>
          <w:ilvl w:val="1"/>
          <w:numId w:val="20"/>
        </w:numPr>
        <w:rPr>
          <w:rFonts w:cs="Times New Roman"/>
        </w:rPr>
      </w:pPr>
      <w:r>
        <w:rPr>
          <w:rFonts w:hint="eastAsia"/>
        </w:rPr>
        <w:t>源和目的的</w:t>
      </w:r>
      <w:r>
        <w:t>UDP</w:t>
      </w:r>
      <w:r>
        <w:rPr>
          <w:rFonts w:hint="eastAsia"/>
        </w:rPr>
        <w:t>端口；</w:t>
      </w:r>
    </w:p>
    <w:p>
      <w:pPr>
        <w:pStyle w:val="a11"/>
        <w:numPr>
          <w:ilvl w:val="1"/>
          <w:numId w:val="20"/>
        </w:numPr>
        <w:rPr>
          <w:rFonts w:cs="Times New Roman"/>
        </w:rPr>
      </w:pPr>
      <w:r>
        <w:t>IP</w:t>
      </w:r>
      <w:r>
        <w:rPr>
          <w:rFonts w:hint="eastAsia"/>
        </w:rPr>
        <w:t>、</w:t>
      </w:r>
      <w:r>
        <w:t>TCP</w:t>
      </w:r>
      <w:r>
        <w:rPr>
          <w:rFonts w:hint="eastAsia"/>
        </w:rPr>
        <w:t>、</w:t>
      </w:r>
      <w:r>
        <w:t>UDP</w:t>
      </w:r>
      <w:r>
        <w:rPr>
          <w:rFonts w:hint="eastAsia"/>
        </w:rPr>
        <w:t>、</w:t>
      </w:r>
      <w:r>
        <w:t>ICMP</w:t>
      </w:r>
      <w:r>
        <w:rPr>
          <w:rFonts w:hint="eastAsia"/>
        </w:rPr>
        <w:t>或【</w:t>
      </w:r>
      <w:r>
        <w:rPr>
          <w:rFonts w:hint="eastAsia"/>
          <w:b/>
          <w:bCs/>
        </w:rPr>
        <w:t>赋值：其他</w:t>
      </w:r>
      <w:r>
        <w:rPr>
          <w:rFonts w:hint="eastAsia"/>
        </w:rPr>
        <w:t>】的协议；</w:t>
      </w:r>
    </w:p>
    <w:p>
      <w:pPr>
        <w:pStyle w:val="a11"/>
        <w:numPr>
          <w:ilvl w:val="1"/>
          <w:numId w:val="20"/>
        </w:numPr>
        <w:rPr>
          <w:rFonts w:cs="Times New Roman"/>
        </w:rPr>
      </w:pPr>
      <w:r>
        <w:t xml:space="preserve">TCP </w:t>
      </w:r>
      <w:r>
        <w:rPr>
          <w:rFonts w:hint="eastAsia"/>
        </w:rPr>
        <w:t>的头标识</w:t>
      </w:r>
      <w:r>
        <w:rPr>
          <w:rFonts w:hint="eastAsia"/>
          <w:b/>
          <w:bCs/>
        </w:rPr>
        <w:t>【选择：</w:t>
      </w:r>
      <w:r>
        <w:rPr>
          <w:b/>
          <w:bCs/>
        </w:rPr>
        <w:t>SYN</w:t>
      </w:r>
      <w:r>
        <w:rPr>
          <w:rFonts w:hint="eastAsia"/>
          <w:b/>
          <w:bCs/>
        </w:rPr>
        <w:t>、</w:t>
      </w:r>
      <w:r>
        <w:rPr>
          <w:b/>
          <w:bCs/>
        </w:rPr>
        <w:t>ACK</w:t>
      </w:r>
      <w:r>
        <w:rPr>
          <w:rFonts w:hint="eastAsia"/>
          <w:b/>
          <w:bCs/>
        </w:rPr>
        <w:t>、【赋值：其他标识】】</w:t>
      </w:r>
      <w:r>
        <w:rPr>
          <w:rFonts w:hint="eastAsia"/>
        </w:rPr>
        <w:t>；</w:t>
      </w:r>
    </w:p>
    <w:p>
      <w:pPr>
        <w:pStyle w:val="a11"/>
        <w:numPr>
          <w:ilvl w:val="1"/>
          <w:numId w:val="20"/>
        </w:numPr>
        <w:rPr>
          <w:rFonts w:cs="Times New Roman"/>
          <w:b/>
          <w:bCs/>
        </w:rPr>
      </w:pPr>
      <w:r>
        <w:rPr>
          <w:rFonts w:hint="eastAsia"/>
          <w:b/>
          <w:bCs/>
        </w:rPr>
        <w:t>【赋值：</w:t>
      </w:r>
      <w:r>
        <w:rPr>
          <w:b/>
          <w:bCs/>
        </w:rPr>
        <w:t>IP</w:t>
      </w:r>
      <w:r>
        <w:rPr>
          <w:rFonts w:hint="eastAsia"/>
          <w:b/>
          <w:bCs/>
        </w:rPr>
        <w:t>包的其他属性】。</w:t>
      </w:r>
    </w:p>
    <w:p>
      <w:pPr>
        <w:pStyle w:val="a16"/>
        <w:numPr>
          <w:ilvl w:val="0"/>
          <w:numId w:val="19"/>
        </w:numPr>
        <w:rPr>
          <w:rFonts w:cs="Times New Roman"/>
          <w:b/>
          <w:bCs/>
        </w:rPr>
      </w:pPr>
      <w:r>
        <w:rPr>
          <w:rFonts w:hint="eastAsia"/>
          <w:b/>
          <w:bCs/>
        </w:rPr>
        <w:t>【选择：</w:t>
      </w:r>
    </w:p>
    <w:p>
      <w:pPr>
        <w:pStyle w:val="a16"/>
        <w:numPr>
          <w:ilvl w:val="0"/>
          <w:numId w:val="0"/>
        </w:numPr>
        <w:ind w:left="839"/>
        <w:rPr>
          <w:rFonts w:cs="Times New Roman"/>
          <w:b/>
          <w:bCs/>
        </w:rPr>
      </w:pPr>
      <w:r>
        <w:rPr>
          <w:b/>
          <w:bCs/>
        </w:rPr>
        <w:t>IEEE 802</w:t>
      </w:r>
      <w:r>
        <w:rPr>
          <w:rFonts w:hint="eastAsia"/>
          <w:b/>
          <w:bCs/>
        </w:rPr>
        <w:t>信息的安全属性：</w:t>
      </w:r>
    </w:p>
    <w:p>
      <w:pPr>
        <w:pStyle w:val="a11"/>
        <w:numPr>
          <w:ilvl w:val="1"/>
          <w:numId w:val="20"/>
        </w:numPr>
        <w:rPr>
          <w:rFonts w:cs="Times New Roman"/>
          <w:b/>
          <w:bCs/>
        </w:rPr>
      </w:pPr>
      <w:r>
        <w:rPr>
          <w:b/>
          <w:bCs/>
        </w:rPr>
        <w:t>MAC</w:t>
      </w:r>
      <w:r>
        <w:rPr>
          <w:rFonts w:hint="eastAsia"/>
          <w:b/>
          <w:bCs/>
        </w:rPr>
        <w:t>地址；</w:t>
      </w:r>
    </w:p>
    <w:p>
      <w:pPr>
        <w:pStyle w:val="a11"/>
        <w:numPr>
          <w:ilvl w:val="1"/>
          <w:numId w:val="20"/>
        </w:numPr>
        <w:rPr>
          <w:rFonts w:cs="Times New Roman"/>
          <w:b/>
          <w:bCs/>
        </w:rPr>
      </w:pPr>
      <w:r>
        <w:rPr>
          <w:rFonts w:hint="eastAsia"/>
          <w:b/>
          <w:bCs/>
        </w:rPr>
        <w:t>【赋值：其他属性】。</w:t>
      </w:r>
    </w:p>
    <w:p>
      <w:pPr>
        <w:pStyle w:val="a11"/>
        <w:numPr>
          <w:ilvl w:val="0"/>
          <w:numId w:val="0"/>
        </w:numPr>
        <w:ind w:left="840"/>
        <w:rPr>
          <w:rFonts w:cs="Times New Roman"/>
          <w:b/>
          <w:bCs/>
        </w:rPr>
      </w:pPr>
      <w:r>
        <w:rPr>
          <w:rFonts w:hint="eastAsia"/>
          <w:b/>
          <w:bCs/>
        </w:rPr>
        <w:t>】</w:t>
      </w:r>
    </w:p>
    <w:p>
      <w:pPr>
        <w:pStyle w:val="a"/>
        <w:ind w:firstLine="31680"/>
        <w:rPr>
          <w:rFonts w:cs="Times New Roman"/>
        </w:rPr>
      </w:pPr>
      <w:r>
        <w:t xml:space="preserve">FDP_IFF.1.2 </w:t>
      </w:r>
      <w:r>
        <w:rPr>
          <w:rFonts w:hint="eastAsia"/>
        </w:rPr>
        <w:t>移动终端操作系统的安全功能应在下列规则下：</w:t>
      </w:r>
      <w:r>
        <w:rPr>
          <w:rFonts w:hint="eastAsia"/>
          <w:b/>
          <w:bCs/>
        </w:rPr>
        <w:t>【赋值：对每一个操作，应在主体和信息的安全属性间保持的基于安全属性的关系】</w:t>
      </w:r>
      <w:r>
        <w:rPr>
          <w:rFonts w:hint="eastAsia"/>
        </w:rPr>
        <w:t>，允许受控的网络信息通过受控操作经受控主体流动。</w:t>
      </w:r>
    </w:p>
    <w:p>
      <w:pPr>
        <w:pStyle w:val="a"/>
        <w:ind w:firstLine="31680"/>
        <w:rPr>
          <w:rFonts w:cs="Times New Roman"/>
        </w:rPr>
      </w:pPr>
      <w:r>
        <w:t xml:space="preserve">FDP_IFF.1.3 </w:t>
      </w:r>
      <w:r>
        <w:rPr>
          <w:rFonts w:hint="eastAsia"/>
        </w:rPr>
        <w:t>移动终端操作系统的安全功能应执行</w:t>
      </w:r>
      <w:r>
        <w:rPr>
          <w:rFonts w:hint="eastAsia"/>
          <w:b/>
          <w:bCs/>
        </w:rPr>
        <w:t>【赋值：附加的网络数据流</w:t>
      </w:r>
      <w:r>
        <w:rPr>
          <w:b/>
          <w:bCs/>
        </w:rPr>
        <w:t>SFP</w:t>
      </w:r>
      <w:r>
        <w:rPr>
          <w:rFonts w:hint="eastAsia"/>
          <w:b/>
          <w:bCs/>
        </w:rPr>
        <w:t>规则】</w:t>
      </w:r>
      <w:r>
        <w:rPr>
          <w:rFonts w:hint="eastAsia"/>
        </w:rPr>
        <w:t>。</w:t>
      </w:r>
    </w:p>
    <w:p>
      <w:pPr>
        <w:pStyle w:val="a"/>
        <w:ind w:firstLine="31680"/>
        <w:rPr>
          <w:rFonts w:cs="Times New Roman"/>
        </w:rPr>
      </w:pPr>
      <w:r>
        <w:t xml:space="preserve">FDP_IFF.1.4 </w:t>
      </w:r>
      <w:r>
        <w:rPr>
          <w:rFonts w:hint="eastAsia"/>
        </w:rPr>
        <w:t>移动终端操作系统的安全功能应依据规则</w:t>
      </w:r>
      <w:r>
        <w:rPr>
          <w:rFonts w:hint="eastAsia"/>
          <w:b/>
          <w:bCs/>
        </w:rPr>
        <w:t>【赋值：基于安全属性的明确准许网络数据流</w:t>
      </w:r>
      <w:r>
        <w:rPr>
          <w:b/>
          <w:bCs/>
        </w:rPr>
        <w:t>SFP</w:t>
      </w:r>
      <w:r>
        <w:rPr>
          <w:rFonts w:hint="eastAsia"/>
          <w:b/>
          <w:bCs/>
        </w:rPr>
        <w:t>的规则】</w:t>
      </w:r>
      <w:r>
        <w:rPr>
          <w:rFonts w:hint="eastAsia"/>
        </w:rPr>
        <w:t>明确准许</w:t>
      </w:r>
      <w:r>
        <w:t>-</w:t>
      </w:r>
      <w:r>
        <w:rPr>
          <w:rFonts w:hint="eastAsia"/>
        </w:rPr>
        <w:t>网络信息流。</w:t>
      </w:r>
    </w:p>
    <w:p>
      <w:pPr>
        <w:pStyle w:val="a"/>
        <w:ind w:firstLine="31680"/>
        <w:rPr>
          <w:rFonts w:cs="Times New Roman"/>
        </w:rPr>
      </w:pPr>
      <w:r>
        <w:t xml:space="preserve">FDP_IFF.1.5 </w:t>
      </w:r>
      <w:r>
        <w:rPr>
          <w:rFonts w:hint="eastAsia"/>
        </w:rPr>
        <w:t>移动终端操作系统的安全功能应依据规则</w:t>
      </w:r>
      <w:r>
        <w:rPr>
          <w:rFonts w:hint="eastAsia"/>
          <w:b/>
          <w:bCs/>
        </w:rPr>
        <w:t>【赋值：基于安全属性的明确拒绝网络数据流</w:t>
      </w:r>
      <w:r>
        <w:rPr>
          <w:b/>
          <w:bCs/>
        </w:rPr>
        <w:t>SFP</w:t>
      </w:r>
      <w:r>
        <w:rPr>
          <w:rFonts w:hint="eastAsia"/>
          <w:b/>
          <w:bCs/>
        </w:rPr>
        <w:t>的规则】</w:t>
      </w:r>
      <w:r>
        <w:rPr>
          <w:rFonts w:hint="eastAsia"/>
        </w:rPr>
        <w:t>明确拒绝网络信息流。</w:t>
      </w:r>
    </w:p>
    <w:p>
      <w:pPr>
        <w:pStyle w:val="a"/>
        <w:ind w:firstLine="31680"/>
        <w:rPr>
          <w:rFonts w:cs="Times New Roman"/>
        </w:rPr>
      </w:pPr>
    </w:p>
    <w:p>
      <w:pPr>
        <w:pStyle w:val="a"/>
        <w:ind w:firstLine="31680"/>
        <w:rPr>
          <w:rFonts w:cs="Times New Roman"/>
        </w:rPr>
      </w:pPr>
      <w:r>
        <w:rPr>
          <w:rFonts w:hint="eastAsia"/>
          <w:b/>
          <w:bCs/>
        </w:rPr>
        <w:t>应用注释</w:t>
      </w:r>
      <w:r>
        <w:rPr>
          <w:rFonts w:hint="eastAsia"/>
        </w:rPr>
        <w:t>：</w:t>
      </w:r>
      <w:r>
        <w:t xml:space="preserve">FDP_IFF.1.3 </w:t>
      </w:r>
      <w:r>
        <w:rPr>
          <w:rFonts w:hint="eastAsia"/>
        </w:rPr>
        <w:t>附加规则可以是基于</w:t>
      </w:r>
      <w:r>
        <w:t>TCP</w:t>
      </w:r>
      <w:r>
        <w:rPr>
          <w:rFonts w:hint="eastAsia"/>
        </w:rPr>
        <w:t>连接状态的匹配，基于时间的匹配，统计分析匹配，对符合条件的网络数据进行相应的操作处理。</w:t>
      </w:r>
    </w:p>
    <w:p>
      <w:pPr>
        <w:pStyle w:val="a4"/>
        <w:spacing w:before="156" w:after="156"/>
        <w:rPr>
          <w:rFonts w:cs="Times New Roman"/>
        </w:rPr>
      </w:pPr>
      <w:bookmarkStart w:id="245" w:name="_Toc320805092"/>
      <w:r>
        <w:rPr>
          <w:rFonts w:hint="eastAsia"/>
        </w:rPr>
        <w:t>子集信息流控制（</w:t>
      </w:r>
      <w:r>
        <w:t>MIC</w:t>
      </w:r>
      <w:r>
        <w:rPr>
          <w:rFonts w:hint="eastAsia"/>
        </w:rPr>
        <w:t>）（</w:t>
      </w:r>
      <w:r>
        <w:t>FDP_IFC.1</w:t>
      </w:r>
      <w:r>
        <w:rPr>
          <w:rFonts w:hint="eastAsia"/>
        </w:rPr>
        <w:t>）（</w:t>
      </w:r>
      <w:r>
        <w:t>MIC</w:t>
      </w:r>
      <w:r>
        <w:rPr>
          <w:rFonts w:hint="eastAsia"/>
        </w:rPr>
        <w:t>：管理信息流控制</w:t>
      </w:r>
      <w:r>
        <w:t>SFP</w:t>
      </w:r>
      <w:r>
        <w:rPr>
          <w:rFonts w:hint="eastAsia"/>
        </w:rPr>
        <w:t>）</w:t>
      </w:r>
      <w:bookmarkEnd w:id="245"/>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 xml:space="preserve">FDP_IFF.1 </w:t>
      </w:r>
      <w:r>
        <w:rPr>
          <w:rFonts w:hint="eastAsia"/>
        </w:rPr>
        <w:t>（</w:t>
      </w:r>
      <w:r>
        <w:t>MIC</w:t>
      </w:r>
      <w:r>
        <w:rPr>
          <w:rFonts w:hint="eastAsia"/>
        </w:rPr>
        <w:t>）简单安全属性。</w:t>
      </w:r>
    </w:p>
    <w:p>
      <w:pPr>
        <w:pStyle w:val="a"/>
        <w:ind w:firstLine="31680"/>
        <w:rPr>
          <w:rFonts w:cs="Times New Roman"/>
        </w:rPr>
      </w:pPr>
    </w:p>
    <w:p>
      <w:pPr>
        <w:pStyle w:val="a"/>
        <w:ind w:firstLine="31680"/>
        <w:rPr>
          <w:rFonts w:cs="Times New Roman"/>
        </w:rPr>
      </w:pPr>
      <w:r>
        <w:t xml:space="preserve">FDP_IFC.1.1 </w:t>
      </w:r>
      <w:r>
        <w:rPr>
          <w:rFonts w:hint="eastAsia"/>
        </w:rPr>
        <w:t>移动终端操作系统的安全功能应对下列主体和管理信息流及其操作实施管理信息流控制</w:t>
      </w:r>
      <w:r>
        <w:t>SFP</w:t>
      </w:r>
      <w:r>
        <w:rPr>
          <w:rFonts w:hint="eastAsia"/>
        </w:rPr>
        <w:t>：</w:t>
      </w:r>
    </w:p>
    <w:p>
      <w:pPr>
        <w:pStyle w:val="a16"/>
        <w:numPr>
          <w:ilvl w:val="0"/>
          <w:numId w:val="22"/>
        </w:numPr>
        <w:rPr>
          <w:rFonts w:cs="Times New Roman"/>
        </w:rPr>
      </w:pPr>
      <w:r>
        <w:rPr>
          <w:rFonts w:hint="eastAsia"/>
        </w:rPr>
        <w:t>主体：</w:t>
      </w:r>
    </w:p>
    <w:p>
      <w:pPr>
        <w:pStyle w:val="a11"/>
        <w:numPr>
          <w:ilvl w:val="1"/>
          <w:numId w:val="23"/>
        </w:numPr>
        <w:rPr>
          <w:rFonts w:cs="Times New Roman"/>
        </w:rPr>
        <w:sectPr>
          <w:headerReference w:type="default" r:id="rId33"/>
          <w:footerReference w:type="default" r:id="rId34"/>
          <w:type w:val="nextPage"/>
          <w:pgSz w:w="11906" w:h="16838"/>
          <w:pgMar w:top="567" w:right="1134" w:bottom="1134" w:left="1418" w:header="1418" w:footer="1134" w:gutter="0"/>
          <w:pgNumType w:start="12"/>
          <w:cols w:num="1" w:space="425"/>
          <w:formProt w:val="0"/>
          <w:titlePg w:val="0"/>
          <w:docGrid w:type="lines" w:linePitch="312" w:charSpace="0"/>
        </w:sectPr>
      </w:pPr>
      <w:r>
        <w:rPr>
          <w:rFonts w:hint="eastAsia"/>
        </w:rPr>
        <w:t>移动终端</w:t>
      </w:r>
      <w:r>
        <w:t>/</w:t>
      </w:r>
      <w:r>
        <w:rPr>
          <w:rFonts w:hint="eastAsia"/>
        </w:rPr>
        <w:t>设备管理客户端；</w:t>
      </w:r>
    </w:p>
    <w:p>
      <w:pPr>
        <w:pStyle w:val="a11"/>
        <w:numPr>
          <w:ilvl w:val="1"/>
          <w:numId w:val="23"/>
        </w:numPr>
        <w:rPr>
          <w:rFonts w:cs="Times New Roman"/>
        </w:rPr>
      </w:pPr>
      <w:r>
        <w:rPr>
          <w:rFonts w:hint="eastAsia"/>
        </w:rPr>
        <w:t>远程可信管理服务器；</w:t>
      </w:r>
    </w:p>
    <w:p>
      <w:pPr>
        <w:pStyle w:val="a11"/>
        <w:numPr>
          <w:ilvl w:val="1"/>
          <w:numId w:val="23"/>
        </w:numPr>
        <w:rPr>
          <w:rFonts w:cs="Times New Roman"/>
        </w:rPr>
      </w:pPr>
      <w:r>
        <w:rPr>
          <w:rFonts w:hint="eastAsia"/>
          <w:b/>
          <w:bCs/>
        </w:rPr>
        <w:t>【赋值：其他由</w:t>
      </w:r>
      <w:r>
        <w:rPr>
          <w:b/>
          <w:bCs/>
        </w:rPr>
        <w:t>TOE</w:t>
      </w:r>
      <w:r>
        <w:rPr>
          <w:rFonts w:hint="eastAsia"/>
          <w:b/>
          <w:bCs/>
        </w:rPr>
        <w:t>介导发送、接收管理信息的其他主体】</w:t>
      </w:r>
      <w:r>
        <w:rPr>
          <w:rFonts w:hint="eastAsia"/>
        </w:rPr>
        <w:t>。</w:t>
      </w:r>
    </w:p>
    <w:p>
      <w:pPr>
        <w:pStyle w:val="a16"/>
        <w:numPr>
          <w:ilvl w:val="0"/>
          <w:numId w:val="22"/>
        </w:numPr>
        <w:rPr>
          <w:rFonts w:cs="Times New Roman"/>
        </w:rPr>
      </w:pPr>
      <w:r>
        <w:rPr>
          <w:rFonts w:hint="eastAsia"/>
        </w:rPr>
        <w:t>信息：管理信息流</w:t>
      </w:r>
      <w:r>
        <w:t>(</w:t>
      </w:r>
      <w:r>
        <w:rPr>
          <w:rFonts w:hint="eastAsia"/>
        </w:rPr>
        <w:t>如管理策略、安全策略、安全配置数据</w:t>
      </w:r>
      <w:r>
        <w:t>)</w:t>
      </w:r>
      <w:r>
        <w:rPr>
          <w:rFonts w:hint="eastAsia"/>
        </w:rPr>
        <w:t>等</w:t>
      </w:r>
      <w:r>
        <w:t>TSF</w:t>
      </w:r>
      <w:r>
        <w:rPr>
          <w:rFonts w:hint="eastAsia"/>
        </w:rPr>
        <w:t>数据；</w:t>
      </w:r>
    </w:p>
    <w:p>
      <w:pPr>
        <w:pStyle w:val="a16"/>
        <w:numPr>
          <w:ilvl w:val="0"/>
          <w:numId w:val="22"/>
        </w:numPr>
        <w:rPr>
          <w:rFonts w:cs="Times New Roman"/>
        </w:rPr>
      </w:pPr>
      <w:r>
        <w:rPr>
          <w:rFonts w:hint="eastAsia"/>
        </w:rPr>
        <w:t>操作：导致管理信息流动的所有操作（如远程管理命令等）。</w:t>
      </w:r>
    </w:p>
    <w:p>
      <w:pPr>
        <w:pStyle w:val="a"/>
        <w:ind w:firstLine="31680"/>
        <w:rPr>
          <w:rFonts w:cs="Times New Roman"/>
        </w:rPr>
      </w:pPr>
    </w:p>
    <w:p>
      <w:pPr>
        <w:pStyle w:val="a"/>
        <w:ind w:firstLine="31680"/>
        <w:rPr>
          <w:rFonts w:cs="Times New Roman"/>
        </w:rPr>
      </w:pPr>
      <w:r>
        <w:rPr>
          <w:rFonts w:hint="eastAsia"/>
          <w:b/>
          <w:bCs/>
        </w:rPr>
        <w:t>应用注释</w:t>
      </w:r>
      <w:r>
        <w:rPr>
          <w:rFonts w:hint="eastAsia"/>
        </w:rPr>
        <w:t>：远程可信管理服务器可以是终端设备提供商、系统提供商或移动通信运营商。操作可能是执行某一管理命令，如恢复初始配置命令、防止用户隐私泄露的清除用户数据命令等。</w:t>
      </w:r>
    </w:p>
    <w:p>
      <w:pPr>
        <w:pStyle w:val="a4"/>
        <w:spacing w:before="156" w:after="156"/>
        <w:rPr>
          <w:rFonts w:cs="Times New Roman"/>
        </w:rPr>
      </w:pPr>
      <w:bookmarkStart w:id="246" w:name="_Toc320805093"/>
      <w:r>
        <w:rPr>
          <w:rFonts w:hint="eastAsia"/>
        </w:rPr>
        <w:t>简单安全属性（</w:t>
      </w:r>
      <w:r>
        <w:t>MIC</w:t>
      </w:r>
      <w:r>
        <w:rPr>
          <w:rFonts w:hint="eastAsia"/>
        </w:rPr>
        <w:t>）（</w:t>
      </w:r>
      <w:r>
        <w:t>FDP_IFF.1</w:t>
      </w:r>
      <w:r>
        <w:rPr>
          <w:rFonts w:hint="eastAsia"/>
        </w:rPr>
        <w:t>）（</w:t>
      </w:r>
      <w:r>
        <w:t>MIC</w:t>
      </w:r>
      <w:r>
        <w:rPr>
          <w:rFonts w:hint="eastAsia"/>
        </w:rPr>
        <w:t>：管理信息流控制</w:t>
      </w:r>
      <w:r>
        <w:t>SFP</w:t>
      </w:r>
      <w:r>
        <w:rPr>
          <w:rFonts w:hint="eastAsia"/>
        </w:rPr>
        <w:t>）</w:t>
      </w:r>
      <w:bookmarkEnd w:id="246"/>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 xml:space="preserve">FDP_IFC.1 </w:t>
      </w:r>
      <w:r>
        <w:rPr>
          <w:rFonts w:hint="eastAsia"/>
        </w:rPr>
        <w:t>（</w:t>
      </w:r>
      <w:r>
        <w:t>MIC</w:t>
      </w:r>
      <w:r>
        <w:rPr>
          <w:rFonts w:hint="eastAsia"/>
        </w:rPr>
        <w:t>）子集信息流控制；</w:t>
      </w:r>
    </w:p>
    <w:p>
      <w:pPr>
        <w:pStyle w:val="a"/>
        <w:ind w:firstLine="1260" w:firstLineChars="600"/>
        <w:rPr>
          <w:rFonts w:cs="Times New Roman"/>
        </w:rPr>
      </w:pPr>
      <w:r>
        <w:t xml:space="preserve">FMT_MSA.3 </w:t>
      </w:r>
      <w:r>
        <w:rPr>
          <w:rFonts w:hint="eastAsia"/>
        </w:rPr>
        <w:t>静态属性初始化。</w:t>
      </w:r>
    </w:p>
    <w:p>
      <w:pPr>
        <w:pStyle w:val="a"/>
        <w:ind w:firstLine="1260" w:firstLineChars="600"/>
        <w:rPr>
          <w:rFonts w:cs="Times New Roman"/>
        </w:rPr>
      </w:pPr>
    </w:p>
    <w:p>
      <w:pPr>
        <w:pStyle w:val="a"/>
        <w:ind w:firstLine="31680"/>
        <w:rPr>
          <w:rFonts w:cs="Times New Roman"/>
        </w:rPr>
      </w:pPr>
      <w:r>
        <w:t xml:space="preserve">FDP_IFF.1.1 </w:t>
      </w:r>
      <w:r>
        <w:rPr>
          <w:rFonts w:hint="eastAsia"/>
        </w:rPr>
        <w:t>移动终端操作系统的安全功能应基于下列主体和信息的类型及其安全属性，实施管理信息流</w:t>
      </w:r>
      <w:r>
        <w:t>SFP</w:t>
      </w:r>
      <w:r>
        <w:rPr>
          <w:rFonts w:hint="eastAsia"/>
        </w:rPr>
        <w:t>：</w:t>
      </w:r>
    </w:p>
    <w:p>
      <w:pPr>
        <w:pStyle w:val="a16"/>
        <w:numPr>
          <w:ilvl w:val="0"/>
          <w:numId w:val="24"/>
        </w:numPr>
        <w:rPr>
          <w:rFonts w:cs="Times New Roman"/>
        </w:rPr>
      </w:pPr>
      <w:r>
        <w:rPr>
          <w:rFonts w:hint="eastAsia"/>
        </w:rPr>
        <w:t>移动终端</w:t>
      </w:r>
      <w:r>
        <w:t>/</w:t>
      </w:r>
      <w:r>
        <w:rPr>
          <w:rFonts w:hint="eastAsia"/>
        </w:rPr>
        <w:t>设备管理客户端：</w:t>
      </w:r>
    </w:p>
    <w:p>
      <w:pPr>
        <w:pStyle w:val="a"/>
        <w:ind w:firstLine="31680"/>
        <w:rPr>
          <w:rFonts w:cs="Times New Roman"/>
          <w:b/>
          <w:bCs/>
        </w:rPr>
      </w:pPr>
      <w:r>
        <w:rPr>
          <w:rFonts w:hint="eastAsia"/>
          <w:b/>
          <w:bCs/>
        </w:rPr>
        <w:t>【选择：</w:t>
      </w:r>
    </w:p>
    <w:p>
      <w:pPr>
        <w:pStyle w:val="a11"/>
        <w:numPr>
          <w:ilvl w:val="1"/>
          <w:numId w:val="23"/>
        </w:numPr>
        <w:rPr>
          <w:rFonts w:cs="Times New Roman"/>
          <w:b/>
          <w:bCs/>
        </w:rPr>
      </w:pPr>
      <w:r>
        <w:rPr>
          <w:rFonts w:hint="eastAsia"/>
          <w:b/>
          <w:bCs/>
        </w:rPr>
        <w:t>根证书、远程可信管理服务器证书和移动终端私钥；</w:t>
      </w:r>
    </w:p>
    <w:p>
      <w:pPr>
        <w:pStyle w:val="a11"/>
        <w:numPr>
          <w:ilvl w:val="1"/>
          <w:numId w:val="23"/>
        </w:numPr>
        <w:rPr>
          <w:rFonts w:cs="Times New Roman"/>
          <w:b/>
          <w:bCs/>
        </w:rPr>
      </w:pPr>
      <w:r>
        <w:rPr>
          <w:rFonts w:hint="eastAsia"/>
          <w:b/>
          <w:bCs/>
        </w:rPr>
        <w:t>对远程可信管理服务器的鉴别数据；</w:t>
      </w:r>
    </w:p>
    <w:p>
      <w:pPr>
        <w:pStyle w:val="a11"/>
        <w:numPr>
          <w:ilvl w:val="1"/>
          <w:numId w:val="23"/>
        </w:numPr>
        <w:rPr>
          <w:rFonts w:cs="Times New Roman"/>
          <w:b/>
          <w:bCs/>
        </w:rPr>
      </w:pPr>
      <w:r>
        <w:rPr>
          <w:rFonts w:hint="eastAsia"/>
          <w:b/>
          <w:bCs/>
        </w:rPr>
        <w:t>赋值【其他安全属性】。</w:t>
      </w:r>
    </w:p>
    <w:p>
      <w:pPr>
        <w:pStyle w:val="a"/>
        <w:ind w:firstLine="31680"/>
        <w:rPr>
          <w:rFonts w:cs="Times New Roman"/>
        </w:rPr>
      </w:pPr>
      <w:r>
        <w:rPr>
          <w:rFonts w:hint="eastAsia"/>
          <w:b/>
          <w:bCs/>
        </w:rPr>
        <w:t>】</w:t>
      </w:r>
      <w:r>
        <w:rPr>
          <w:rFonts w:hint="eastAsia"/>
        </w:rPr>
        <w:t>；</w:t>
      </w:r>
    </w:p>
    <w:p>
      <w:pPr>
        <w:pStyle w:val="a16"/>
        <w:numPr>
          <w:ilvl w:val="0"/>
          <w:numId w:val="24"/>
        </w:numPr>
        <w:rPr>
          <w:rFonts w:cs="Times New Roman"/>
        </w:rPr>
      </w:pPr>
      <w:r>
        <w:rPr>
          <w:rFonts w:hint="eastAsia"/>
        </w:rPr>
        <w:t>远程可信管理服务器：</w:t>
      </w:r>
    </w:p>
    <w:p>
      <w:pPr>
        <w:pStyle w:val="a"/>
        <w:ind w:firstLine="31680"/>
        <w:rPr>
          <w:rFonts w:cs="Times New Roman"/>
          <w:b/>
          <w:bCs/>
        </w:rPr>
      </w:pPr>
      <w:r>
        <w:rPr>
          <w:rFonts w:hint="eastAsia"/>
          <w:b/>
          <w:bCs/>
        </w:rPr>
        <w:t>【选择：</w:t>
      </w:r>
    </w:p>
    <w:p>
      <w:pPr>
        <w:pStyle w:val="a11"/>
        <w:numPr>
          <w:ilvl w:val="1"/>
          <w:numId w:val="23"/>
        </w:numPr>
        <w:rPr>
          <w:rFonts w:cs="Times New Roman"/>
          <w:b/>
          <w:bCs/>
        </w:rPr>
      </w:pPr>
      <w:r>
        <w:rPr>
          <w:rFonts w:hint="eastAsia"/>
          <w:b/>
          <w:bCs/>
        </w:rPr>
        <w:t>根证书、移动终端证书和远程可信管理服务器私钥；</w:t>
      </w:r>
    </w:p>
    <w:p>
      <w:pPr>
        <w:pStyle w:val="a11"/>
        <w:numPr>
          <w:ilvl w:val="1"/>
          <w:numId w:val="23"/>
        </w:numPr>
        <w:rPr>
          <w:rFonts w:cs="Times New Roman"/>
          <w:b/>
          <w:bCs/>
        </w:rPr>
      </w:pPr>
      <w:r>
        <w:rPr>
          <w:rFonts w:hint="eastAsia"/>
          <w:b/>
          <w:bCs/>
        </w:rPr>
        <w:t>对移动终端的鉴别数据；</w:t>
      </w:r>
    </w:p>
    <w:p>
      <w:pPr>
        <w:pStyle w:val="a11"/>
        <w:numPr>
          <w:ilvl w:val="1"/>
          <w:numId w:val="23"/>
        </w:numPr>
        <w:rPr>
          <w:rFonts w:cs="Times New Roman"/>
          <w:b/>
          <w:bCs/>
        </w:rPr>
      </w:pPr>
      <w:r>
        <w:rPr>
          <w:rFonts w:hint="eastAsia"/>
          <w:b/>
          <w:bCs/>
        </w:rPr>
        <w:t>【赋值：其他安全属性】。</w:t>
      </w:r>
    </w:p>
    <w:p>
      <w:pPr>
        <w:pStyle w:val="a"/>
        <w:ind w:firstLine="31680"/>
        <w:rPr>
          <w:rFonts w:cs="Times New Roman"/>
        </w:rPr>
      </w:pPr>
      <w:r>
        <w:rPr>
          <w:rFonts w:hint="eastAsia"/>
          <w:b/>
          <w:bCs/>
        </w:rPr>
        <w:t>】</w:t>
      </w:r>
      <w:r>
        <w:rPr>
          <w:rFonts w:hint="eastAsia"/>
        </w:rPr>
        <w:t>。</w:t>
      </w:r>
    </w:p>
    <w:p>
      <w:pPr>
        <w:pStyle w:val="a"/>
        <w:ind w:firstLine="31680"/>
        <w:rPr>
          <w:rFonts w:cs="Times New Roman"/>
        </w:rPr>
      </w:pPr>
      <w:r>
        <w:t xml:space="preserve">FDP_IFF.1.2 </w:t>
      </w:r>
      <w:r>
        <w:rPr>
          <w:rFonts w:hint="eastAsia"/>
        </w:rPr>
        <w:t>移动终端操作系统的安全功能应依据如下规则：</w:t>
      </w:r>
    </w:p>
    <w:p>
      <w:pPr>
        <w:pStyle w:val="a16"/>
        <w:numPr>
          <w:ilvl w:val="0"/>
          <w:numId w:val="27"/>
        </w:numPr>
        <w:rPr>
          <w:rFonts w:cs="Times New Roman"/>
        </w:rPr>
      </w:pPr>
      <w:r>
        <w:rPr>
          <w:rFonts w:hint="eastAsia"/>
        </w:rPr>
        <w:t>移动终端和远程可信管理服务的双向鉴别；</w:t>
      </w:r>
    </w:p>
    <w:p>
      <w:pPr>
        <w:pStyle w:val="a16"/>
        <w:numPr>
          <w:ilvl w:val="0"/>
          <w:numId w:val="27"/>
        </w:numPr>
        <w:rPr>
          <w:rFonts w:cs="Times New Roman"/>
          <w:b/>
          <w:bCs/>
        </w:rPr>
      </w:pPr>
      <w:r>
        <w:rPr>
          <w:rFonts w:hint="eastAsia"/>
          <w:b/>
          <w:bCs/>
        </w:rPr>
        <w:t>【选择：</w:t>
      </w:r>
    </w:p>
    <w:p>
      <w:pPr>
        <w:pStyle w:val="a11"/>
        <w:numPr>
          <w:ilvl w:val="1"/>
          <w:numId w:val="23"/>
        </w:numPr>
        <w:rPr>
          <w:rFonts w:cs="Times New Roman"/>
          <w:b/>
          <w:bCs/>
        </w:rPr>
      </w:pPr>
      <w:r>
        <w:rPr>
          <w:rFonts w:hint="eastAsia"/>
          <w:b/>
          <w:bCs/>
        </w:rPr>
        <w:t>建立移动终端和远程可信管理服务间的</w:t>
      </w:r>
      <w:r>
        <w:rPr>
          <w:b/>
          <w:bCs/>
        </w:rPr>
        <w:t>IPSec</w:t>
      </w:r>
      <w:r>
        <w:rPr>
          <w:rFonts w:hint="eastAsia"/>
          <w:b/>
          <w:bCs/>
        </w:rPr>
        <w:t>连接；</w:t>
      </w:r>
    </w:p>
    <w:p>
      <w:pPr>
        <w:pStyle w:val="a11"/>
        <w:numPr>
          <w:ilvl w:val="1"/>
          <w:numId w:val="23"/>
        </w:numPr>
        <w:rPr>
          <w:rFonts w:cs="Times New Roman"/>
          <w:b/>
          <w:bCs/>
        </w:rPr>
      </w:pPr>
      <w:r>
        <w:rPr>
          <w:rFonts w:hint="eastAsia"/>
          <w:b/>
          <w:bCs/>
        </w:rPr>
        <w:t>建立移动终端和远程可信管理服务间的</w:t>
      </w:r>
      <w:r>
        <w:rPr>
          <w:b/>
          <w:bCs/>
        </w:rPr>
        <w:t>SSL/TLS</w:t>
      </w:r>
      <w:r>
        <w:rPr>
          <w:rFonts w:hint="eastAsia"/>
          <w:b/>
          <w:bCs/>
        </w:rPr>
        <w:t>会话；</w:t>
      </w:r>
    </w:p>
    <w:p>
      <w:pPr>
        <w:pStyle w:val="a11"/>
        <w:numPr>
          <w:ilvl w:val="1"/>
          <w:numId w:val="23"/>
        </w:numPr>
        <w:rPr>
          <w:rFonts w:cs="Times New Roman"/>
          <w:b/>
          <w:bCs/>
        </w:rPr>
      </w:pPr>
      <w:r>
        <w:rPr>
          <w:rFonts w:hint="eastAsia"/>
          <w:b/>
          <w:bCs/>
        </w:rPr>
        <w:t>【赋值：其他规则】。</w:t>
      </w:r>
    </w:p>
    <w:p>
      <w:pPr>
        <w:pStyle w:val="a16"/>
        <w:numPr>
          <w:ilvl w:val="0"/>
          <w:numId w:val="0"/>
        </w:numPr>
        <w:ind w:left="839"/>
        <w:rPr>
          <w:rFonts w:cs="Times New Roman"/>
        </w:rPr>
      </w:pPr>
      <w:r>
        <w:rPr>
          <w:rFonts w:hint="eastAsia"/>
          <w:b/>
          <w:bCs/>
        </w:rPr>
        <w:t>】</w:t>
      </w:r>
      <w:r>
        <w:rPr>
          <w:rFonts w:hint="eastAsia"/>
        </w:rPr>
        <w:t>。</w:t>
      </w:r>
    </w:p>
    <w:p>
      <w:pPr>
        <w:pStyle w:val="a"/>
        <w:ind w:firstLine="31680"/>
        <w:rPr>
          <w:rFonts w:cs="Times New Roman"/>
        </w:rPr>
      </w:pPr>
      <w:r>
        <w:rPr>
          <w:rFonts w:hint="eastAsia"/>
        </w:rPr>
        <w:t>允许受控管理信息从移动终端或远程可信管理服务器通过受控操作流动。</w:t>
      </w:r>
    </w:p>
    <w:p>
      <w:pPr>
        <w:pStyle w:val="a"/>
        <w:ind w:firstLine="31680"/>
      </w:pPr>
      <w:r>
        <w:t xml:space="preserve">FDP_IFF.1.3 </w:t>
      </w:r>
      <w:r>
        <w:rPr>
          <w:rFonts w:hint="eastAsia"/>
        </w:rPr>
        <w:t>移动终端操作系统的安全功能应执行下列规则</w:t>
      </w:r>
      <w:r>
        <w:rPr>
          <w:rFonts w:hint="eastAsia"/>
          <w:b/>
          <w:bCs/>
        </w:rPr>
        <w:t>【赋值：附加的管理信息流控制规则】</w:t>
      </w:r>
      <w:r>
        <w:rPr>
          <w:rFonts w:hint="eastAsia"/>
        </w:rPr>
        <w:t>。</w:t>
      </w:r>
      <w:r>
        <w:t xml:space="preserve"> </w:t>
      </w:r>
    </w:p>
    <w:p>
      <w:pPr>
        <w:pStyle w:val="a"/>
        <w:ind w:firstLine="31680"/>
        <w:rPr>
          <w:rFonts w:cs="Times New Roman"/>
        </w:rPr>
      </w:pPr>
      <w:r>
        <w:t xml:space="preserve">FDP_IFF.1.4 </w:t>
      </w:r>
      <w:r>
        <w:rPr>
          <w:rFonts w:hint="eastAsia"/>
        </w:rPr>
        <w:t>移动终端操作系统的安全功能应依据规则</w:t>
      </w:r>
      <w:r>
        <w:rPr>
          <w:rFonts w:hint="eastAsia"/>
          <w:b/>
          <w:bCs/>
        </w:rPr>
        <w:t>【赋值：基于安全属性的明确准许管理信息流的规则】</w:t>
      </w:r>
      <w:r>
        <w:rPr>
          <w:rFonts w:hint="eastAsia"/>
        </w:rPr>
        <w:t>明确准许管理信息流动。</w:t>
      </w:r>
    </w:p>
    <w:p>
      <w:pPr>
        <w:pStyle w:val="a"/>
        <w:ind w:firstLine="31680"/>
        <w:rPr>
          <w:rFonts w:cs="Times New Roman"/>
        </w:rPr>
      </w:pPr>
      <w:r>
        <w:t>FDP_IFF.1.5</w:t>
      </w:r>
      <w:r>
        <w:rPr>
          <w:rFonts w:hint="eastAsia"/>
        </w:rPr>
        <w:t>移动终端操作系统的安全功能应依据规则</w:t>
      </w:r>
      <w:r>
        <w:rPr>
          <w:rFonts w:hint="eastAsia"/>
          <w:b/>
          <w:bCs/>
        </w:rPr>
        <w:t>【赋值：基于安全属性的明确拒绝管理信息流的规则】</w:t>
      </w:r>
      <w:r>
        <w:rPr>
          <w:rFonts w:hint="eastAsia"/>
        </w:rPr>
        <w:t>明确拒绝管理信息流动。</w:t>
      </w:r>
    </w:p>
    <w:p>
      <w:pPr>
        <w:pStyle w:val="a4"/>
        <w:spacing w:before="156" w:after="156"/>
        <w:rPr>
          <w:rFonts w:cs="Times New Roman"/>
        </w:rPr>
        <w:sectPr>
          <w:headerReference w:type="default" r:id="rId35"/>
          <w:footerReference w:type="default" r:id="rId36"/>
          <w:type w:val="nextPage"/>
          <w:pgSz w:w="11906" w:h="16838"/>
          <w:pgMar w:top="567" w:right="1134" w:bottom="1134" w:left="1418" w:header="1418" w:footer="1134" w:gutter="0"/>
          <w:pgNumType w:start="13"/>
          <w:cols w:num="1" w:space="425"/>
          <w:formProt w:val="0"/>
          <w:titlePg w:val="0"/>
          <w:docGrid w:type="lines" w:linePitch="312" w:charSpace="0"/>
        </w:sectPr>
      </w:pPr>
      <w:bookmarkStart w:id="247" w:name="_Toc320805094"/>
      <w:r>
        <w:rPr>
          <w:rFonts w:hint="eastAsia"/>
        </w:rPr>
        <w:t>不带安全属性的用户数据输入（</w:t>
      </w:r>
      <w:r>
        <w:t>AP</w:t>
      </w:r>
      <w:r>
        <w:rPr>
          <w:rFonts w:hint="eastAsia"/>
        </w:rPr>
        <w:t>）（</w:t>
      </w:r>
      <w:r>
        <w:t>FDP_ITC.1</w:t>
      </w:r>
      <w:r>
        <w:rPr>
          <w:rFonts w:hint="eastAsia"/>
        </w:rPr>
        <w:t>）（</w:t>
      </w:r>
      <w:r>
        <w:t>AP</w:t>
      </w:r>
      <w:r>
        <w:rPr>
          <w:rFonts w:hint="eastAsia"/>
        </w:rPr>
        <w:t>：应用软件）</w:t>
      </w:r>
      <w:bookmarkEnd w:id="247"/>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 xml:space="preserve">FDP_ACC.1 </w:t>
      </w:r>
      <w:r>
        <w:rPr>
          <w:rFonts w:hint="eastAsia"/>
        </w:rPr>
        <w:t>子集访问控制；</w:t>
      </w:r>
    </w:p>
    <w:p>
      <w:pPr>
        <w:pStyle w:val="a"/>
        <w:ind w:firstLine="1260" w:firstLineChars="600"/>
        <w:rPr>
          <w:rFonts w:cs="Times New Roman"/>
        </w:rPr>
      </w:pPr>
      <w:r>
        <w:t xml:space="preserve">FMT_MSA.3 </w:t>
      </w:r>
      <w:r>
        <w:rPr>
          <w:rFonts w:hint="eastAsia"/>
        </w:rPr>
        <w:t>静态属性初始化。</w:t>
      </w:r>
    </w:p>
    <w:p>
      <w:pPr>
        <w:pStyle w:val="a"/>
        <w:ind w:firstLine="1260" w:firstLineChars="600"/>
        <w:rPr>
          <w:rFonts w:cs="Times New Roman"/>
        </w:rPr>
      </w:pPr>
    </w:p>
    <w:p>
      <w:pPr>
        <w:pStyle w:val="a"/>
        <w:ind w:firstLine="31680"/>
        <w:rPr>
          <w:rFonts w:cs="Times New Roman"/>
        </w:rPr>
      </w:pPr>
      <w:r>
        <w:t xml:space="preserve">FDP_ITC.1.1 </w:t>
      </w:r>
      <w:r>
        <w:rPr>
          <w:rFonts w:hint="eastAsia"/>
        </w:rPr>
        <w:t>在应用软件限制</w:t>
      </w:r>
      <w:r>
        <w:t>SFP</w:t>
      </w:r>
      <w:r>
        <w:rPr>
          <w:rFonts w:hint="eastAsia"/>
        </w:rPr>
        <w:t>覆盖下的应用软件安装和可执行文件由</w:t>
      </w:r>
      <w:r>
        <w:t>TOE</w:t>
      </w:r>
      <w:r>
        <w:rPr>
          <w:rFonts w:hint="eastAsia"/>
        </w:rPr>
        <w:t>外输入时，移动终端操作系统的安全功能应实施应用软件限制</w:t>
      </w:r>
      <w:r>
        <w:t>SFP</w:t>
      </w:r>
      <w:r>
        <w:rPr>
          <w:rFonts w:hint="eastAsia"/>
        </w:rPr>
        <w:t>。</w:t>
      </w:r>
    </w:p>
    <w:p>
      <w:pPr>
        <w:pStyle w:val="a"/>
        <w:ind w:firstLine="31680"/>
        <w:rPr>
          <w:rFonts w:cs="Times New Roman"/>
        </w:rPr>
      </w:pPr>
      <w:r>
        <w:t xml:space="preserve">FDP_ITC.1.2 </w:t>
      </w:r>
      <w:r>
        <w:rPr>
          <w:rFonts w:hint="eastAsia"/>
        </w:rPr>
        <w:t>当从</w:t>
      </w:r>
      <w:r>
        <w:t>TOE</w:t>
      </w:r>
      <w:r>
        <w:rPr>
          <w:rFonts w:hint="eastAsia"/>
        </w:rPr>
        <w:t>外输入非可信应用软件安装和可执行文件时，移动终端操作系统的安全功能应忽略任何与应用软件安装和可执行文件相关的安全属性。</w:t>
      </w:r>
    </w:p>
    <w:p>
      <w:pPr>
        <w:pStyle w:val="a"/>
        <w:ind w:firstLine="31680"/>
        <w:rPr>
          <w:rFonts w:cs="Times New Roman"/>
        </w:rPr>
      </w:pPr>
      <w:r>
        <w:t xml:space="preserve">FDP_ITC.1.3 </w:t>
      </w:r>
      <w:r>
        <w:rPr>
          <w:rFonts w:hint="eastAsia"/>
        </w:rPr>
        <w:t>当从</w:t>
      </w:r>
      <w:r>
        <w:t>TOE</w:t>
      </w:r>
      <w:r>
        <w:rPr>
          <w:rFonts w:hint="eastAsia"/>
        </w:rPr>
        <w:t>外输入应用软件限制</w:t>
      </w:r>
      <w:r>
        <w:t>SFP</w:t>
      </w:r>
      <w:r>
        <w:rPr>
          <w:rFonts w:hint="eastAsia"/>
        </w:rPr>
        <w:t>覆盖下的应用软件安装和可执行文件时，移动终端操作系统的安全功能应执行如下规则：</w:t>
      </w:r>
      <w:r>
        <w:rPr>
          <w:rFonts w:hint="eastAsia"/>
          <w:b/>
          <w:bCs/>
        </w:rPr>
        <w:t>【赋值：附加的输入控制规则】</w:t>
      </w:r>
      <w:r>
        <w:rPr>
          <w:rFonts w:hint="eastAsia"/>
        </w:rPr>
        <w:t>。</w:t>
      </w:r>
    </w:p>
    <w:p>
      <w:pPr>
        <w:pStyle w:val="a4"/>
        <w:spacing w:before="156" w:after="156"/>
        <w:rPr>
          <w:rFonts w:cs="Times New Roman"/>
        </w:rPr>
      </w:pPr>
      <w:bookmarkStart w:id="248" w:name="_Toc320805095"/>
      <w:r>
        <w:rPr>
          <w:rFonts w:hint="eastAsia"/>
        </w:rPr>
        <w:t>带安全属性的用户数据输入（</w:t>
      </w:r>
      <w:r>
        <w:t>AP</w:t>
      </w:r>
      <w:r>
        <w:rPr>
          <w:rFonts w:hint="eastAsia"/>
        </w:rPr>
        <w:t>）（</w:t>
      </w:r>
      <w:r>
        <w:t>FDP_ITC.2</w:t>
      </w:r>
      <w:r>
        <w:rPr>
          <w:rFonts w:hint="eastAsia"/>
        </w:rPr>
        <w:t>）（</w:t>
      </w:r>
      <w:r>
        <w:t>AP</w:t>
      </w:r>
      <w:r>
        <w:rPr>
          <w:rFonts w:hint="eastAsia"/>
        </w:rPr>
        <w:t>：应用软件）</w:t>
      </w:r>
      <w:bookmarkEnd w:id="248"/>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 xml:space="preserve">FDP_ACC.1 </w:t>
      </w:r>
      <w:r>
        <w:rPr>
          <w:rFonts w:hint="eastAsia"/>
        </w:rPr>
        <w:t>（</w:t>
      </w:r>
      <w:r>
        <w:t>AP</w:t>
      </w:r>
      <w:r>
        <w:rPr>
          <w:rFonts w:hint="eastAsia"/>
        </w:rPr>
        <w:t>）子集访问控制和</w:t>
      </w:r>
      <w:r>
        <w:t>/</w:t>
      </w:r>
      <w:r>
        <w:rPr>
          <w:rFonts w:hint="eastAsia"/>
        </w:rPr>
        <w:t>或</w:t>
      </w:r>
      <w:r>
        <w:t xml:space="preserve">FDP_IFC.1 </w:t>
      </w:r>
      <w:r>
        <w:rPr>
          <w:rFonts w:hint="eastAsia"/>
        </w:rPr>
        <w:t>（</w:t>
      </w:r>
      <w:r>
        <w:t>NIC</w:t>
      </w:r>
      <w:r>
        <w:rPr>
          <w:rFonts w:hint="eastAsia"/>
        </w:rPr>
        <w:t>）子集信息流控制；</w:t>
      </w:r>
    </w:p>
    <w:p>
      <w:pPr>
        <w:pStyle w:val="a"/>
        <w:ind w:firstLine="1260" w:firstLineChars="600"/>
        <w:rPr>
          <w:rFonts w:cs="Times New Roman"/>
        </w:rPr>
      </w:pPr>
      <w:r>
        <w:t>FTP_ITC.1 TSF</w:t>
      </w:r>
      <w:r>
        <w:rPr>
          <w:rFonts w:hint="eastAsia"/>
        </w:rPr>
        <w:t>间可信信道或</w:t>
      </w:r>
      <w:r>
        <w:t xml:space="preserve"> FTP_TRP.1 </w:t>
      </w:r>
      <w:r>
        <w:rPr>
          <w:rFonts w:hint="eastAsia"/>
        </w:rPr>
        <w:t>可信路径；</w:t>
      </w:r>
    </w:p>
    <w:p>
      <w:pPr>
        <w:pStyle w:val="a"/>
        <w:ind w:firstLine="1260" w:firstLineChars="600"/>
        <w:rPr>
          <w:rFonts w:cs="Times New Roman"/>
        </w:rPr>
      </w:pPr>
      <w:r>
        <w:t>FPT_TDC.1 TSF</w:t>
      </w:r>
      <w:r>
        <w:rPr>
          <w:rFonts w:hint="eastAsia"/>
        </w:rPr>
        <w:t>间基本</w:t>
      </w:r>
      <w:r>
        <w:t>TSF</w:t>
      </w:r>
      <w:r>
        <w:rPr>
          <w:rFonts w:hint="eastAsia"/>
        </w:rPr>
        <w:t>数据一致性。</w:t>
      </w:r>
    </w:p>
    <w:p>
      <w:pPr>
        <w:pStyle w:val="a"/>
        <w:ind w:firstLine="1260" w:firstLineChars="600"/>
        <w:rPr>
          <w:rFonts w:cs="Times New Roman"/>
        </w:rPr>
      </w:pPr>
    </w:p>
    <w:p>
      <w:pPr>
        <w:pStyle w:val="a"/>
        <w:ind w:firstLine="31680"/>
        <w:rPr>
          <w:rFonts w:cs="Times New Roman"/>
        </w:rPr>
      </w:pPr>
      <w:r>
        <w:t xml:space="preserve">FDP_ITC.2.1 </w:t>
      </w:r>
      <w:r>
        <w:rPr>
          <w:rFonts w:hint="eastAsia"/>
        </w:rPr>
        <w:t>在应用软件限制</w:t>
      </w:r>
      <w:r>
        <w:t>SFP</w:t>
      </w:r>
      <w:r>
        <w:rPr>
          <w:rFonts w:hint="eastAsia"/>
        </w:rPr>
        <w:t>覆盖下的应用软件安装和可执行文件从</w:t>
      </w:r>
      <w:r>
        <w:t>TOE</w:t>
      </w:r>
      <w:r>
        <w:rPr>
          <w:rFonts w:hint="eastAsia"/>
        </w:rPr>
        <w:t>之外输入时，移动终端操作系统的安全功能应实施应用软件限制</w:t>
      </w:r>
      <w:r>
        <w:t>SFP</w:t>
      </w:r>
      <w:r>
        <w:rPr>
          <w:rFonts w:hint="eastAsia"/>
        </w:rPr>
        <w:t>和</w:t>
      </w:r>
      <w:r>
        <w:t>/</w:t>
      </w:r>
      <w:r>
        <w:rPr>
          <w:rFonts w:hint="eastAsia"/>
        </w:rPr>
        <w:t>或网络信息流控制</w:t>
      </w:r>
      <w:r>
        <w:t>SFP</w:t>
      </w:r>
      <w:r>
        <w:rPr>
          <w:rFonts w:hint="eastAsia"/>
        </w:rPr>
        <w:t>。</w:t>
      </w:r>
    </w:p>
    <w:p>
      <w:pPr>
        <w:pStyle w:val="a"/>
        <w:ind w:firstLine="31680"/>
        <w:rPr>
          <w:rFonts w:cs="Times New Roman"/>
        </w:rPr>
      </w:pPr>
      <w:r>
        <w:t xml:space="preserve">FDP_ITC.2.2 </w:t>
      </w:r>
      <w:r>
        <w:rPr>
          <w:rFonts w:hint="eastAsia"/>
        </w:rPr>
        <w:t>移动终端操作系统的安全功能应使用与输入的应用软件安装和可执行文件关联的安全属性。</w:t>
      </w:r>
    </w:p>
    <w:p>
      <w:pPr>
        <w:pStyle w:val="a"/>
        <w:ind w:firstLine="31680"/>
        <w:rPr>
          <w:rFonts w:cs="Times New Roman"/>
        </w:rPr>
      </w:pPr>
      <w:r>
        <w:t xml:space="preserve">FDP_ITC.2.3 </w:t>
      </w:r>
      <w:r>
        <w:rPr>
          <w:rFonts w:hint="eastAsia"/>
        </w:rPr>
        <w:t>移动终端操作系统的安全功能应保证使用的协议提供了输入的应用软件安装和可执行文件与其安全属性的确定关联。</w:t>
      </w:r>
    </w:p>
    <w:p>
      <w:pPr>
        <w:pStyle w:val="a"/>
        <w:ind w:firstLine="31680"/>
        <w:rPr>
          <w:rFonts w:cs="Times New Roman"/>
        </w:rPr>
      </w:pPr>
      <w:r>
        <w:t xml:space="preserve">FDP_ITC.2.4 </w:t>
      </w:r>
      <w:r>
        <w:rPr>
          <w:rFonts w:hint="eastAsia"/>
        </w:rPr>
        <w:t>移动终端操作系统的安全功能应保证对输入的应用软件安装和可执行文件安全属性的解释与来源的意图相同。</w:t>
      </w:r>
    </w:p>
    <w:p>
      <w:pPr>
        <w:pStyle w:val="a"/>
        <w:ind w:firstLine="31680"/>
        <w:rPr>
          <w:rFonts w:cs="Times New Roman"/>
        </w:rPr>
      </w:pPr>
      <w:r>
        <w:t xml:space="preserve">FDP_ITC.2.5 </w:t>
      </w:r>
      <w:r>
        <w:rPr>
          <w:rFonts w:hint="eastAsia"/>
        </w:rPr>
        <w:t>在安全功能策略覆盖下的应用软件安装和可执行文件从</w:t>
      </w:r>
      <w:r>
        <w:t>TOE</w:t>
      </w:r>
      <w:r>
        <w:rPr>
          <w:rFonts w:hint="eastAsia"/>
        </w:rPr>
        <w:t>之外输入时，移动终端操作系统的安全功能应实施下列规则对应用软件安装和可执行文件进行安装或储存：</w:t>
      </w:r>
      <w:r>
        <w:rPr>
          <w:rFonts w:hint="eastAsia"/>
          <w:b/>
          <w:bCs/>
        </w:rPr>
        <w:t>【赋值：附加的输入控制规则】</w:t>
      </w:r>
      <w:r>
        <w:rPr>
          <w:rFonts w:hint="eastAsia"/>
        </w:rPr>
        <w:t>。</w:t>
      </w:r>
    </w:p>
    <w:p>
      <w:pPr>
        <w:pStyle w:val="a4"/>
        <w:spacing w:before="156" w:after="156"/>
        <w:rPr>
          <w:rFonts w:cs="Times New Roman"/>
        </w:rPr>
      </w:pPr>
      <w:bookmarkStart w:id="249" w:name="_Toc320805096"/>
      <w:r>
        <w:rPr>
          <w:rFonts w:hint="eastAsia"/>
        </w:rPr>
        <w:t>不带安全属性的用户数据输入（</w:t>
      </w:r>
      <w:r>
        <w:t>UD</w:t>
      </w:r>
      <w:r>
        <w:rPr>
          <w:rFonts w:hint="eastAsia"/>
        </w:rPr>
        <w:t>）（</w:t>
      </w:r>
      <w:r>
        <w:t>FDP_ITC.1</w:t>
      </w:r>
      <w:r>
        <w:rPr>
          <w:rFonts w:hint="eastAsia"/>
        </w:rPr>
        <w:t>）（</w:t>
      </w:r>
      <w:r>
        <w:t>UD</w:t>
      </w:r>
      <w:r>
        <w:rPr>
          <w:rFonts w:hint="eastAsia"/>
        </w:rPr>
        <w:t>：用户数据）</w:t>
      </w:r>
      <w:bookmarkEnd w:id="249"/>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 xml:space="preserve">FDP_ACC.1 </w:t>
      </w:r>
      <w:r>
        <w:rPr>
          <w:rFonts w:hint="eastAsia"/>
        </w:rPr>
        <w:t>（</w:t>
      </w:r>
      <w:r>
        <w:t>DA</w:t>
      </w:r>
      <w:r>
        <w:rPr>
          <w:rFonts w:hint="eastAsia"/>
        </w:rPr>
        <w:t>）子集访问控制</w:t>
      </w:r>
      <w:r>
        <w:t xml:space="preserve"> /</w:t>
      </w:r>
      <w:r>
        <w:rPr>
          <w:rFonts w:hint="eastAsia"/>
        </w:rPr>
        <w:t>或</w:t>
      </w:r>
      <w:r>
        <w:t>FDP_IFC.1 (NIC)</w:t>
      </w:r>
      <w:r>
        <w:rPr>
          <w:rFonts w:hint="eastAsia"/>
        </w:rPr>
        <w:t>子集信息流控制；</w:t>
      </w:r>
    </w:p>
    <w:p>
      <w:pPr>
        <w:pStyle w:val="a"/>
        <w:ind w:firstLine="1260" w:firstLineChars="600"/>
        <w:rPr>
          <w:rFonts w:cs="Times New Roman"/>
        </w:rPr>
      </w:pPr>
      <w:r>
        <w:t xml:space="preserve">FMT_MSA.3 </w:t>
      </w:r>
      <w:r>
        <w:rPr>
          <w:rFonts w:hint="eastAsia"/>
        </w:rPr>
        <w:t>静态属性初始化。</w:t>
      </w:r>
    </w:p>
    <w:p>
      <w:pPr>
        <w:pStyle w:val="a"/>
        <w:ind w:firstLine="1260" w:firstLineChars="600"/>
        <w:rPr>
          <w:rFonts w:cs="Times New Roman"/>
        </w:rPr>
      </w:pPr>
    </w:p>
    <w:p>
      <w:pPr>
        <w:pStyle w:val="a"/>
        <w:ind w:firstLine="31680"/>
        <w:rPr>
          <w:rFonts w:cs="Times New Roman"/>
        </w:rPr>
      </w:pPr>
      <w:r>
        <w:t xml:space="preserve">FDP_ITC.1.1 </w:t>
      </w:r>
      <w:r>
        <w:rPr>
          <w:rFonts w:hint="eastAsia"/>
        </w:rPr>
        <w:t>在安全功能策略覆盖下的用户数据由</w:t>
      </w:r>
      <w:r>
        <w:t>TOE</w:t>
      </w:r>
      <w:r>
        <w:rPr>
          <w:rFonts w:hint="eastAsia"/>
        </w:rPr>
        <w:t>外输入时，移动终端操作系统的安全功能应实施设备访问控制</w:t>
      </w:r>
      <w:r>
        <w:t>SFP</w:t>
      </w:r>
      <w:r>
        <w:rPr>
          <w:rFonts w:hint="eastAsia"/>
        </w:rPr>
        <w:t>和</w:t>
      </w:r>
      <w:r>
        <w:t>/</w:t>
      </w:r>
      <w:r>
        <w:rPr>
          <w:rFonts w:hint="eastAsia"/>
        </w:rPr>
        <w:t>或网络信息流控制</w:t>
      </w:r>
      <w:r>
        <w:t>SFP</w:t>
      </w:r>
      <w:r>
        <w:rPr>
          <w:rFonts w:hint="eastAsia"/>
        </w:rPr>
        <w:t>。</w:t>
      </w:r>
    </w:p>
    <w:p>
      <w:pPr>
        <w:pStyle w:val="a"/>
        <w:ind w:firstLine="31680"/>
        <w:rPr>
          <w:rFonts w:cs="Times New Roman"/>
        </w:rPr>
      </w:pPr>
      <w:r>
        <w:t xml:space="preserve">FDP_ITC.1.2 </w:t>
      </w:r>
      <w:r>
        <w:rPr>
          <w:rFonts w:hint="eastAsia"/>
        </w:rPr>
        <w:t>当从</w:t>
      </w:r>
      <w:r>
        <w:t>TOE</w:t>
      </w:r>
      <w:r>
        <w:rPr>
          <w:rFonts w:hint="eastAsia"/>
        </w:rPr>
        <w:t>外输入用户数据时，移动终端操作系统的安全功能应忽略任何用户数据相关的安全属性。</w:t>
      </w:r>
    </w:p>
    <w:p>
      <w:pPr>
        <w:pStyle w:val="a"/>
        <w:ind w:firstLine="31680"/>
        <w:rPr>
          <w:rFonts w:cs="Times New Roman"/>
        </w:rPr>
      </w:pPr>
      <w:r>
        <w:t xml:space="preserve">FDP_ITC.1.3 </w:t>
      </w:r>
      <w:r>
        <w:rPr>
          <w:rFonts w:hint="eastAsia"/>
        </w:rPr>
        <w:t>当从</w:t>
      </w:r>
      <w:r>
        <w:t>TOE</w:t>
      </w:r>
      <w:r>
        <w:rPr>
          <w:rFonts w:hint="eastAsia"/>
        </w:rPr>
        <w:t>外输入设备访问控制</w:t>
      </w:r>
      <w:r>
        <w:t>SFP</w:t>
      </w:r>
      <w:r>
        <w:rPr>
          <w:rFonts w:hint="eastAsia"/>
        </w:rPr>
        <w:t>和</w:t>
      </w:r>
      <w:r>
        <w:t>/</w:t>
      </w:r>
      <w:r>
        <w:rPr>
          <w:rFonts w:hint="eastAsia"/>
        </w:rPr>
        <w:t>或网络信息流控制</w:t>
      </w:r>
      <w:r>
        <w:t>SFP</w:t>
      </w:r>
      <w:r>
        <w:rPr>
          <w:rFonts w:hint="eastAsia"/>
        </w:rPr>
        <w:t>覆盖下的用户数据时，移动终端操作系统的安全功能应执行如下规则：</w:t>
      </w:r>
      <w:r>
        <w:rPr>
          <w:rFonts w:hint="eastAsia"/>
          <w:b/>
          <w:bCs/>
        </w:rPr>
        <w:t>【赋值：附加的输入控制规则】。</w:t>
      </w:r>
    </w:p>
    <w:p>
      <w:pPr>
        <w:pStyle w:val="a4"/>
        <w:spacing w:before="156" w:after="156"/>
        <w:rPr>
          <w:rFonts w:cs="Times New Roman"/>
        </w:rPr>
      </w:pPr>
      <w:bookmarkStart w:id="250" w:name="_Toc320805097"/>
      <w:r>
        <w:rPr>
          <w:rFonts w:hint="eastAsia"/>
        </w:rPr>
        <w:t>带安全属性的用户数据输入（</w:t>
      </w:r>
      <w:r>
        <w:t>FDP_ITC.2</w:t>
      </w:r>
      <w:r>
        <w:rPr>
          <w:rFonts w:hint="eastAsia"/>
        </w:rPr>
        <w:t>）</w:t>
      </w:r>
      <w:bookmarkEnd w:id="250"/>
    </w:p>
    <w:p>
      <w:pPr>
        <w:pStyle w:val="a"/>
        <w:ind w:firstLine="31680"/>
        <w:rPr>
          <w:rFonts w:cs="Times New Roman"/>
        </w:rPr>
        <w:sectPr>
          <w:headerReference w:type="default" r:id="rId37"/>
          <w:footerReference w:type="default" r:id="rId38"/>
          <w:type w:val="nextPage"/>
          <w:pgSz w:w="11906" w:h="16838"/>
          <w:pgMar w:top="567" w:right="1134" w:bottom="1134" w:left="1418" w:header="1418" w:footer="1134" w:gutter="0"/>
          <w:pgNumType w:start="14"/>
          <w:cols w:num="1" w:space="425"/>
          <w:formProt w:val="0"/>
          <w:titlePg w:val="0"/>
          <w:docGrid w:type="lines" w:linePitch="312" w:charSpace="0"/>
        </w:sectPr>
      </w:pPr>
      <w:r>
        <w:rPr>
          <w:rFonts w:hint="eastAsia"/>
        </w:rPr>
        <w:t>从属于：无。</w:t>
      </w:r>
    </w:p>
    <w:p>
      <w:pPr>
        <w:pStyle w:val="a"/>
        <w:ind w:firstLine="31680"/>
        <w:rPr>
          <w:rFonts w:cs="Times New Roman"/>
        </w:rPr>
      </w:pPr>
      <w:r>
        <w:rPr>
          <w:rFonts w:hint="eastAsia"/>
        </w:rPr>
        <w:t>依赖于：</w:t>
      </w:r>
      <w:r>
        <w:t>FDP_ACC.1</w:t>
      </w:r>
      <w:r>
        <w:rPr>
          <w:rFonts w:hint="eastAsia"/>
        </w:rPr>
        <w:t>（</w:t>
      </w:r>
      <w:r>
        <w:t>DA</w:t>
      </w:r>
      <w:r>
        <w:rPr>
          <w:rFonts w:hint="eastAsia"/>
        </w:rPr>
        <w:t>）</w:t>
      </w:r>
      <w:r>
        <w:t xml:space="preserve"> </w:t>
      </w:r>
      <w:r>
        <w:rPr>
          <w:rFonts w:hint="eastAsia"/>
        </w:rPr>
        <w:t>子集访问控制和</w:t>
      </w:r>
      <w:r>
        <w:t>/</w:t>
      </w:r>
      <w:r>
        <w:rPr>
          <w:rFonts w:hint="eastAsia"/>
        </w:rPr>
        <w:t>或</w:t>
      </w:r>
      <w:r>
        <w:t>FDP_IFC.1 (NIC)</w:t>
      </w:r>
      <w:r>
        <w:rPr>
          <w:rFonts w:hint="eastAsia"/>
        </w:rPr>
        <w:t>子集信息流控制和</w:t>
      </w:r>
      <w:r>
        <w:t>/</w:t>
      </w:r>
      <w:r>
        <w:rPr>
          <w:rFonts w:hint="eastAsia"/>
        </w:rPr>
        <w:t>或</w:t>
      </w:r>
    </w:p>
    <w:p>
      <w:pPr>
        <w:pStyle w:val="a"/>
        <w:ind w:firstLine="31680"/>
        <w:rPr>
          <w:rFonts w:cs="Times New Roman"/>
        </w:rPr>
      </w:pPr>
      <w:r>
        <w:t xml:space="preserve">        FDP_IFC.1 (MIC)</w:t>
      </w:r>
      <w:r>
        <w:rPr>
          <w:rFonts w:hint="eastAsia"/>
        </w:rPr>
        <w:t>子集信息流控制；</w:t>
      </w:r>
    </w:p>
    <w:p>
      <w:pPr>
        <w:pStyle w:val="a"/>
        <w:ind w:firstLine="1260" w:firstLineChars="600"/>
        <w:rPr>
          <w:rFonts w:cs="Times New Roman"/>
        </w:rPr>
      </w:pPr>
      <w:r>
        <w:t>FTP_ITC.1 TSF</w:t>
      </w:r>
      <w:r>
        <w:rPr>
          <w:rFonts w:hint="eastAsia"/>
        </w:rPr>
        <w:t>间可信信道或</w:t>
      </w:r>
      <w:r>
        <w:t xml:space="preserve"> FTP_TRP.1 </w:t>
      </w:r>
      <w:r>
        <w:rPr>
          <w:rFonts w:hint="eastAsia"/>
        </w:rPr>
        <w:t>可信路径；</w:t>
      </w:r>
    </w:p>
    <w:p>
      <w:pPr>
        <w:pStyle w:val="a"/>
        <w:ind w:firstLine="1260" w:firstLineChars="600"/>
        <w:rPr>
          <w:rFonts w:cs="Times New Roman"/>
        </w:rPr>
      </w:pPr>
      <w:r>
        <w:t>FPT_TDC.1 TSF</w:t>
      </w:r>
      <w:r>
        <w:rPr>
          <w:rFonts w:hint="eastAsia"/>
        </w:rPr>
        <w:t>间基本</w:t>
      </w:r>
      <w:r>
        <w:t>TSF</w:t>
      </w:r>
      <w:r>
        <w:rPr>
          <w:rFonts w:hint="eastAsia"/>
        </w:rPr>
        <w:t>数据一致性。</w:t>
      </w:r>
    </w:p>
    <w:p>
      <w:pPr>
        <w:pStyle w:val="a"/>
        <w:ind w:firstLine="1260" w:firstLineChars="600"/>
        <w:rPr>
          <w:rFonts w:cs="Times New Roman"/>
        </w:rPr>
      </w:pPr>
    </w:p>
    <w:p>
      <w:pPr>
        <w:pStyle w:val="a"/>
        <w:ind w:firstLine="31680"/>
        <w:rPr>
          <w:rFonts w:cs="Times New Roman"/>
        </w:rPr>
      </w:pPr>
      <w:r>
        <w:t xml:space="preserve">FDP_ITC.2.1 </w:t>
      </w:r>
      <w:r>
        <w:rPr>
          <w:rFonts w:hint="eastAsia"/>
        </w:rPr>
        <w:t>在安全功能策略覆盖下的用户数据从</w:t>
      </w:r>
      <w:r>
        <w:t>TOE</w:t>
      </w:r>
      <w:r>
        <w:rPr>
          <w:rFonts w:hint="eastAsia"/>
        </w:rPr>
        <w:t>之外输入时，移动终端操作系统的安全功能应实施设备访问控制</w:t>
      </w:r>
      <w:r>
        <w:t>SFP</w:t>
      </w:r>
      <w:r>
        <w:rPr>
          <w:rFonts w:hint="eastAsia"/>
        </w:rPr>
        <w:t>和</w:t>
      </w:r>
      <w:r>
        <w:t>/</w:t>
      </w:r>
      <w:r>
        <w:rPr>
          <w:rFonts w:hint="eastAsia"/>
        </w:rPr>
        <w:t>或网络信息流控制</w:t>
      </w:r>
      <w:r>
        <w:t>SFP</w:t>
      </w:r>
      <w:r>
        <w:rPr>
          <w:rFonts w:hint="eastAsia"/>
        </w:rPr>
        <w:t>和</w:t>
      </w:r>
      <w:r>
        <w:t>/</w:t>
      </w:r>
      <w:r>
        <w:rPr>
          <w:rFonts w:hint="eastAsia"/>
        </w:rPr>
        <w:t>或管理信息流控制</w:t>
      </w:r>
      <w:r>
        <w:t>SFP</w:t>
      </w:r>
      <w:r>
        <w:rPr>
          <w:rFonts w:hint="eastAsia"/>
        </w:rPr>
        <w:t>。</w:t>
      </w:r>
    </w:p>
    <w:p>
      <w:pPr>
        <w:pStyle w:val="a"/>
        <w:ind w:firstLine="31680"/>
        <w:rPr>
          <w:rFonts w:cs="Times New Roman"/>
        </w:rPr>
      </w:pPr>
      <w:r>
        <w:t xml:space="preserve">FDP_ITC.2.2 </w:t>
      </w:r>
      <w:r>
        <w:rPr>
          <w:rFonts w:hint="eastAsia"/>
        </w:rPr>
        <w:t>移动终端操作系统的安全功能应使用与输入的用户数据关联的安全属性。</w:t>
      </w:r>
    </w:p>
    <w:p>
      <w:pPr>
        <w:pStyle w:val="a"/>
        <w:ind w:firstLine="31680"/>
        <w:rPr>
          <w:rFonts w:cs="Times New Roman"/>
        </w:rPr>
      </w:pPr>
      <w:r>
        <w:t xml:space="preserve">FDP_ITC.2.3 </w:t>
      </w:r>
      <w:r>
        <w:rPr>
          <w:rFonts w:hint="eastAsia"/>
        </w:rPr>
        <w:t>移动终端操作系统的安全功能应保证使用的协议提供了接收的数据与安全属性的确定关联。</w:t>
      </w:r>
    </w:p>
    <w:p>
      <w:pPr>
        <w:pStyle w:val="a"/>
        <w:ind w:firstLine="31680"/>
        <w:rPr>
          <w:rFonts w:cs="Times New Roman"/>
        </w:rPr>
      </w:pPr>
      <w:r>
        <w:t xml:space="preserve">FDP_ITC.2.4 </w:t>
      </w:r>
      <w:r>
        <w:rPr>
          <w:rFonts w:hint="eastAsia"/>
        </w:rPr>
        <w:t>移动终端操作系统的安全功能应保证对输入数据安全属性的解释与用户数据源的意图相同。</w:t>
      </w:r>
    </w:p>
    <w:p>
      <w:pPr>
        <w:pStyle w:val="a"/>
        <w:ind w:firstLine="31680"/>
        <w:rPr>
          <w:rFonts w:cs="Times New Roman"/>
        </w:rPr>
      </w:pPr>
      <w:r>
        <w:t xml:space="preserve">FDP_ITC.2.5 </w:t>
      </w:r>
      <w:r>
        <w:rPr>
          <w:rFonts w:hint="eastAsia"/>
        </w:rPr>
        <w:t>在安全功能策略覆盖下的用户数据从</w:t>
      </w:r>
      <w:r>
        <w:t>TOE</w:t>
      </w:r>
      <w:r>
        <w:rPr>
          <w:rFonts w:hint="eastAsia"/>
        </w:rPr>
        <w:t>之外输入时，移动终端操作系统的安全功能应实施下列规则：</w:t>
      </w:r>
      <w:r>
        <w:rPr>
          <w:rFonts w:hint="eastAsia"/>
          <w:b/>
          <w:bCs/>
        </w:rPr>
        <w:t>【赋值：附加的输入控制规则】</w:t>
      </w:r>
      <w:r>
        <w:rPr>
          <w:rFonts w:hint="eastAsia"/>
        </w:rPr>
        <w:t>。</w:t>
      </w:r>
    </w:p>
    <w:p>
      <w:pPr>
        <w:pStyle w:val="a4"/>
        <w:spacing w:before="156" w:after="156"/>
        <w:rPr>
          <w:rFonts w:cs="Times New Roman"/>
        </w:rPr>
      </w:pPr>
      <w:bookmarkStart w:id="251" w:name="_Toc320805098"/>
      <w:r>
        <w:rPr>
          <w:rFonts w:hint="eastAsia"/>
        </w:rPr>
        <w:t>基本的数据交换保密性（</w:t>
      </w:r>
      <w:r>
        <w:t>FDP_UCT.1</w:t>
      </w:r>
      <w:r>
        <w:rPr>
          <w:rFonts w:hint="eastAsia"/>
        </w:rPr>
        <w:t>）</w:t>
      </w:r>
      <w:bookmarkEnd w:id="251"/>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FDP_ACC.1 (DA)</w:t>
      </w:r>
      <w:r>
        <w:rPr>
          <w:rFonts w:hint="eastAsia"/>
        </w:rPr>
        <w:t>子集访问控制和</w:t>
      </w:r>
      <w:r>
        <w:t>/</w:t>
      </w:r>
      <w:r>
        <w:rPr>
          <w:rFonts w:hint="eastAsia"/>
        </w:rPr>
        <w:t>或</w:t>
      </w:r>
      <w:r>
        <w:t>FDP_IFC.1 (NIC)</w:t>
      </w:r>
      <w:r>
        <w:rPr>
          <w:rFonts w:hint="eastAsia"/>
        </w:rPr>
        <w:t>子集信息流控制和</w:t>
      </w:r>
      <w:r>
        <w:t>/</w:t>
      </w:r>
      <w:r>
        <w:rPr>
          <w:rFonts w:hint="eastAsia"/>
        </w:rPr>
        <w:t>或</w:t>
      </w:r>
    </w:p>
    <w:p>
      <w:pPr>
        <w:pStyle w:val="a"/>
        <w:ind w:firstLine="31680"/>
        <w:rPr>
          <w:rFonts w:cs="Times New Roman"/>
        </w:rPr>
      </w:pPr>
      <w:r>
        <w:t xml:space="preserve">        FDP_IFC.1 (MIC)</w:t>
      </w:r>
      <w:r>
        <w:rPr>
          <w:rFonts w:hint="eastAsia"/>
        </w:rPr>
        <w:t>子集信息流控制；</w:t>
      </w:r>
    </w:p>
    <w:p>
      <w:pPr>
        <w:pStyle w:val="a"/>
        <w:ind w:firstLine="1260" w:firstLineChars="600"/>
        <w:rPr>
          <w:rFonts w:cs="Times New Roman"/>
        </w:rPr>
      </w:pPr>
      <w:r>
        <w:t>FTP_ITC.1 TSF</w:t>
      </w:r>
      <w:r>
        <w:rPr>
          <w:rFonts w:hint="eastAsia"/>
        </w:rPr>
        <w:t>间可信信道或</w:t>
      </w:r>
      <w:r>
        <w:t xml:space="preserve"> FTP_TRP.1 </w:t>
      </w:r>
      <w:r>
        <w:rPr>
          <w:rFonts w:hint="eastAsia"/>
        </w:rPr>
        <w:t>可信路径。</w:t>
      </w:r>
    </w:p>
    <w:p>
      <w:pPr>
        <w:pStyle w:val="a"/>
        <w:ind w:firstLine="1260" w:firstLineChars="600"/>
        <w:rPr>
          <w:rFonts w:cs="Times New Roman"/>
        </w:rPr>
      </w:pPr>
    </w:p>
    <w:p>
      <w:pPr>
        <w:pStyle w:val="a"/>
        <w:ind w:firstLine="31680"/>
        <w:rPr>
          <w:rFonts w:cs="Times New Roman"/>
        </w:rPr>
      </w:pPr>
      <w:r>
        <w:t xml:space="preserve">FDP_UCT.1.1 </w:t>
      </w:r>
      <w:r>
        <w:rPr>
          <w:rFonts w:hint="eastAsia"/>
        </w:rPr>
        <w:t>移动终端操作系统的安全功能应实施设备访问控制</w:t>
      </w:r>
      <w:r>
        <w:t>SFP</w:t>
      </w:r>
      <w:r>
        <w:rPr>
          <w:rFonts w:hint="eastAsia"/>
        </w:rPr>
        <w:t>和</w:t>
      </w:r>
      <w:r>
        <w:t>/</w:t>
      </w:r>
      <w:r>
        <w:rPr>
          <w:rFonts w:hint="eastAsia"/>
        </w:rPr>
        <w:t>或网络信息流控制</w:t>
      </w:r>
      <w:r>
        <w:t>SFP</w:t>
      </w:r>
      <w:r>
        <w:rPr>
          <w:rFonts w:hint="eastAsia"/>
        </w:rPr>
        <w:t>和</w:t>
      </w:r>
      <w:r>
        <w:t>/</w:t>
      </w:r>
      <w:r>
        <w:rPr>
          <w:rFonts w:hint="eastAsia"/>
        </w:rPr>
        <w:t>或管理信息流控制</w:t>
      </w:r>
      <w:r>
        <w:t>SFP</w:t>
      </w:r>
      <w:r>
        <w:rPr>
          <w:rFonts w:hint="eastAsia"/>
        </w:rPr>
        <w:t>，以便保护在传送和接收用户数据时免受非授权泄露。</w:t>
      </w:r>
    </w:p>
    <w:p>
      <w:pPr>
        <w:pStyle w:val="a4"/>
        <w:spacing w:before="156" w:after="156"/>
        <w:rPr>
          <w:rFonts w:cs="Times New Roman"/>
        </w:rPr>
      </w:pPr>
      <w:bookmarkStart w:id="252" w:name="_Toc320805099"/>
      <w:r>
        <w:rPr>
          <w:rFonts w:hint="eastAsia"/>
        </w:rPr>
        <w:t>数据交换的完整性（</w:t>
      </w:r>
      <w:r>
        <w:t>FDP_UIT.1</w:t>
      </w:r>
      <w:r>
        <w:rPr>
          <w:rFonts w:hint="eastAsia"/>
        </w:rPr>
        <w:t>）</w:t>
      </w:r>
      <w:bookmarkEnd w:id="252"/>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FDP_ACC.1 (DA)</w:t>
      </w:r>
      <w:r>
        <w:rPr>
          <w:rFonts w:hint="eastAsia"/>
        </w:rPr>
        <w:t>子集访问控制和</w:t>
      </w:r>
      <w:r>
        <w:t>/</w:t>
      </w:r>
      <w:r>
        <w:rPr>
          <w:rFonts w:hint="eastAsia"/>
        </w:rPr>
        <w:t>或</w:t>
      </w:r>
      <w:r>
        <w:t>FDP_IFC.1(NIC)</w:t>
      </w:r>
      <w:r>
        <w:rPr>
          <w:rFonts w:hint="eastAsia"/>
        </w:rPr>
        <w:t>子集信息流控制和</w:t>
      </w:r>
      <w:r>
        <w:t>/</w:t>
      </w:r>
      <w:r>
        <w:rPr>
          <w:rFonts w:hint="eastAsia"/>
        </w:rPr>
        <w:t>或</w:t>
      </w:r>
    </w:p>
    <w:p>
      <w:pPr>
        <w:pStyle w:val="a"/>
        <w:ind w:firstLine="31680"/>
        <w:rPr>
          <w:rFonts w:cs="Times New Roman"/>
        </w:rPr>
      </w:pPr>
      <w:r>
        <w:t xml:space="preserve">        FDP_IFC.1 (MIC)</w:t>
      </w:r>
      <w:r>
        <w:rPr>
          <w:rFonts w:hint="eastAsia"/>
        </w:rPr>
        <w:t>子集信息流控制；</w:t>
      </w:r>
    </w:p>
    <w:p>
      <w:pPr>
        <w:pStyle w:val="a"/>
        <w:ind w:firstLine="1260" w:firstLineChars="600"/>
        <w:rPr>
          <w:rFonts w:cs="Times New Roman"/>
        </w:rPr>
      </w:pPr>
      <w:r>
        <w:t>FTP_ITC.1 TSF</w:t>
      </w:r>
      <w:r>
        <w:rPr>
          <w:rFonts w:hint="eastAsia"/>
        </w:rPr>
        <w:t>间可信信道或</w:t>
      </w:r>
      <w:r>
        <w:t xml:space="preserve"> FTP_TRP.1 </w:t>
      </w:r>
      <w:r>
        <w:rPr>
          <w:rFonts w:hint="eastAsia"/>
        </w:rPr>
        <w:t>可信路径。</w:t>
      </w:r>
    </w:p>
    <w:p>
      <w:pPr>
        <w:pStyle w:val="a"/>
        <w:ind w:firstLine="1260" w:firstLineChars="600"/>
        <w:rPr>
          <w:rFonts w:cs="Times New Roman"/>
        </w:rPr>
      </w:pPr>
    </w:p>
    <w:p>
      <w:pPr>
        <w:pStyle w:val="a"/>
        <w:ind w:firstLine="31680"/>
        <w:rPr>
          <w:rFonts w:cs="Times New Roman"/>
        </w:rPr>
      </w:pPr>
      <w:r>
        <w:t xml:space="preserve">FDP_UIT.1.1 </w:t>
      </w:r>
      <w:r>
        <w:rPr>
          <w:rFonts w:hint="eastAsia"/>
        </w:rPr>
        <w:t>移动终端操作系统的安全功能应实施设备访问控制</w:t>
      </w:r>
      <w:r>
        <w:t>SFP</w:t>
      </w:r>
      <w:r>
        <w:rPr>
          <w:rFonts w:hint="eastAsia"/>
        </w:rPr>
        <w:t>和</w:t>
      </w:r>
      <w:r>
        <w:t>/</w:t>
      </w:r>
      <w:r>
        <w:rPr>
          <w:rFonts w:hint="eastAsia"/>
        </w:rPr>
        <w:t>或网络信息流控制</w:t>
      </w:r>
      <w:r>
        <w:t>SFP</w:t>
      </w:r>
      <w:r>
        <w:rPr>
          <w:rFonts w:hint="eastAsia"/>
        </w:rPr>
        <w:t>和</w:t>
      </w:r>
      <w:r>
        <w:t>/</w:t>
      </w:r>
      <w:r>
        <w:rPr>
          <w:rFonts w:hint="eastAsia"/>
        </w:rPr>
        <w:t>或管理信息流控制</w:t>
      </w:r>
      <w:r>
        <w:t>SFP</w:t>
      </w:r>
      <w:r>
        <w:rPr>
          <w:rFonts w:hint="eastAsia"/>
        </w:rPr>
        <w:t>，以便保护传送和接收用户数据时免于被</w:t>
      </w:r>
      <w:r>
        <w:rPr>
          <w:rFonts w:hint="eastAsia"/>
          <w:b/>
          <w:bCs/>
        </w:rPr>
        <w:t>【选择：修改、删除、插入、重放】</w:t>
      </w:r>
      <w:r>
        <w:rPr>
          <w:rFonts w:hint="eastAsia"/>
        </w:rPr>
        <w:t>。</w:t>
      </w:r>
    </w:p>
    <w:p>
      <w:pPr>
        <w:pStyle w:val="a"/>
        <w:ind w:firstLine="31680"/>
        <w:rPr>
          <w:rFonts w:cs="Times New Roman"/>
        </w:rPr>
      </w:pPr>
      <w:r>
        <w:t xml:space="preserve">FDP_UIT.1.2 </w:t>
      </w:r>
      <w:r>
        <w:rPr>
          <w:rFonts w:hint="eastAsia"/>
        </w:rPr>
        <w:t>移动终端操作系统的安全功能应能判断用户数据接收过程中是否发生了</w:t>
      </w:r>
      <w:r>
        <w:rPr>
          <w:rFonts w:hint="eastAsia"/>
          <w:b/>
          <w:bCs/>
        </w:rPr>
        <w:t>【选择：修改、删除、插入、重放】</w:t>
      </w:r>
      <w:r>
        <w:rPr>
          <w:rFonts w:hint="eastAsia"/>
        </w:rPr>
        <w:t>的错误。</w:t>
      </w:r>
    </w:p>
    <w:p>
      <w:pPr>
        <w:pStyle w:val="a0"/>
        <w:spacing w:before="156" w:after="156"/>
        <w:rPr>
          <w:rFonts w:cs="Times New Roman"/>
        </w:rPr>
      </w:pPr>
      <w:bookmarkStart w:id="253" w:name="_Toc320950286"/>
      <w:bookmarkStart w:id="254" w:name="_Toc320954994"/>
      <w:bookmarkStart w:id="255" w:name="_Toc320955491"/>
      <w:bookmarkStart w:id="256" w:name="_Toc320817135"/>
      <w:bookmarkStart w:id="257" w:name="_Toc320805100"/>
      <w:r>
        <w:rPr>
          <w:rFonts w:hint="eastAsia"/>
        </w:rPr>
        <w:t>标识与鉴别</w:t>
      </w:r>
      <w:bookmarkEnd w:id="253"/>
      <w:bookmarkEnd w:id="254"/>
      <w:bookmarkEnd w:id="255"/>
      <w:bookmarkEnd w:id="256"/>
      <w:bookmarkEnd w:id="257"/>
    </w:p>
    <w:p>
      <w:pPr>
        <w:pStyle w:val="a4"/>
        <w:spacing w:before="156" w:after="156"/>
        <w:rPr>
          <w:rFonts w:cs="Times New Roman"/>
        </w:rPr>
        <w:sectPr>
          <w:headerReference w:type="default" r:id="rId39"/>
          <w:footerReference w:type="default" r:id="rId40"/>
          <w:type w:val="nextPage"/>
          <w:pgSz w:w="11906" w:h="16838"/>
          <w:pgMar w:top="567" w:right="1134" w:bottom="1134" w:left="1418" w:header="1418" w:footer="1134" w:gutter="0"/>
          <w:pgNumType w:start="15"/>
          <w:cols w:num="1" w:space="425"/>
          <w:formProt w:val="0"/>
          <w:titlePg w:val="0"/>
          <w:docGrid w:type="lines" w:linePitch="312" w:charSpace="0"/>
        </w:sectPr>
      </w:pPr>
      <w:bookmarkStart w:id="258" w:name="_Toc320805101"/>
      <w:r>
        <w:rPr>
          <w:rFonts w:hint="eastAsia"/>
        </w:rPr>
        <w:t>类架构图</w:t>
      </w:r>
      <w:bookmarkEnd w:id="258"/>
    </w:p>
    <w:p>
      <w:pPr>
        <w:pStyle w:val="a"/>
        <w:ind w:firstLine="31680"/>
        <w:jc w:val="center"/>
        <w:rPr>
          <w:rFonts w:cs="Times New Roman"/>
        </w:rPr>
      </w:pPr>
      <w:r>
        <w:rPr>
          <w:rFonts w:cs="Times New Roman"/>
        </w:rPr>
        <w:pict>
          <v:shape id="_x0000_i1033" type="#_x0000_t75" style="width:189.75pt;height:239.25pt" coordsize="21600,21600" o:preferrelative="t" filled="f" stroked="f">
            <v:stroke joinstyle="miter"/>
            <v:imagedata r:id="rId41" o:title=""/>
            <o:lock v:ext="edit" aspectratio="t"/>
            <w10:anchorlock/>
          </v:shape>
        </w:pict>
      </w:r>
    </w:p>
    <w:p>
      <w:pPr>
        <w:pStyle w:val="a82"/>
        <w:spacing w:before="156" w:after="156"/>
        <w:rPr>
          <w:rFonts w:cs="Times New Roman"/>
        </w:rPr>
      </w:pPr>
      <w:r>
        <w:rPr>
          <w:rFonts w:hint="eastAsia"/>
        </w:rPr>
        <w:t>标识与鉴别类分解</w:t>
      </w:r>
    </w:p>
    <w:p>
      <w:pPr>
        <w:pStyle w:val="a4"/>
        <w:spacing w:before="156" w:after="156"/>
      </w:pPr>
      <w:bookmarkStart w:id="259" w:name="_Toc320805102"/>
      <w:r>
        <w:rPr>
          <w:rFonts w:hint="eastAsia"/>
        </w:rPr>
        <w:t>鉴别失败处理（</w:t>
      </w:r>
      <w:r>
        <w:t>HU</w:t>
      </w:r>
      <w:r>
        <w:rPr>
          <w:rFonts w:hint="eastAsia"/>
        </w:rPr>
        <w:t>）（</w:t>
      </w:r>
      <w:r>
        <w:t>FIA_AFL.1</w:t>
      </w:r>
      <w:r>
        <w:rPr>
          <w:rFonts w:hint="eastAsia"/>
        </w:rPr>
        <w:t>）</w:t>
      </w:r>
      <w:bookmarkEnd w:id="259"/>
      <w:r>
        <w:t>(HU:</w:t>
      </w:r>
      <w:r>
        <w:rPr>
          <w:rFonts w:hint="eastAsia"/>
        </w:rPr>
        <w:t>本地人员用户</w:t>
      </w:r>
      <w:r>
        <w:t>)</w:t>
      </w:r>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FIA_UAU.1</w:t>
      </w:r>
      <w:r>
        <w:rPr>
          <w:rFonts w:hint="eastAsia"/>
        </w:rPr>
        <w:t>鉴别的时机。</w:t>
      </w:r>
    </w:p>
    <w:p>
      <w:pPr>
        <w:pStyle w:val="a"/>
        <w:ind w:firstLine="31680"/>
        <w:rPr>
          <w:rFonts w:cs="Times New Roman"/>
        </w:rPr>
      </w:pPr>
    </w:p>
    <w:p>
      <w:pPr>
        <w:pStyle w:val="a"/>
        <w:ind w:firstLine="31680"/>
        <w:rPr>
          <w:rFonts w:cs="Times New Roman"/>
        </w:rPr>
      </w:pPr>
      <w:r>
        <w:t xml:space="preserve">FIA_AFL.1.1 </w:t>
      </w:r>
      <w:r>
        <w:rPr>
          <w:rFonts w:hint="eastAsia"/>
        </w:rPr>
        <w:t>移动终端操作系统的安全功能应检测何时发生</w:t>
      </w:r>
      <w:r>
        <w:rPr>
          <w:rFonts w:hint="eastAsia"/>
          <w:b/>
          <w:bCs/>
        </w:rPr>
        <w:t>【选择：【赋值：正整数】，管理员可设置的【赋值：可接受数值范围】内的整数】</w:t>
      </w:r>
      <w:r>
        <w:rPr>
          <w:rFonts w:hint="eastAsia"/>
        </w:rPr>
        <w:t>次本地人员用户身份的未成功鉴别尝试。</w:t>
      </w:r>
    </w:p>
    <w:p>
      <w:pPr>
        <w:pStyle w:val="a"/>
        <w:ind w:firstLine="31680"/>
        <w:rPr>
          <w:rFonts w:cs="Times New Roman"/>
        </w:rPr>
      </w:pPr>
      <w:r>
        <w:t xml:space="preserve">FIA_AFL.1.2 </w:t>
      </w:r>
      <w:r>
        <w:rPr>
          <w:rFonts w:hint="eastAsia"/>
        </w:rPr>
        <w:t>当达到或超过所定义的未成功鉴别尝试次数时，移动终端操作系统安全功能应</w:t>
      </w:r>
      <w:r>
        <w:rPr>
          <w:rFonts w:hint="eastAsia"/>
          <w:b/>
          <w:bCs/>
        </w:rPr>
        <w:t>【选择：删除用户数据、使终端失效、会话锁定一定时间、【赋值：其他动作列表】】</w:t>
      </w:r>
      <w:r>
        <w:rPr>
          <w:rFonts w:hint="eastAsia"/>
        </w:rPr>
        <w:t>。</w:t>
      </w:r>
    </w:p>
    <w:p>
      <w:pPr>
        <w:pStyle w:val="a4"/>
        <w:spacing w:before="156" w:after="156"/>
      </w:pPr>
      <w:bookmarkStart w:id="260" w:name="_Toc320805103"/>
      <w:r>
        <w:rPr>
          <w:rFonts w:hint="eastAsia"/>
        </w:rPr>
        <w:t>鉴别失败处理（</w:t>
      </w:r>
      <w:r>
        <w:t>RU</w:t>
      </w:r>
      <w:r>
        <w:rPr>
          <w:rFonts w:hint="eastAsia"/>
        </w:rPr>
        <w:t>）（</w:t>
      </w:r>
      <w:r>
        <w:t>FIA_AFL.1</w:t>
      </w:r>
      <w:r>
        <w:rPr>
          <w:rFonts w:hint="eastAsia"/>
        </w:rPr>
        <w:t>）</w:t>
      </w:r>
      <w:bookmarkEnd w:id="260"/>
      <w:r>
        <w:t>(RU:</w:t>
      </w:r>
      <w:r>
        <w:rPr>
          <w:rFonts w:hint="eastAsia"/>
        </w:rPr>
        <w:t>远程用户</w:t>
      </w:r>
      <w:r>
        <w:t>)</w:t>
      </w:r>
    </w:p>
    <w:p>
      <w:pPr>
        <w:pStyle w:val="a"/>
        <w:ind w:firstLine="31680"/>
        <w:rPr>
          <w:rFonts w:cs="Times New Roman"/>
        </w:rPr>
      </w:pPr>
      <w:r>
        <w:rPr>
          <w:rFonts w:hint="eastAsia"/>
        </w:rPr>
        <w:t>从属于：无。</w:t>
      </w:r>
    </w:p>
    <w:p>
      <w:pPr>
        <w:pStyle w:val="a"/>
        <w:ind w:firstLine="31680"/>
        <w:rPr>
          <w:rFonts w:cs="Times New Roman"/>
        </w:rPr>
      </w:pPr>
      <w:r>
        <w:rPr>
          <w:rFonts w:hint="eastAsia"/>
        </w:rPr>
        <w:t>依赖于：</w:t>
      </w:r>
      <w:r>
        <w:t>FIA_UAU.1</w:t>
      </w:r>
      <w:r>
        <w:rPr>
          <w:rFonts w:hint="eastAsia"/>
        </w:rPr>
        <w:t>鉴别的时机。</w:t>
      </w:r>
    </w:p>
    <w:p>
      <w:pPr>
        <w:pStyle w:val="a"/>
        <w:ind w:firstLine="31680"/>
        <w:rPr>
          <w:rFonts w:cs="Times New Roman"/>
        </w:rPr>
      </w:pPr>
    </w:p>
    <w:p>
      <w:pPr>
        <w:pStyle w:val="a"/>
        <w:ind w:firstLine="31680"/>
        <w:rPr>
          <w:rFonts w:cs="Times New Roman"/>
        </w:rPr>
      </w:pPr>
      <w:r>
        <w:t>FIA_AFL.1.1</w:t>
      </w:r>
      <w:r>
        <w:rPr>
          <w:rFonts w:hint="eastAsia"/>
        </w:rPr>
        <w:t>移动终端操作系统的安全功能应检测何时发生</w:t>
      </w:r>
      <w:r>
        <w:rPr>
          <w:rFonts w:hint="eastAsia"/>
          <w:b/>
          <w:bCs/>
        </w:rPr>
        <w:t>【选择：【赋值：正整数】，管理员可设置的【赋值：可接受数值范围】内的整数】</w:t>
      </w:r>
      <w:r>
        <w:rPr>
          <w:rFonts w:hint="eastAsia"/>
        </w:rPr>
        <w:t>次远程访问的未成功鉴别尝试。</w:t>
      </w:r>
    </w:p>
    <w:p>
      <w:pPr>
        <w:pStyle w:val="a"/>
        <w:ind w:firstLine="31680"/>
        <w:rPr>
          <w:rFonts w:cs="Times New Roman"/>
        </w:rPr>
      </w:pPr>
      <w:r>
        <w:t xml:space="preserve">FIA_AFL.1.2 </w:t>
      </w:r>
      <w:r>
        <w:rPr>
          <w:rFonts w:hint="eastAsia"/>
        </w:rPr>
        <w:t>当达到或超过所定义的未成功鉴别尝试次数时，移动终端操作系统安全功能应</w:t>
      </w:r>
      <w:r>
        <w:rPr>
          <w:rFonts w:hint="eastAsia"/>
          <w:b/>
          <w:bCs/>
        </w:rPr>
        <w:t>【选择：禁止建立会话、【赋值：其他动作列表】】</w:t>
      </w:r>
      <w:r>
        <w:rPr>
          <w:rFonts w:hint="eastAsia"/>
        </w:rPr>
        <w:t>。</w:t>
      </w:r>
    </w:p>
    <w:p>
      <w:pPr>
        <w:pStyle w:val="a"/>
        <w:ind w:firstLine="31680"/>
        <w:rPr>
          <w:rFonts w:cs="Times New Roman"/>
        </w:rPr>
      </w:pPr>
    </w:p>
    <w:p>
      <w:pPr>
        <w:pStyle w:val="a"/>
        <w:ind w:firstLine="31680"/>
        <w:rPr>
          <w:rFonts w:cs="Times New Roman"/>
        </w:rPr>
      </w:pPr>
      <w:r>
        <w:rPr>
          <w:rFonts w:hint="eastAsia"/>
          <w:b/>
          <w:bCs/>
        </w:rPr>
        <w:t>应用注释</w:t>
      </w:r>
      <w:r>
        <w:rPr>
          <w:rFonts w:hint="eastAsia"/>
        </w:rPr>
        <w:t>：如果移动终端操作系统开发商需要定义除上述之外的安全属性，则需在赋值中增加。移动终端操作系统远程用户可以是同一安全体系下的应用软件商店、设备管理系统等等，比如对应用来源的鉴别。</w:t>
      </w:r>
    </w:p>
    <w:p>
      <w:pPr>
        <w:pStyle w:val="a4"/>
        <w:spacing w:before="156" w:after="156"/>
      </w:pPr>
      <w:bookmarkStart w:id="261" w:name="_Toc320805104"/>
      <w:r>
        <w:rPr>
          <w:rFonts w:hint="eastAsia"/>
        </w:rPr>
        <w:t>鉴别失败处理</w:t>
      </w:r>
      <w:r>
        <w:t xml:space="preserve"> (RE)</w:t>
      </w:r>
      <w:r>
        <w:rPr>
          <w:rFonts w:hint="eastAsia"/>
        </w:rPr>
        <w:t>（</w:t>
      </w:r>
      <w:r>
        <w:t>FIA_AFL.1</w:t>
      </w:r>
      <w:r>
        <w:rPr>
          <w:rFonts w:hint="eastAsia"/>
        </w:rPr>
        <w:t>）</w:t>
      </w:r>
      <w:bookmarkEnd w:id="261"/>
      <w:r>
        <w:t>(RE:</w:t>
      </w:r>
      <w:r>
        <w:rPr>
          <w:rFonts w:hint="eastAsia"/>
        </w:rPr>
        <w:t>重鉴别</w:t>
      </w:r>
      <w:r>
        <w:t>)</w:t>
      </w:r>
    </w:p>
    <w:p>
      <w:pPr>
        <w:pStyle w:val="a"/>
        <w:ind w:firstLine="31680"/>
        <w:rPr>
          <w:rFonts w:cs="Times New Roman"/>
        </w:rPr>
        <w:sectPr>
          <w:headerReference w:type="default" r:id="rId42"/>
          <w:footerReference w:type="default" r:id="rId43"/>
          <w:type w:val="nextPage"/>
          <w:pgSz w:w="11906" w:h="16838"/>
          <w:pgMar w:top="567" w:right="1134" w:bottom="1134" w:left="1418" w:header="1418" w:footer="1134" w:gutter="0"/>
          <w:pgNumType w:start="16"/>
          <w:cols w:num="1" w:space="425"/>
          <w:formProt w:val="0"/>
          <w:titlePg w:val="0"/>
          <w:docGrid w:type="lines" w:linePitch="312" w:charSpace="0"/>
        </w:sectPr>
      </w:pPr>
      <w:r>
        <w:rPr>
          <w:rFonts w:hint="eastAsia"/>
        </w:rPr>
        <w:t>从属于：无。</w:t>
      </w:r>
    </w:p>
    <w:p>
      <w:pPr>
        <w:pStyle w:val="a"/>
        <w:ind w:firstLine="31680"/>
        <w:rPr>
          <w:rFonts w:cs="Times New Roman"/>
        </w:rPr>
      </w:pPr>
      <w:r>
        <w:rPr>
          <w:rFonts w:hint="eastAsia"/>
        </w:rPr>
        <w:t>依赖于：</w:t>
      </w:r>
      <w:r>
        <w:t>FIA_UAU.1</w:t>
      </w:r>
      <w:r>
        <w:rPr>
          <w:rFonts w:hint="eastAsia"/>
        </w:rPr>
        <w:t>鉴别的时机；</w:t>
      </w:r>
      <w:r>
        <w:t xml:space="preserve">FIA_UAU.6 </w:t>
      </w:r>
      <w:r>
        <w:rPr>
          <w:rFonts w:hint="eastAsia"/>
        </w:rPr>
        <w:t>重鉴别。</w:t>
      </w:r>
    </w:p>
    <w:p>
      <w:pPr>
        <w:pStyle w:val="a"/>
        <w:ind w:firstLine="31680"/>
        <w:rPr>
          <w:rFonts w:cs="Times New Roman"/>
        </w:rPr>
      </w:pPr>
    </w:p>
    <w:p>
      <w:pPr>
        <w:pStyle w:val="a"/>
        <w:ind w:firstLine="31680"/>
        <w:rPr>
          <w:rFonts w:cs="Times New Roman"/>
        </w:rPr>
      </w:pPr>
      <w:r>
        <w:t>FIA_AFL.1.1</w:t>
      </w:r>
      <w:r>
        <w:rPr>
          <w:rFonts w:hint="eastAsia"/>
        </w:rPr>
        <w:t>移动终端操作系统的安全功能应检测何时发生</w:t>
      </w:r>
      <w:r>
        <w:rPr>
          <w:rFonts w:hint="eastAsia"/>
          <w:b/>
          <w:bCs/>
        </w:rPr>
        <w:t>【赋值：正整数】</w:t>
      </w:r>
      <w:r>
        <w:rPr>
          <w:rFonts w:hint="eastAsia"/>
        </w:rPr>
        <w:t>次在</w:t>
      </w:r>
      <w:r>
        <w:t>FIA_UAU.6</w:t>
      </w:r>
      <w:r>
        <w:rPr>
          <w:rFonts w:hint="eastAsia"/>
        </w:rPr>
        <w:t>中定义的重鉴别事件的未成功鉴别尝试。</w:t>
      </w:r>
    </w:p>
    <w:p>
      <w:pPr>
        <w:pStyle w:val="a"/>
        <w:ind w:firstLine="31680"/>
        <w:rPr>
          <w:rFonts w:cs="Times New Roman"/>
        </w:rPr>
      </w:pPr>
      <w:r>
        <w:t xml:space="preserve">FIA_AFL.1.2 </w:t>
      </w:r>
      <w:r>
        <w:rPr>
          <w:rFonts w:hint="eastAsia"/>
        </w:rPr>
        <w:t>当达到或超过所定义的未成功鉴别尝试次数时，移动终端操作系统安全功能应：</w:t>
      </w:r>
    </w:p>
    <w:p>
      <w:pPr>
        <w:pStyle w:val="a16"/>
        <w:numPr>
          <w:ilvl w:val="0"/>
          <w:numId w:val="29"/>
        </w:numPr>
        <w:rPr>
          <w:rFonts w:cs="Times New Roman"/>
        </w:rPr>
      </w:pPr>
      <w:r>
        <w:t>FIA_UAU.6</w:t>
      </w:r>
      <w:r>
        <w:rPr>
          <w:rFonts w:hint="eastAsia"/>
        </w:rPr>
        <w:t>定义的</w:t>
      </w:r>
      <w:r>
        <w:t>1</w:t>
      </w:r>
      <w:r>
        <w:rPr>
          <w:rFonts w:hint="eastAsia"/>
        </w:rPr>
        <w:t>）失败处理：会话锁定一定时间；</w:t>
      </w:r>
    </w:p>
    <w:p>
      <w:pPr>
        <w:pStyle w:val="a16"/>
        <w:numPr>
          <w:ilvl w:val="0"/>
          <w:numId w:val="29"/>
        </w:numPr>
        <w:rPr>
          <w:rFonts w:cs="Times New Roman"/>
        </w:rPr>
      </w:pPr>
      <w:r>
        <w:t>FIA_UAU.6</w:t>
      </w:r>
      <w:r>
        <w:rPr>
          <w:rFonts w:hint="eastAsia"/>
        </w:rPr>
        <w:t>定义的</w:t>
      </w:r>
      <w:r>
        <w:t>2</w:t>
      </w:r>
      <w:r>
        <w:rPr>
          <w:rFonts w:hint="eastAsia"/>
        </w:rPr>
        <w:t>）失败处理：</w:t>
      </w:r>
      <w:r>
        <w:rPr>
          <w:rFonts w:hint="eastAsia"/>
          <w:b/>
          <w:bCs/>
        </w:rPr>
        <w:t>【赋值：其他动作列表】</w:t>
      </w:r>
      <w:r>
        <w:rPr>
          <w:rFonts w:hint="eastAsia"/>
        </w:rPr>
        <w:t>。</w:t>
      </w:r>
    </w:p>
    <w:p>
      <w:pPr>
        <w:pStyle w:val="a4"/>
        <w:spacing w:before="156" w:after="156"/>
      </w:pPr>
      <w:bookmarkStart w:id="262" w:name="_Toc320805105"/>
      <w:r>
        <w:rPr>
          <w:rFonts w:hint="eastAsia"/>
        </w:rPr>
        <w:t>用户属性定义（</w:t>
      </w:r>
      <w:r>
        <w:t>HRU</w:t>
      </w:r>
      <w:r>
        <w:rPr>
          <w:rFonts w:hint="eastAsia"/>
        </w:rPr>
        <w:t>）（</w:t>
      </w:r>
      <w:r>
        <w:t>FIA_ATD.1</w:t>
      </w:r>
      <w:r>
        <w:rPr>
          <w:rFonts w:hint="eastAsia"/>
        </w:rPr>
        <w:t>）</w:t>
      </w:r>
      <w:bookmarkEnd w:id="262"/>
      <w:r>
        <w:t>(HRU:</w:t>
      </w:r>
      <w:r>
        <w:rPr>
          <w:rFonts w:hint="eastAsia"/>
        </w:rPr>
        <w:t>本地人员及远程用户</w:t>
      </w:r>
      <w:r>
        <w:t>)</w:t>
      </w:r>
    </w:p>
    <w:p>
      <w:pPr>
        <w:pStyle w:val="a"/>
        <w:ind w:firstLine="31680"/>
        <w:rPr>
          <w:rFonts w:cs="Times New Roman"/>
        </w:rPr>
      </w:pPr>
      <w:r>
        <w:rPr>
          <w:rFonts w:hint="eastAsia"/>
        </w:rPr>
        <w:t>从属于：无。</w:t>
      </w:r>
    </w:p>
    <w:p>
      <w:pPr>
        <w:pStyle w:val="a"/>
        <w:ind w:firstLine="31680"/>
        <w:rPr>
          <w:rFonts w:cs="Times New Roman"/>
        </w:rPr>
      </w:pPr>
      <w:r>
        <w:rPr>
          <w:rFonts w:hint="eastAsia"/>
        </w:rPr>
        <w:t>依赖于：无。</w:t>
      </w:r>
    </w:p>
    <w:p>
      <w:pPr>
        <w:pStyle w:val="a"/>
        <w:ind w:firstLine="31680"/>
        <w:rPr>
          <w:rFonts w:cs="Times New Roman"/>
        </w:rPr>
      </w:pPr>
    </w:p>
    <w:p>
      <w:pPr>
        <w:pStyle w:val="a"/>
        <w:ind w:firstLine="31680"/>
        <w:rPr>
          <w:rFonts w:cs="Times New Roman"/>
        </w:rPr>
      </w:pPr>
      <w:r>
        <w:t xml:space="preserve">FIA_ATD.1.1 </w:t>
      </w:r>
      <w:r>
        <w:rPr>
          <w:rFonts w:hint="eastAsia"/>
        </w:rPr>
        <w:t>移动终端操作系统安全功能应维护人员用户和远程</w:t>
      </w:r>
      <w:r>
        <w:t>IT</w:t>
      </w:r>
      <w:r>
        <w:rPr>
          <w:rFonts w:hint="eastAsia"/>
        </w:rPr>
        <w:t>系统的下列安全属性：</w:t>
      </w:r>
    </w:p>
    <w:p>
      <w:pPr>
        <w:pStyle w:val="a16"/>
        <w:numPr>
          <w:ilvl w:val="0"/>
          <w:numId w:val="30"/>
        </w:numPr>
        <w:rPr>
          <w:rFonts w:cs="Times New Roman"/>
        </w:rPr>
      </w:pPr>
      <w:r>
        <w:rPr>
          <w:rFonts w:hint="eastAsia"/>
        </w:rPr>
        <w:t>用户标识；</w:t>
      </w:r>
    </w:p>
    <w:p>
      <w:pPr>
        <w:pStyle w:val="a16"/>
        <w:numPr>
          <w:ilvl w:val="0"/>
          <w:numId w:val="30"/>
        </w:numPr>
        <w:rPr>
          <w:rFonts w:cs="Times New Roman"/>
        </w:rPr>
      </w:pPr>
      <w:r>
        <w:rPr>
          <w:rFonts w:hint="eastAsia"/>
        </w:rPr>
        <w:t>鉴别数据；</w:t>
      </w:r>
    </w:p>
    <w:p>
      <w:pPr>
        <w:pStyle w:val="a16"/>
        <w:numPr>
          <w:ilvl w:val="0"/>
          <w:numId w:val="30"/>
        </w:numPr>
        <w:rPr>
          <w:rFonts w:cs="Times New Roman"/>
        </w:rPr>
      </w:pPr>
      <w:r>
        <w:rPr>
          <w:rFonts w:hint="eastAsia"/>
        </w:rPr>
        <w:t>安全相关角色；</w:t>
      </w:r>
    </w:p>
    <w:p>
      <w:pPr>
        <w:pStyle w:val="a16"/>
        <w:numPr>
          <w:ilvl w:val="0"/>
          <w:numId w:val="30"/>
        </w:numPr>
        <w:rPr>
          <w:rFonts w:cs="Times New Roman"/>
        </w:rPr>
      </w:pPr>
      <w:r>
        <w:rPr>
          <w:rFonts w:hint="eastAsia"/>
          <w:b/>
          <w:bCs/>
        </w:rPr>
        <w:t>【赋值：其它安全属性（如：远程用户访问所使用的逻辑或物理外部接口、逻辑或物理网络接口）】</w:t>
      </w:r>
      <w:r>
        <w:rPr>
          <w:rFonts w:hint="eastAsia"/>
        </w:rPr>
        <w:t>。</w:t>
      </w:r>
    </w:p>
    <w:p>
      <w:pPr>
        <w:pStyle w:val="a4"/>
        <w:spacing w:before="156" w:after="156"/>
        <w:rPr>
          <w:rFonts w:cs="Times New Roman"/>
        </w:rPr>
      </w:pPr>
      <w:bookmarkStart w:id="263" w:name="_Toc320805106"/>
      <w:r>
        <w:rPr>
          <w:rFonts w:hint="eastAsia"/>
        </w:rPr>
        <w:t>用户属性定义（</w:t>
      </w:r>
      <w:r>
        <w:t>AP</w:t>
      </w:r>
      <w:r>
        <w:rPr>
          <w:rFonts w:hint="eastAsia"/>
        </w:rPr>
        <w:t>）（</w:t>
      </w:r>
      <w:r>
        <w:t>FIA_ATD.1</w:t>
      </w:r>
      <w:r>
        <w:rPr>
          <w:rFonts w:hint="eastAsia"/>
        </w:rPr>
        <w:t>）</w:t>
      </w:r>
      <w:bookmarkEnd w:id="263"/>
      <w:r>
        <w:rPr>
          <w:rFonts w:hint="eastAsia"/>
        </w:rPr>
        <w:t>（</w:t>
      </w:r>
      <w:r>
        <w:t>AP:</w:t>
      </w:r>
      <w:r>
        <w:rPr>
          <w:rFonts w:hint="eastAsia"/>
        </w:rPr>
        <w:t>应用软件）</w:t>
      </w:r>
    </w:p>
    <w:p>
      <w:pPr>
        <w:pStyle w:val="a"/>
        <w:ind w:firstLine="31680"/>
        <w:rPr>
          <w:rFonts w:cs="Times New Roman"/>
        </w:rPr>
      </w:pPr>
      <w:r>
        <w:rPr>
          <w:rFonts w:hint="eastAsia"/>
        </w:rPr>
        <w:t>从属于：无。</w:t>
      </w:r>
    </w:p>
    <w:p>
      <w:pPr>
        <w:pStyle w:val="a"/>
        <w:ind w:firstLine="31680"/>
        <w:rPr>
          <w:rFonts w:cs="Times New Roman"/>
        </w:rPr>
      </w:pPr>
      <w:r>
        <w:rPr>
          <w:rFonts w:hint="eastAsia"/>
        </w:rPr>
        <w:t>依赖于：无。</w:t>
      </w:r>
    </w:p>
    <w:p>
      <w:pPr>
        <w:pStyle w:val="a"/>
        <w:ind w:firstLine="31680"/>
        <w:rPr>
          <w:rFonts w:cs="Times New Roman"/>
        </w:rPr>
      </w:pPr>
    </w:p>
    <w:p>
      <w:pPr>
        <w:pStyle w:val="a"/>
        <w:ind w:firstLine="31680"/>
        <w:rPr>
          <w:rFonts w:cs="Times New Roman"/>
        </w:rPr>
      </w:pPr>
      <w:r>
        <w:t xml:space="preserve">FIA_ATD.1.1 </w:t>
      </w:r>
      <w:r>
        <w:rPr>
          <w:rFonts w:hint="eastAsia"/>
        </w:rPr>
        <w:t>移动终端操作系统安全功能应维护应用软件的下列安全属性：</w:t>
      </w:r>
    </w:p>
    <w:p>
      <w:pPr>
        <w:pStyle w:val="a16"/>
        <w:numPr>
          <w:ilvl w:val="0"/>
          <w:numId w:val="31"/>
        </w:numPr>
        <w:rPr>
          <w:rFonts w:cs="Times New Roman"/>
        </w:rPr>
      </w:pPr>
      <w:r>
        <w:rPr>
          <w:rFonts w:hint="eastAsia"/>
        </w:rPr>
        <w:t>应用标识；</w:t>
      </w:r>
    </w:p>
    <w:p>
      <w:pPr>
        <w:pStyle w:val="a16"/>
        <w:numPr>
          <w:ilvl w:val="0"/>
          <w:numId w:val="31"/>
        </w:numPr>
        <w:rPr>
          <w:rFonts w:cs="Times New Roman"/>
        </w:rPr>
      </w:pPr>
      <w:r>
        <w:rPr>
          <w:rFonts w:hint="eastAsia"/>
        </w:rPr>
        <w:t>组标识；</w:t>
      </w:r>
    </w:p>
    <w:p>
      <w:pPr>
        <w:pStyle w:val="a16"/>
        <w:numPr>
          <w:ilvl w:val="0"/>
          <w:numId w:val="31"/>
        </w:numPr>
        <w:rPr>
          <w:rFonts w:cs="Times New Roman"/>
        </w:rPr>
      </w:pPr>
      <w:r>
        <w:rPr>
          <w:rFonts w:hint="eastAsia"/>
        </w:rPr>
        <w:t>完整性校验数据；</w:t>
      </w:r>
    </w:p>
    <w:p>
      <w:pPr>
        <w:pStyle w:val="a16"/>
        <w:numPr>
          <w:ilvl w:val="0"/>
          <w:numId w:val="31"/>
        </w:numPr>
        <w:rPr>
          <w:rFonts w:cs="Times New Roman"/>
        </w:rPr>
      </w:pPr>
      <w:r>
        <w:rPr>
          <w:rFonts w:hint="eastAsia"/>
        </w:rPr>
        <w:t>访问能力参数</w:t>
      </w:r>
      <w:r>
        <w:t xml:space="preserve"> </w:t>
      </w:r>
      <w:r>
        <w:rPr>
          <w:rFonts w:hint="eastAsia"/>
        </w:rPr>
        <w:t>；</w:t>
      </w:r>
    </w:p>
    <w:p>
      <w:pPr>
        <w:pStyle w:val="a16"/>
        <w:numPr>
          <w:ilvl w:val="0"/>
          <w:numId w:val="31"/>
        </w:numPr>
        <w:rPr>
          <w:rFonts w:cs="Times New Roman"/>
        </w:rPr>
      </w:pPr>
      <w:r>
        <w:rPr>
          <w:rFonts w:hint="eastAsia"/>
          <w:b/>
          <w:bCs/>
        </w:rPr>
        <w:t>【赋值：其它安全属性】</w:t>
      </w:r>
      <w:r>
        <w:rPr>
          <w:rFonts w:hint="eastAsia"/>
        </w:rPr>
        <w:t>。</w:t>
      </w:r>
    </w:p>
    <w:p>
      <w:pPr>
        <w:pStyle w:val="a4"/>
        <w:spacing w:before="156" w:after="156"/>
        <w:rPr>
          <w:rFonts w:cs="Times New Roman"/>
        </w:rPr>
      </w:pPr>
      <w:bookmarkStart w:id="264" w:name="_Toc320805107"/>
      <w:r>
        <w:rPr>
          <w:rFonts w:hint="eastAsia"/>
        </w:rPr>
        <w:t>秘密的规范（</w:t>
      </w:r>
      <w:r>
        <w:t>FIA_SOS.1</w:t>
      </w:r>
      <w:r>
        <w:rPr>
          <w:rFonts w:hint="eastAsia"/>
        </w:rPr>
        <w:t>）</w:t>
      </w:r>
      <w:bookmarkEnd w:id="264"/>
    </w:p>
    <w:p>
      <w:pPr>
        <w:pStyle w:val="a"/>
        <w:ind w:firstLine="31680"/>
        <w:rPr>
          <w:rFonts w:cs="Times New Roman"/>
        </w:rPr>
      </w:pPr>
      <w:r>
        <w:rPr>
          <w:rFonts w:hint="eastAsia"/>
        </w:rPr>
        <w:t>从属于：无。</w:t>
      </w:r>
    </w:p>
    <w:p>
      <w:pPr>
        <w:pStyle w:val="a"/>
        <w:ind w:firstLine="31680"/>
        <w:rPr>
          <w:rFonts w:cs="Times New Roman"/>
        </w:rPr>
      </w:pPr>
      <w:r>
        <w:rPr>
          <w:rFonts w:hint="eastAsia"/>
        </w:rPr>
        <w:t>依赖于：无。</w:t>
      </w:r>
    </w:p>
    <w:p>
      <w:pPr>
        <w:pStyle w:val="a"/>
        <w:ind w:firstLine="31680"/>
        <w:rPr>
          <w:rFonts w:cs="Times New Roman"/>
        </w:rPr>
      </w:pPr>
    </w:p>
    <w:p>
      <w:pPr>
        <w:pStyle w:val="a"/>
        <w:ind w:firstLine="31680"/>
        <w:rPr>
          <w:rFonts w:cs="Times New Roman"/>
        </w:rPr>
      </w:pPr>
      <w:r>
        <w:t xml:space="preserve">FIA_SOS.1.1 </w:t>
      </w:r>
      <w:r>
        <w:rPr>
          <w:rFonts w:hint="eastAsia"/>
        </w:rPr>
        <w:t>移动终端操作系统的安全功能应针对不同的秘密形式，提供机制以验证秘密是否满足相应的质量度量：</w:t>
      </w:r>
    </w:p>
    <w:p>
      <w:pPr>
        <w:pStyle w:val="a"/>
        <w:ind w:firstLine="31680"/>
        <w:rPr>
          <w:rFonts w:cs="Times New Roman"/>
          <w:b/>
          <w:bCs/>
        </w:rPr>
      </w:pPr>
      <w:r>
        <w:rPr>
          <w:rFonts w:hint="eastAsia"/>
          <w:b/>
          <w:bCs/>
        </w:rPr>
        <w:t>【选择：</w:t>
      </w:r>
    </w:p>
    <w:p>
      <w:pPr>
        <w:pStyle w:val="a16"/>
        <w:numPr>
          <w:ilvl w:val="0"/>
          <w:numId w:val="32"/>
        </w:numPr>
        <w:rPr>
          <w:b/>
          <w:bCs/>
        </w:rPr>
      </w:pPr>
      <w:r>
        <w:rPr>
          <w:rFonts w:hint="eastAsia"/>
          <w:b/>
          <w:bCs/>
        </w:rPr>
        <w:t>口令形式：字符数应不少于【赋值：正整数】，并且满足【赋值：数字、字母、符号的组合规则】；</w:t>
      </w:r>
      <w:r>
        <w:rPr>
          <w:b/>
          <w:bCs/>
        </w:rPr>
        <w:t xml:space="preserve"> </w:t>
      </w:r>
    </w:p>
    <w:p>
      <w:pPr>
        <w:pStyle w:val="a16"/>
        <w:numPr>
          <w:ilvl w:val="0"/>
          <w:numId w:val="32"/>
        </w:numPr>
        <w:rPr>
          <w:b/>
          <w:bCs/>
        </w:rPr>
      </w:pPr>
      <w:r>
        <w:rPr>
          <w:rFonts w:hint="eastAsia"/>
          <w:b/>
          <w:bCs/>
        </w:rPr>
        <w:t>图形方式：输入的像素个数不少于【赋值：正整数】；</w:t>
      </w:r>
      <w:r>
        <w:rPr>
          <w:b/>
          <w:bCs/>
        </w:rPr>
        <w:t xml:space="preserve"> </w:t>
      </w:r>
    </w:p>
    <w:p>
      <w:pPr>
        <w:pStyle w:val="a16"/>
        <w:numPr>
          <w:ilvl w:val="0"/>
          <w:numId w:val="32"/>
        </w:numPr>
        <w:rPr>
          <w:rFonts w:cs="Times New Roman"/>
          <w:b/>
          <w:bCs/>
        </w:rPr>
      </w:pPr>
      <w:r>
        <w:rPr>
          <w:b/>
          <w:bCs/>
        </w:rPr>
        <w:t xml:space="preserve">PIN </w:t>
      </w:r>
      <w:r>
        <w:rPr>
          <w:rFonts w:hint="eastAsia"/>
          <w:b/>
          <w:bCs/>
        </w:rPr>
        <w:t>码方式：输入的数字个数不少于</w:t>
      </w:r>
      <w:r>
        <w:rPr>
          <w:b/>
          <w:bCs/>
        </w:rPr>
        <w:t>4</w:t>
      </w:r>
      <w:r>
        <w:rPr>
          <w:rFonts w:hint="eastAsia"/>
          <w:b/>
          <w:bCs/>
        </w:rPr>
        <w:t>；</w:t>
      </w:r>
    </w:p>
    <w:p>
      <w:pPr>
        <w:pStyle w:val="a16"/>
        <w:numPr>
          <w:ilvl w:val="0"/>
          <w:numId w:val="32"/>
        </w:numPr>
        <w:rPr>
          <w:rFonts w:cs="Times New Roman"/>
          <w:b/>
          <w:bCs/>
        </w:rPr>
      </w:pPr>
      <w:r>
        <w:rPr>
          <w:rFonts w:hint="eastAsia"/>
          <w:b/>
          <w:bCs/>
        </w:rPr>
        <w:t>其它秘密形式：【赋值：其他的验证方式】。</w:t>
      </w:r>
    </w:p>
    <w:p>
      <w:pPr>
        <w:pStyle w:val="a"/>
        <w:ind w:firstLine="31680"/>
        <w:rPr>
          <w:rFonts w:cs="Times New Roman"/>
        </w:rPr>
      </w:pPr>
      <w:r>
        <w:rPr>
          <w:rFonts w:hint="eastAsia"/>
          <w:b/>
          <w:bCs/>
        </w:rPr>
        <w:t>】</w:t>
      </w:r>
      <w:r>
        <w:rPr>
          <w:rFonts w:cs="Times New Roman"/>
        </w:rPr>
        <w:br/>
      </w:r>
      <w:r>
        <w:rPr>
          <w:rFonts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https://d.book118.com/307002045100006042</w:t>
        </w:r>
      </w:hyperlink>
    </w:p>
    <w:p>
      <w:pPr>
        <w:pStyle w:val="a"/>
        <w:ind w:firstLine="31680"/>
        <w:rPr>
          <w:rFonts w:cs="Times New Roman"/>
        </w:rPr>
      </w:pPr>
    </w:p>
    <w:sectPr>
      <w:headerReference w:type="default" r:id="rId45"/>
      <w:footerReference w:type="default" r:id="rId46"/>
      <w:type w:val="nextPage"/>
      <w:pgSz w:w="11906" w:h="16838"/>
      <w:pgMar w:top="567" w:right="1134" w:bottom="1134" w:left="1418" w:header="1418" w:footer="1134" w:gutter="0"/>
      <w:pgNumType w:start="17"/>
      <w:cols w:num="1" w:space="425"/>
      <w:formProt w:val="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16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5</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6</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8</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9</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10</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11</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12</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13</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14</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15</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16</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rPr>
        <w:rFonts w:cs="Times New Roman"/>
      </w:rPr>
    </w:pPr>
    <w:r>
      <w:fldChar w:fldCharType="begin"/>
    </w:r>
    <w:r>
      <w:instrText xml:space="preserve"> PAGE  \* MERGEFORMAT </w:instrText>
    </w:r>
    <w:r>
      <w:fldChar w:fldCharType="separate"/>
    </w:r>
    <w:r>
      <w:t>17</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t>GB/T XXXXX</w:t>
    </w:r>
    <w:r>
      <w:rPr>
        <w:rFonts w:cs="Times New Roman"/>
      </w:rP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D516B5"/>
    <w:multiLevelType w:val="multilevel"/>
    <w:tmpl w:val="07D516B5"/>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
    <w:nsid w:val="0A2C675F"/>
    <w:multiLevelType w:val="multilevel"/>
    <w:tmpl w:val="0A2C675F"/>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
    <w:nsid w:val="0BEA414B"/>
    <w:multiLevelType w:val="multilevel"/>
    <w:tmpl w:val="0BEA414B"/>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
    <w:nsid w:val="0C541627"/>
    <w:multiLevelType w:val="multilevel"/>
    <w:tmpl w:val="0C541627"/>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4">
    <w:nsid w:val="0C817146"/>
    <w:multiLevelType w:val="multilevel"/>
    <w:tmpl w:val="0C817146"/>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5">
    <w:nsid w:val="0DA931EB"/>
    <w:multiLevelType w:val="multilevel"/>
    <w:tmpl w:val="0DA931EB"/>
    <w:lvl w:ilvl="0">
      <w:start w:val="1"/>
      <w:numFmt w:val="lowerLetter"/>
      <w:pStyle w:val="a16"/>
      <w:lvlText w:val="%1)"/>
      <w:lvlJc w:val="left"/>
      <w:pPr>
        <w:tabs>
          <w:tab w:val="left" w:pos="840"/>
        </w:tabs>
        <w:ind w:left="839" w:hanging="419"/>
      </w:pPr>
      <w:rPr>
        <w:rFonts w:ascii="宋体" w:eastAsia="宋体" w:hint="eastAsia"/>
        <w:b w:val="0"/>
        <w:bCs w:val="0"/>
        <w:i w:val="0"/>
        <w:iCs w:val="0"/>
        <w:sz w:val="21"/>
        <w:szCs w:val="21"/>
      </w:rPr>
    </w:lvl>
    <w:lvl w:ilvl="1">
      <w:start w:val="1"/>
      <w:numFmt w:val="decimal"/>
      <w:pStyle w:val="a11"/>
      <w:lvlText w:val="%2)"/>
      <w:lvlJc w:val="left"/>
      <w:pPr>
        <w:tabs>
          <w:tab w:val="left" w:pos="1260"/>
        </w:tabs>
        <w:ind w:left="1259" w:hanging="419"/>
      </w:pPr>
      <w:rPr>
        <w:rFonts w:hint="eastAsia"/>
      </w:rPr>
    </w:lvl>
    <w:lvl w:ilvl="2">
      <w:start w:val="1"/>
      <w:numFmt w:val="decimal"/>
      <w:pStyle w:val="a18"/>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nsid w:val="1B136E34"/>
    <w:multiLevelType w:val="multilevel"/>
    <w:tmpl w:val="1B136E34"/>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
    <w:nsid w:val="1DBF583A"/>
    <w:multiLevelType w:val="multilevel"/>
    <w:tmpl w:val="1DBF583A"/>
    <w:lvl w:ilvl="0">
      <w:start w:val="1"/>
      <w:numFmt w:val="decimal"/>
      <w:pStyle w:val="a22"/>
      <w:suff w:val="nothing"/>
      <w:lvlText w:val="注%1："/>
      <w:lvlJc w:val="left"/>
      <w:pPr>
        <w:ind w:left="811" w:hanging="448"/>
      </w:pPr>
      <w:rPr>
        <w:rFonts w:ascii="黑体" w:eastAsia="黑体" w:hint="eastAsia"/>
        <w:b w:val="0"/>
        <w:bCs w:val="0"/>
        <w:i w:val="0"/>
        <w:iCs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8">
    <w:nsid w:val="1FC91163"/>
    <w:multiLevelType w:val="multilevel"/>
    <w:tmpl w:val="1FC91163"/>
    <w:lvl w:ilvl="0">
      <w:start w:val="1"/>
      <w:numFmt w:val="decimal"/>
      <w:pStyle w:val="a3"/>
      <w:suff w:val="nothing"/>
      <w:lvlText w:val="%1　"/>
      <w:lvlJc w:val="left"/>
      <w:rPr>
        <w:rFonts w:ascii="黑体" w:eastAsia="黑体" w:hAnsi="Times New Roman" w:hint="eastAsia"/>
        <w:b w:val="0"/>
        <w:bCs w:val="0"/>
        <w:i w:val="0"/>
        <w:iCs w:val="0"/>
        <w:sz w:val="21"/>
        <w:szCs w:val="21"/>
      </w:rPr>
    </w:lvl>
    <w:lvl w:ilvl="1">
      <w:start w:val="1"/>
      <w:numFmt w:val="decimal"/>
      <w:pStyle w:val="a0"/>
      <w:suff w:val="nothing"/>
      <w:lvlText w:val="%1.%2　"/>
      <w:lvlJc w:val="left"/>
      <w:rPr>
        <w:rFonts w:ascii="黑体" w:eastAsia="黑体" w:hAnsi="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4"/>
      <w:suff w:val="nothing"/>
      <w:lvlText w:val="%1.%2.%3　"/>
      <w:lvlJc w:val="left"/>
      <w:pPr>
        <w:ind w:left="426"/>
      </w:pPr>
      <w:rPr>
        <w:rFonts w:ascii="黑体" w:eastAsia="黑体" w:hAnsi="Times New Roman" w:hint="eastAsia"/>
        <w:b w:val="0"/>
        <w:bCs w:val="0"/>
        <w:i w:val="0"/>
        <w:iCs w:val="0"/>
        <w:sz w:val="21"/>
        <w:szCs w:val="21"/>
      </w:rPr>
    </w:lvl>
    <w:lvl w:ilvl="3">
      <w:start w:val="1"/>
      <w:numFmt w:val="decimal"/>
      <w:pStyle w:val="a8"/>
      <w:suff w:val="nothing"/>
      <w:lvlText w:val="%1.%2.%3.%4　"/>
      <w:lvlJc w:val="left"/>
      <w:rPr>
        <w:rFonts w:ascii="黑体" w:eastAsia="黑体" w:hAnsi="Times New Roman" w:hint="eastAsia"/>
        <w:b w:val="0"/>
        <w:bCs w:val="0"/>
        <w:i w:val="0"/>
        <w:iCs w:val="0"/>
        <w:sz w:val="21"/>
        <w:szCs w:val="21"/>
      </w:rPr>
    </w:lvl>
    <w:lvl w:ilvl="4">
      <w:start w:val="1"/>
      <w:numFmt w:val="decimal"/>
      <w:pStyle w:val="a12"/>
      <w:suff w:val="nothing"/>
      <w:lvlText w:val="%1.%2.%3.%4.%5　"/>
      <w:lvlJc w:val="left"/>
      <w:rPr>
        <w:rFonts w:ascii="黑体" w:eastAsia="黑体" w:hAnsi="Times New Roman" w:hint="eastAsia"/>
        <w:b w:val="0"/>
        <w:bCs w:val="0"/>
        <w:i w:val="0"/>
        <w:iCs w:val="0"/>
        <w:sz w:val="21"/>
        <w:szCs w:val="21"/>
      </w:rPr>
    </w:lvl>
    <w:lvl w:ilvl="5">
      <w:start w:val="1"/>
      <w:numFmt w:val="decimal"/>
      <w:pStyle w:val="a13"/>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nsid w:val="21AB5253"/>
    <w:multiLevelType w:val="multilevel"/>
    <w:tmpl w:val="21AB5253"/>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0">
    <w:nsid w:val="2A8F7113"/>
    <w:multiLevelType w:val="multilevel"/>
    <w:tmpl w:val="2A8F7113"/>
    <w:lvl w:ilvl="0">
      <w:start w:val="1"/>
      <w:numFmt w:val="upperLetter"/>
      <w:pStyle w:val="a53"/>
      <w:suff w:val="space"/>
      <w:lvlText w:val="%1"/>
      <w:lvlJc w:val="left"/>
      <w:pPr>
        <w:ind w:left="623" w:hanging="425"/>
      </w:pPr>
      <w:rPr>
        <w:rFonts w:hint="eastAsia"/>
      </w:rPr>
    </w:lvl>
    <w:lvl w:ilvl="1">
      <w:start w:val="1"/>
      <w:numFmt w:val="decimal"/>
      <w:pStyle w:val="a54"/>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1">
    <w:nsid w:val="2AE679C2"/>
    <w:multiLevelType w:val="multilevel"/>
    <w:tmpl w:val="2AE679C2"/>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2">
    <w:nsid w:val="2C5917C3"/>
    <w:multiLevelType w:val="multilevel"/>
    <w:tmpl w:val="2C5917C3"/>
    <w:lvl w:ilvl="0">
      <w:start w:val="1"/>
      <w:numFmt w:val="none"/>
      <w:pStyle w:val="a5"/>
      <w:suff w:val="nothing"/>
      <w:lvlText w:val="%1——"/>
      <w:lvlJc w:val="left"/>
      <w:pPr>
        <w:ind w:left="833" w:hanging="408"/>
      </w:pPr>
      <w:rPr>
        <w:rFonts w:hint="eastAsia"/>
      </w:rPr>
    </w:lvl>
    <w:lvl w:ilvl="1">
      <w:start w:val="1"/>
      <w:numFmt w:val="bullet"/>
      <w:pStyle w:val="a6"/>
      <w:lvlText w:val=""/>
      <w:lvlJc w:val="left"/>
      <w:pPr>
        <w:tabs>
          <w:tab w:val="left" w:pos="760"/>
        </w:tabs>
        <w:ind w:left="1264" w:hanging="413"/>
      </w:pPr>
      <w:rPr>
        <w:rFonts w:ascii="Symbol" w:hAnsi="Symbol" w:hint="default"/>
        <w:color w:val="auto"/>
      </w:rPr>
    </w:lvl>
    <w:lvl w:ilvl="2">
      <w:start w:val="1"/>
      <w:numFmt w:val="bullet"/>
      <w:pStyle w:val="a17"/>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3">
    <w:nsid w:val="2F03488B"/>
    <w:multiLevelType w:val="multilevel"/>
    <w:tmpl w:val="2F03488B"/>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nsid w:val="30D17361"/>
    <w:multiLevelType w:val="multilevel"/>
    <w:tmpl w:val="30D17361"/>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nsid w:val="359C6F3A"/>
    <w:multiLevelType w:val="multilevel"/>
    <w:tmpl w:val="359C6F3A"/>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6">
    <w:nsid w:val="386A6A25"/>
    <w:multiLevelType w:val="multilevel"/>
    <w:tmpl w:val="386A6A25"/>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7">
    <w:nsid w:val="3D733618"/>
    <w:multiLevelType w:val="multilevel"/>
    <w:tmpl w:val="3D733618"/>
    <w:lvl w:ilvl="0">
      <w:start w:val="1"/>
      <w:numFmt w:val="decimal"/>
      <w:pStyle w:val="FootnoteText"/>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8">
    <w:nsid w:val="427546ED"/>
    <w:multiLevelType w:val="multilevel"/>
    <w:tmpl w:val="427546ED"/>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9">
    <w:nsid w:val="4BB94786"/>
    <w:multiLevelType w:val="multilevel"/>
    <w:tmpl w:val="4BB94786"/>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0">
    <w:nsid w:val="514A5AAC"/>
    <w:multiLevelType w:val="multilevel"/>
    <w:tmpl w:val="514A5AAC"/>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1">
    <w:nsid w:val="52D74225"/>
    <w:multiLevelType w:val="multilevel"/>
    <w:tmpl w:val="52D74225"/>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2">
    <w:nsid w:val="57A524AE"/>
    <w:multiLevelType w:val="multilevel"/>
    <w:tmpl w:val="57A524AE"/>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3">
    <w:nsid w:val="60B55DC2"/>
    <w:multiLevelType w:val="multilevel"/>
    <w:tmpl w:val="60B55DC2"/>
    <w:lvl w:ilvl="0">
      <w:start w:val="1"/>
      <w:numFmt w:val="upperLetter"/>
      <w:pStyle w:val="a42"/>
      <w:lvlText w:val="%1"/>
      <w:lvlJc w:val="left"/>
      <w:pPr>
        <w:tabs>
          <w:tab w:val="left" w:pos="0"/>
        </w:tabs>
        <w:ind w:hanging="425"/>
      </w:pPr>
      <w:rPr>
        <w:rFonts w:hint="eastAsia"/>
      </w:rPr>
    </w:lvl>
    <w:lvl w:ilvl="1">
      <w:start w:val="1"/>
      <w:numFmt w:val="decimal"/>
      <w:pStyle w:val="a43"/>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4">
    <w:nsid w:val="61A94ADF"/>
    <w:multiLevelType w:val="multilevel"/>
    <w:tmpl w:val="61A94ADF"/>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5">
    <w:nsid w:val="629B1C03"/>
    <w:multiLevelType w:val="multilevel"/>
    <w:tmpl w:val="629B1C03"/>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6">
    <w:nsid w:val="657D3FBC"/>
    <w:multiLevelType w:val="multilevel"/>
    <w:tmpl w:val="657D3FBC"/>
    <w:lvl w:ilvl="0">
      <w:start w:val="1"/>
      <w:numFmt w:val="upperLetter"/>
      <w:pStyle w:val="a40"/>
      <w:suff w:val="nothing"/>
      <w:lvlText w:val="附　录　%1"/>
      <w:lvlJc w:val="left"/>
      <w:rPr>
        <w:rFonts w:ascii="黑体" w:eastAsia="黑体" w:hAnsi="Times New Roman" w:hint="eastAsia"/>
        <w:b w:val="0"/>
        <w:bCs w:val="0"/>
        <w:i w:val="0"/>
        <w:iCs w:val="0"/>
        <w:spacing w:val="0"/>
        <w:w w:val="100"/>
        <w:sz w:val="21"/>
        <w:szCs w:val="21"/>
      </w:rPr>
    </w:lvl>
    <w:lvl w:ilvl="1">
      <w:start w:val="1"/>
      <w:numFmt w:val="decimal"/>
      <w:pStyle w:val="a57"/>
      <w:suff w:val="nothing"/>
      <w:lvlText w:val="%1.%2　"/>
      <w:lvlJc w:val="left"/>
      <w:rPr>
        <w:rFonts w:ascii="黑体" w:eastAsia="黑体" w:hAnsi="Times New Roman" w:hint="eastAsia"/>
        <w:b w:val="0"/>
        <w:bCs w:val="0"/>
        <w:i w:val="0"/>
        <w:iCs w:val="0"/>
        <w:snapToGrid/>
        <w:spacing w:val="0"/>
        <w:w w:val="100"/>
        <w:kern w:val="21"/>
        <w:sz w:val="21"/>
        <w:szCs w:val="21"/>
      </w:rPr>
    </w:lvl>
    <w:lvl w:ilvl="2">
      <w:start w:val="1"/>
      <w:numFmt w:val="decimal"/>
      <w:pStyle w:val="a58"/>
      <w:suff w:val="nothing"/>
      <w:lvlText w:val="%1.%2.%3　"/>
      <w:lvlJc w:val="left"/>
      <w:rPr>
        <w:rFonts w:ascii="黑体" w:eastAsia="黑体" w:hAnsi="Times New Roman" w:hint="eastAsia"/>
        <w:b w:val="0"/>
        <w:bCs w:val="0"/>
        <w:i w:val="0"/>
        <w:iCs w:val="0"/>
        <w:sz w:val="21"/>
        <w:szCs w:val="21"/>
      </w:rPr>
    </w:lvl>
    <w:lvl w:ilvl="3">
      <w:start w:val="1"/>
      <w:numFmt w:val="decimal"/>
      <w:pStyle w:val="a44"/>
      <w:suff w:val="nothing"/>
      <w:lvlText w:val="%1.%2.%3.%4　"/>
      <w:lvlJc w:val="left"/>
      <w:rPr>
        <w:rFonts w:ascii="黑体" w:eastAsia="黑体" w:hAnsi="Times New Roman" w:hint="eastAsia"/>
        <w:b w:val="0"/>
        <w:bCs w:val="0"/>
        <w:i w:val="0"/>
        <w:iCs w:val="0"/>
        <w:sz w:val="21"/>
        <w:szCs w:val="21"/>
      </w:rPr>
    </w:lvl>
    <w:lvl w:ilvl="4">
      <w:start w:val="1"/>
      <w:numFmt w:val="decimal"/>
      <w:pStyle w:val="a48"/>
      <w:suff w:val="nothing"/>
      <w:lvlText w:val="%1.%2.%3.%4.%5　"/>
      <w:lvlJc w:val="left"/>
      <w:rPr>
        <w:rFonts w:ascii="黑体" w:eastAsia="黑体" w:hAnsi="Times New Roman" w:hint="eastAsia"/>
        <w:b w:val="0"/>
        <w:bCs w:val="0"/>
        <w:i w:val="0"/>
        <w:iCs w:val="0"/>
        <w:sz w:val="21"/>
        <w:szCs w:val="21"/>
      </w:rPr>
    </w:lvl>
    <w:lvl w:ilvl="5">
      <w:start w:val="1"/>
      <w:numFmt w:val="decimal"/>
      <w:pStyle w:val="a51"/>
      <w:suff w:val="nothing"/>
      <w:lvlText w:val="%1.%2.%3.%4.%5.%6　"/>
      <w:lvlJc w:val="left"/>
      <w:rPr>
        <w:rFonts w:ascii="黑体" w:eastAsia="黑体" w:hAnsi="Times New Roman" w:hint="eastAsia"/>
        <w:b w:val="0"/>
        <w:bCs w:val="0"/>
        <w:i w:val="0"/>
        <w:iCs w:val="0"/>
        <w:sz w:val="21"/>
        <w:szCs w:val="21"/>
      </w:rPr>
    </w:lvl>
    <w:lvl w:ilvl="6">
      <w:start w:val="1"/>
      <w:numFmt w:val="decimal"/>
      <w:pStyle w:val="a55"/>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7">
    <w:nsid w:val="689017E2"/>
    <w:multiLevelType w:val="multilevel"/>
    <w:tmpl w:val="689017E2"/>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8">
    <w:nsid w:val="69070F17"/>
    <w:multiLevelType w:val="multilevel"/>
    <w:tmpl w:val="69070F17"/>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9">
    <w:nsid w:val="6A87119C"/>
    <w:multiLevelType w:val="multilevel"/>
    <w:tmpl w:val="6A87119C"/>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0">
    <w:nsid w:val="6D2E3DFD"/>
    <w:multiLevelType w:val="multilevel"/>
    <w:tmpl w:val="6D2E3DFD"/>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1">
    <w:nsid w:val="6D6C07CD"/>
    <w:multiLevelType w:val="multilevel"/>
    <w:tmpl w:val="6D6C07CD"/>
    <w:lvl w:ilvl="0">
      <w:start w:val="1"/>
      <w:numFmt w:val="lowerLetter"/>
      <w:pStyle w:val="a60"/>
      <w:lvlText w:val="%1)"/>
      <w:lvlJc w:val="left"/>
      <w:pPr>
        <w:tabs>
          <w:tab w:val="left" w:pos="839"/>
        </w:tabs>
        <w:ind w:left="839" w:hanging="419"/>
      </w:pPr>
      <w:rPr>
        <w:rFonts w:ascii="宋体" w:eastAsia="宋体" w:hint="eastAsia"/>
        <w:b w:val="0"/>
        <w:bCs w:val="0"/>
        <w:i w:val="0"/>
        <w:iCs w:val="0"/>
        <w:sz w:val="21"/>
        <w:szCs w:val="21"/>
      </w:rPr>
    </w:lvl>
    <w:lvl w:ilvl="1">
      <w:start w:val="1"/>
      <w:numFmt w:val="decimal"/>
      <w:pStyle w:val="a50"/>
      <w:lvlText w:val="%2)"/>
      <w:lvlJc w:val="left"/>
      <w:pPr>
        <w:tabs>
          <w:tab w:val="left" w:pos="840"/>
        </w:tabs>
        <w:ind w:left="839" w:hanging="419"/>
      </w:pPr>
      <w:rPr>
        <w:rFonts w:ascii="宋体" w:eastAsia="宋体" w:hint="eastAsia"/>
        <w:b w:val="0"/>
        <w:bCs w:val="0"/>
        <w:i w:val="0"/>
        <w:iCs w:val="0"/>
        <w:sz w:val="21"/>
        <w:szCs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32">
    <w:nsid w:val="718F56DC"/>
    <w:multiLevelType w:val="multilevel"/>
    <w:tmpl w:val="718F56DC"/>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3">
    <w:nsid w:val="7608631F"/>
    <w:multiLevelType w:val="multilevel"/>
    <w:tmpl w:val="7608631F"/>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4">
    <w:nsid w:val="792C6056"/>
    <w:multiLevelType w:val="multilevel"/>
    <w:tmpl w:val="792C6056"/>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5">
    <w:nsid w:val="7F89019F"/>
    <w:multiLevelType w:val="multilevel"/>
    <w:tmpl w:val="7F89019F"/>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6">
    <w:nsid w:val="7FF11B37"/>
    <w:multiLevelType w:val="multilevel"/>
    <w:tmpl w:val="7FF11B37"/>
    <w:lvl w:ilvl="0">
      <w:start w:val="1"/>
      <w:numFmt w:val="lowerLetter"/>
      <w:lvlText w:val="%1)"/>
      <w:lvlJc w:val="left"/>
      <w:pPr>
        <w:tabs>
          <w:tab w:val="left" w:pos="840"/>
        </w:tabs>
        <w:ind w:left="839" w:hanging="419"/>
      </w:pPr>
      <w:rPr>
        <w:rFonts w:ascii="宋体" w:eastAsia="宋体" w:hint="eastAsia"/>
        <w:b w:val="0"/>
        <w:bCs w:val="0"/>
        <w:i w:val="0"/>
        <w:iCs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abstractNumId w:val="17"/>
  </w:num>
  <w:num w:numId="2">
    <w:abstractNumId w:val="8"/>
  </w:num>
  <w:num w:numId="3">
    <w:abstractNumId w:val="12"/>
  </w:num>
  <w:num w:numId="4">
    <w:abstractNumId w:val="5"/>
  </w:num>
  <w:num w:numId="5">
    <w:abstractNumId w:val="7"/>
  </w:num>
  <w:num w:numId="6">
    <w:abstractNumId w:val="26"/>
  </w:num>
  <w:num w:numId="7">
    <w:abstractNumId w:val="23"/>
  </w:num>
  <w:num w:numId="8">
    <w:abstractNumId w:val="31"/>
  </w:num>
  <w:num w:numId="9">
    <w:abstractNumId w:val="10"/>
  </w:num>
  <w:num w:numId="10">
    <w:abstractNumId w:val="33"/>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num>
  <w:num w:numId="39">
    <w:abstractNumId w:val="35"/>
  </w:num>
  <w:num w:numId="40">
    <w:abstractNumId w:val="34"/>
  </w:num>
  <w:num w:numId="41">
    <w:abstractNumId w:val="20"/>
  </w:num>
  <w:num w:numId="42">
    <w:abstractNumId w:val="29"/>
  </w:num>
  <w:num w:numId="43">
    <w:abstractNumId w:val="30"/>
  </w:num>
  <w:num w:numId="44">
    <w:abstractNumId w:val="25"/>
  </w:num>
  <w:num w:numId="45">
    <w:abstractNumId w:val="4"/>
  </w:num>
  <w:num w:numId="4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removePersonalInformation/>
  <w:embedSystemFonts/>
  <w:bordersDoNotSurroundHeader/>
  <w:bordersDoNotSurroundFooter/>
  <w:documentProtection w:edit="forms" w:enforcement="1"/>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185F"/>
    <w:rsid w:val="0000586F"/>
    <w:rsid w:val="00013D86"/>
    <w:rsid w:val="00013E02"/>
    <w:rsid w:val="00014F6A"/>
    <w:rsid w:val="00017024"/>
    <w:rsid w:val="0002143C"/>
    <w:rsid w:val="00025A65"/>
    <w:rsid w:val="00026C31"/>
    <w:rsid w:val="00027280"/>
    <w:rsid w:val="000320A7"/>
    <w:rsid w:val="00035925"/>
    <w:rsid w:val="00037A85"/>
    <w:rsid w:val="00037E81"/>
    <w:rsid w:val="0004221F"/>
    <w:rsid w:val="00051474"/>
    <w:rsid w:val="00052F2A"/>
    <w:rsid w:val="000628B3"/>
    <w:rsid w:val="00063BD3"/>
    <w:rsid w:val="00067CDF"/>
    <w:rsid w:val="00074FBE"/>
    <w:rsid w:val="0008229F"/>
    <w:rsid w:val="00083A09"/>
    <w:rsid w:val="000853F2"/>
    <w:rsid w:val="0008690F"/>
    <w:rsid w:val="0009005E"/>
    <w:rsid w:val="00092857"/>
    <w:rsid w:val="0009698F"/>
    <w:rsid w:val="000A0ABF"/>
    <w:rsid w:val="000A20A9"/>
    <w:rsid w:val="000A4734"/>
    <w:rsid w:val="000A48B1"/>
    <w:rsid w:val="000B3143"/>
    <w:rsid w:val="000C4CB6"/>
    <w:rsid w:val="000C6B05"/>
    <w:rsid w:val="000C6DD6"/>
    <w:rsid w:val="000C73D4"/>
    <w:rsid w:val="000C7ED8"/>
    <w:rsid w:val="000D3D4C"/>
    <w:rsid w:val="000D4F51"/>
    <w:rsid w:val="000D718B"/>
    <w:rsid w:val="000E0C46"/>
    <w:rsid w:val="000E4049"/>
    <w:rsid w:val="000F030C"/>
    <w:rsid w:val="000F129C"/>
    <w:rsid w:val="00101842"/>
    <w:rsid w:val="001056DE"/>
    <w:rsid w:val="001124C0"/>
    <w:rsid w:val="00127B70"/>
    <w:rsid w:val="0013175F"/>
    <w:rsid w:val="0013614A"/>
    <w:rsid w:val="001458AD"/>
    <w:rsid w:val="00146FBD"/>
    <w:rsid w:val="001512B4"/>
    <w:rsid w:val="00155232"/>
    <w:rsid w:val="001620A5"/>
    <w:rsid w:val="00164E53"/>
    <w:rsid w:val="001653AC"/>
    <w:rsid w:val="0016699D"/>
    <w:rsid w:val="001704A7"/>
    <w:rsid w:val="001706A5"/>
    <w:rsid w:val="00171A8A"/>
    <w:rsid w:val="00175159"/>
    <w:rsid w:val="00176208"/>
    <w:rsid w:val="0018211B"/>
    <w:rsid w:val="001835B7"/>
    <w:rsid w:val="00183EF1"/>
    <w:rsid w:val="001840D3"/>
    <w:rsid w:val="001900F8"/>
    <w:rsid w:val="00191258"/>
    <w:rsid w:val="00192680"/>
    <w:rsid w:val="00193037"/>
    <w:rsid w:val="00193A2C"/>
    <w:rsid w:val="001A288E"/>
    <w:rsid w:val="001A4D99"/>
    <w:rsid w:val="001A5903"/>
    <w:rsid w:val="001B10C0"/>
    <w:rsid w:val="001B233A"/>
    <w:rsid w:val="001B6DC2"/>
    <w:rsid w:val="001C0E9D"/>
    <w:rsid w:val="001C149C"/>
    <w:rsid w:val="001C21AC"/>
    <w:rsid w:val="001C47BA"/>
    <w:rsid w:val="001C59EA"/>
    <w:rsid w:val="001D3EB6"/>
    <w:rsid w:val="001D406C"/>
    <w:rsid w:val="001D41EE"/>
    <w:rsid w:val="001E0380"/>
    <w:rsid w:val="001E13B1"/>
    <w:rsid w:val="001E19CB"/>
    <w:rsid w:val="001E583D"/>
    <w:rsid w:val="001F3A19"/>
    <w:rsid w:val="001F481A"/>
    <w:rsid w:val="002158E8"/>
    <w:rsid w:val="00220F84"/>
    <w:rsid w:val="00234467"/>
    <w:rsid w:val="00237D8D"/>
    <w:rsid w:val="00241DA2"/>
    <w:rsid w:val="00247FEE"/>
    <w:rsid w:val="00250E7D"/>
    <w:rsid w:val="00254F18"/>
    <w:rsid w:val="002565D5"/>
    <w:rsid w:val="002622C0"/>
    <w:rsid w:val="002778AE"/>
    <w:rsid w:val="0028269A"/>
    <w:rsid w:val="00283590"/>
    <w:rsid w:val="00286661"/>
    <w:rsid w:val="00286973"/>
    <w:rsid w:val="0029160C"/>
    <w:rsid w:val="002917BB"/>
    <w:rsid w:val="00292BCE"/>
    <w:rsid w:val="00294E70"/>
    <w:rsid w:val="00295E7B"/>
    <w:rsid w:val="002A1924"/>
    <w:rsid w:val="002A4054"/>
    <w:rsid w:val="002A44E4"/>
    <w:rsid w:val="002A7420"/>
    <w:rsid w:val="002B0F12"/>
    <w:rsid w:val="002B1308"/>
    <w:rsid w:val="002B4554"/>
    <w:rsid w:val="002C4491"/>
    <w:rsid w:val="002C51C7"/>
    <w:rsid w:val="002C72D8"/>
    <w:rsid w:val="002D11FA"/>
    <w:rsid w:val="002E0DDF"/>
    <w:rsid w:val="002E2906"/>
    <w:rsid w:val="002E5635"/>
    <w:rsid w:val="002E64C3"/>
    <w:rsid w:val="002E6A2C"/>
    <w:rsid w:val="002F1D8C"/>
    <w:rsid w:val="002F20EE"/>
    <w:rsid w:val="002F21DA"/>
    <w:rsid w:val="002F39C7"/>
    <w:rsid w:val="00301F39"/>
    <w:rsid w:val="003237EF"/>
    <w:rsid w:val="00325926"/>
    <w:rsid w:val="00327A8A"/>
    <w:rsid w:val="003300C4"/>
    <w:rsid w:val="00336610"/>
    <w:rsid w:val="003436AE"/>
    <w:rsid w:val="00343F73"/>
    <w:rsid w:val="00345060"/>
    <w:rsid w:val="0035323B"/>
    <w:rsid w:val="003609D2"/>
    <w:rsid w:val="0036175B"/>
    <w:rsid w:val="00363F22"/>
    <w:rsid w:val="003736A5"/>
    <w:rsid w:val="00375564"/>
    <w:rsid w:val="00383191"/>
    <w:rsid w:val="00386DED"/>
    <w:rsid w:val="00390E77"/>
    <w:rsid w:val="003912E7"/>
    <w:rsid w:val="00393446"/>
    <w:rsid w:val="00393947"/>
    <w:rsid w:val="003A2275"/>
    <w:rsid w:val="003A6A4F"/>
    <w:rsid w:val="003A7088"/>
    <w:rsid w:val="003B00DF"/>
    <w:rsid w:val="003B1275"/>
    <w:rsid w:val="003B1778"/>
    <w:rsid w:val="003B4916"/>
    <w:rsid w:val="003C11CB"/>
    <w:rsid w:val="003C75F3"/>
    <w:rsid w:val="003C78A3"/>
    <w:rsid w:val="003D144F"/>
    <w:rsid w:val="003D4E88"/>
    <w:rsid w:val="003D66E4"/>
    <w:rsid w:val="003D68C2"/>
    <w:rsid w:val="003E1867"/>
    <w:rsid w:val="003E2128"/>
    <w:rsid w:val="003E3CCA"/>
    <w:rsid w:val="003E5729"/>
    <w:rsid w:val="003E6756"/>
    <w:rsid w:val="003F4335"/>
    <w:rsid w:val="003F4EE0"/>
    <w:rsid w:val="003F517B"/>
    <w:rsid w:val="00402153"/>
    <w:rsid w:val="00402FC1"/>
    <w:rsid w:val="0040485B"/>
    <w:rsid w:val="0041722E"/>
    <w:rsid w:val="00425082"/>
    <w:rsid w:val="00431DEB"/>
    <w:rsid w:val="00433A68"/>
    <w:rsid w:val="00441788"/>
    <w:rsid w:val="00444376"/>
    <w:rsid w:val="00446B29"/>
    <w:rsid w:val="00452A19"/>
    <w:rsid w:val="00453F9A"/>
    <w:rsid w:val="00462F86"/>
    <w:rsid w:val="00471E91"/>
    <w:rsid w:val="00474675"/>
    <w:rsid w:val="0047470C"/>
    <w:rsid w:val="00475A65"/>
    <w:rsid w:val="004814B4"/>
    <w:rsid w:val="004878A2"/>
    <w:rsid w:val="004914F6"/>
    <w:rsid w:val="004A1A4D"/>
    <w:rsid w:val="004A35F9"/>
    <w:rsid w:val="004B24C1"/>
    <w:rsid w:val="004B4644"/>
    <w:rsid w:val="004C292F"/>
    <w:rsid w:val="004D2B6F"/>
    <w:rsid w:val="004D4156"/>
    <w:rsid w:val="004F31F2"/>
    <w:rsid w:val="004F7558"/>
    <w:rsid w:val="00507C78"/>
    <w:rsid w:val="00510280"/>
    <w:rsid w:val="00510EB1"/>
    <w:rsid w:val="00513D73"/>
    <w:rsid w:val="00514A43"/>
    <w:rsid w:val="005174E5"/>
    <w:rsid w:val="00522393"/>
    <w:rsid w:val="00522620"/>
    <w:rsid w:val="00525656"/>
    <w:rsid w:val="00527F9F"/>
    <w:rsid w:val="00530EBC"/>
    <w:rsid w:val="00534C02"/>
    <w:rsid w:val="005420C1"/>
    <w:rsid w:val="0054264B"/>
    <w:rsid w:val="00543786"/>
    <w:rsid w:val="005533D7"/>
    <w:rsid w:val="005566E4"/>
    <w:rsid w:val="005572F8"/>
    <w:rsid w:val="005577E3"/>
    <w:rsid w:val="005703DE"/>
    <w:rsid w:val="005758C9"/>
    <w:rsid w:val="0058464E"/>
    <w:rsid w:val="00587FB5"/>
    <w:rsid w:val="005912BB"/>
    <w:rsid w:val="0059134C"/>
    <w:rsid w:val="005972EE"/>
    <w:rsid w:val="00597705"/>
    <w:rsid w:val="005A01CB"/>
    <w:rsid w:val="005A3939"/>
    <w:rsid w:val="005A58FF"/>
    <w:rsid w:val="005A5EAF"/>
    <w:rsid w:val="005A64C0"/>
    <w:rsid w:val="005A7B33"/>
    <w:rsid w:val="005B01DF"/>
    <w:rsid w:val="005B3919"/>
    <w:rsid w:val="005B3C11"/>
    <w:rsid w:val="005B4EB6"/>
    <w:rsid w:val="005C1C28"/>
    <w:rsid w:val="005C6DB5"/>
    <w:rsid w:val="005C7D19"/>
    <w:rsid w:val="005E19E7"/>
    <w:rsid w:val="005F1DD7"/>
    <w:rsid w:val="00600F16"/>
    <w:rsid w:val="00603ACA"/>
    <w:rsid w:val="00604E15"/>
    <w:rsid w:val="00604ECD"/>
    <w:rsid w:val="0061716C"/>
    <w:rsid w:val="006243A1"/>
    <w:rsid w:val="00630630"/>
    <w:rsid w:val="00632C61"/>
    <w:rsid w:val="00632E56"/>
    <w:rsid w:val="006331DE"/>
    <w:rsid w:val="00635CBA"/>
    <w:rsid w:val="00637CCA"/>
    <w:rsid w:val="0064338B"/>
    <w:rsid w:val="00646542"/>
    <w:rsid w:val="006504F4"/>
    <w:rsid w:val="00654BC9"/>
    <w:rsid w:val="006552FD"/>
    <w:rsid w:val="00655CF0"/>
    <w:rsid w:val="00656710"/>
    <w:rsid w:val="00656823"/>
    <w:rsid w:val="00663AF3"/>
    <w:rsid w:val="00663B15"/>
    <w:rsid w:val="0066608B"/>
    <w:rsid w:val="006666BA"/>
    <w:rsid w:val="00666B6C"/>
    <w:rsid w:val="006734E1"/>
    <w:rsid w:val="00682682"/>
    <w:rsid w:val="00682702"/>
    <w:rsid w:val="00684E60"/>
    <w:rsid w:val="00692368"/>
    <w:rsid w:val="00693897"/>
    <w:rsid w:val="006A0F39"/>
    <w:rsid w:val="006A148D"/>
    <w:rsid w:val="006A2EBC"/>
    <w:rsid w:val="006A2F6C"/>
    <w:rsid w:val="006A5EA0"/>
    <w:rsid w:val="006A783B"/>
    <w:rsid w:val="006A7B33"/>
    <w:rsid w:val="006B4E13"/>
    <w:rsid w:val="006B75DD"/>
    <w:rsid w:val="006C4AB5"/>
    <w:rsid w:val="006C67E0"/>
    <w:rsid w:val="006C7ABA"/>
    <w:rsid w:val="006D0D60"/>
    <w:rsid w:val="006D1122"/>
    <w:rsid w:val="006D3C00"/>
    <w:rsid w:val="006E3675"/>
    <w:rsid w:val="006E4A7F"/>
    <w:rsid w:val="006E775F"/>
    <w:rsid w:val="006F3E0F"/>
    <w:rsid w:val="006F74D0"/>
    <w:rsid w:val="006F7F0D"/>
    <w:rsid w:val="00700366"/>
    <w:rsid w:val="00704DF6"/>
    <w:rsid w:val="0070651C"/>
    <w:rsid w:val="00710AA2"/>
    <w:rsid w:val="007132A3"/>
    <w:rsid w:val="00716421"/>
    <w:rsid w:val="0072025A"/>
    <w:rsid w:val="00724EFB"/>
    <w:rsid w:val="00740901"/>
    <w:rsid w:val="007419C3"/>
    <w:rsid w:val="007439F4"/>
    <w:rsid w:val="007467A7"/>
    <w:rsid w:val="007469DD"/>
    <w:rsid w:val="0074710C"/>
    <w:rsid w:val="0074741B"/>
    <w:rsid w:val="0074759E"/>
    <w:rsid w:val="007477B9"/>
    <w:rsid w:val="007478EA"/>
    <w:rsid w:val="0075415C"/>
    <w:rsid w:val="00761F0A"/>
    <w:rsid w:val="00763502"/>
    <w:rsid w:val="00776F89"/>
    <w:rsid w:val="007913AB"/>
    <w:rsid w:val="007914F7"/>
    <w:rsid w:val="00797DCB"/>
    <w:rsid w:val="007A0E95"/>
    <w:rsid w:val="007B1625"/>
    <w:rsid w:val="007B706E"/>
    <w:rsid w:val="007B71EB"/>
    <w:rsid w:val="007C1764"/>
    <w:rsid w:val="007C5354"/>
    <w:rsid w:val="007C6205"/>
    <w:rsid w:val="007C66FC"/>
    <w:rsid w:val="007C686A"/>
    <w:rsid w:val="007C728E"/>
    <w:rsid w:val="007D2C53"/>
    <w:rsid w:val="007D3D60"/>
    <w:rsid w:val="007E157C"/>
    <w:rsid w:val="007E1980"/>
    <w:rsid w:val="007E2EEB"/>
    <w:rsid w:val="007E4B76"/>
    <w:rsid w:val="007E590A"/>
    <w:rsid w:val="007E5EA8"/>
    <w:rsid w:val="007E7083"/>
    <w:rsid w:val="007F0CF1"/>
    <w:rsid w:val="007F12A5"/>
    <w:rsid w:val="007F3BA9"/>
    <w:rsid w:val="007F4CF1"/>
    <w:rsid w:val="007F758D"/>
    <w:rsid w:val="007F7D52"/>
    <w:rsid w:val="008038DA"/>
    <w:rsid w:val="00806352"/>
    <w:rsid w:val="0080654C"/>
    <w:rsid w:val="008071C6"/>
    <w:rsid w:val="00817A00"/>
    <w:rsid w:val="0083424D"/>
    <w:rsid w:val="00835DB3"/>
    <w:rsid w:val="0083617B"/>
    <w:rsid w:val="008371BD"/>
    <w:rsid w:val="008504A8"/>
    <w:rsid w:val="0085282E"/>
    <w:rsid w:val="00855BD1"/>
    <w:rsid w:val="0086037E"/>
    <w:rsid w:val="0086560A"/>
    <w:rsid w:val="0086638A"/>
    <w:rsid w:val="0087198C"/>
    <w:rsid w:val="00872C1F"/>
    <w:rsid w:val="00873276"/>
    <w:rsid w:val="00873B42"/>
    <w:rsid w:val="008856D8"/>
    <w:rsid w:val="008927BD"/>
    <w:rsid w:val="00892E82"/>
    <w:rsid w:val="0089337F"/>
    <w:rsid w:val="008A0E4B"/>
    <w:rsid w:val="008B64CF"/>
    <w:rsid w:val="008C1B58"/>
    <w:rsid w:val="008C3264"/>
    <w:rsid w:val="008C39AE"/>
    <w:rsid w:val="008C590D"/>
    <w:rsid w:val="008D0ABB"/>
    <w:rsid w:val="008E031B"/>
    <w:rsid w:val="008E52B6"/>
    <w:rsid w:val="008E5525"/>
    <w:rsid w:val="008E7029"/>
    <w:rsid w:val="008E7EF6"/>
    <w:rsid w:val="008F1F98"/>
    <w:rsid w:val="008F4D69"/>
    <w:rsid w:val="008F6758"/>
    <w:rsid w:val="00901D52"/>
    <w:rsid w:val="009031C3"/>
    <w:rsid w:val="009040DD"/>
    <w:rsid w:val="00904331"/>
    <w:rsid w:val="00905B47"/>
    <w:rsid w:val="0091331C"/>
    <w:rsid w:val="00913CBE"/>
    <w:rsid w:val="009153F8"/>
    <w:rsid w:val="009178E7"/>
    <w:rsid w:val="00922489"/>
    <w:rsid w:val="009279DE"/>
    <w:rsid w:val="00930116"/>
    <w:rsid w:val="0094212C"/>
    <w:rsid w:val="00945289"/>
    <w:rsid w:val="0095081E"/>
    <w:rsid w:val="00954689"/>
    <w:rsid w:val="00955841"/>
    <w:rsid w:val="0096021F"/>
    <w:rsid w:val="009617C9"/>
    <w:rsid w:val="00961C93"/>
    <w:rsid w:val="00965324"/>
    <w:rsid w:val="0097091E"/>
    <w:rsid w:val="009755A1"/>
    <w:rsid w:val="009760D3"/>
    <w:rsid w:val="00977132"/>
    <w:rsid w:val="0098173E"/>
    <w:rsid w:val="00981A4B"/>
    <w:rsid w:val="00982501"/>
    <w:rsid w:val="009877D3"/>
    <w:rsid w:val="0099324F"/>
    <w:rsid w:val="00994E8F"/>
    <w:rsid w:val="009951DC"/>
    <w:rsid w:val="009959BB"/>
    <w:rsid w:val="00996E18"/>
    <w:rsid w:val="00997158"/>
    <w:rsid w:val="009A3A7C"/>
    <w:rsid w:val="009B1457"/>
    <w:rsid w:val="009B2ADB"/>
    <w:rsid w:val="009B603A"/>
    <w:rsid w:val="009B632D"/>
    <w:rsid w:val="009C2D0E"/>
    <w:rsid w:val="009C3DAC"/>
    <w:rsid w:val="009C42E0"/>
    <w:rsid w:val="009D5362"/>
    <w:rsid w:val="009E1415"/>
    <w:rsid w:val="009E6116"/>
    <w:rsid w:val="00A02E43"/>
    <w:rsid w:val="00A065F9"/>
    <w:rsid w:val="00A07F34"/>
    <w:rsid w:val="00A1041B"/>
    <w:rsid w:val="00A16488"/>
    <w:rsid w:val="00A22154"/>
    <w:rsid w:val="00A25C38"/>
    <w:rsid w:val="00A36BBE"/>
    <w:rsid w:val="00A4131C"/>
    <w:rsid w:val="00A4307A"/>
    <w:rsid w:val="00A47C58"/>
    <w:rsid w:val="00A47EBB"/>
    <w:rsid w:val="00A51CDD"/>
    <w:rsid w:val="00A61EDC"/>
    <w:rsid w:val="00A6730D"/>
    <w:rsid w:val="00A71625"/>
    <w:rsid w:val="00A71B9B"/>
    <w:rsid w:val="00A751C7"/>
    <w:rsid w:val="00A87844"/>
    <w:rsid w:val="00A91325"/>
    <w:rsid w:val="00A91F3F"/>
    <w:rsid w:val="00AA038C"/>
    <w:rsid w:val="00AA0BBB"/>
    <w:rsid w:val="00AA7A09"/>
    <w:rsid w:val="00AB1828"/>
    <w:rsid w:val="00AB3B50"/>
    <w:rsid w:val="00AC05B1"/>
    <w:rsid w:val="00AC0AFB"/>
    <w:rsid w:val="00AC3629"/>
    <w:rsid w:val="00AC3BAD"/>
    <w:rsid w:val="00AC530D"/>
    <w:rsid w:val="00AC7201"/>
    <w:rsid w:val="00AD356C"/>
    <w:rsid w:val="00AE2914"/>
    <w:rsid w:val="00AE646D"/>
    <w:rsid w:val="00AE6D15"/>
    <w:rsid w:val="00B018C6"/>
    <w:rsid w:val="00B04182"/>
    <w:rsid w:val="00B07AE3"/>
    <w:rsid w:val="00B103BC"/>
    <w:rsid w:val="00B11430"/>
    <w:rsid w:val="00B239BC"/>
    <w:rsid w:val="00B23A5B"/>
    <w:rsid w:val="00B353EB"/>
    <w:rsid w:val="00B439C4"/>
    <w:rsid w:val="00B4535E"/>
    <w:rsid w:val="00B519CE"/>
    <w:rsid w:val="00B52A8C"/>
    <w:rsid w:val="00B636A8"/>
    <w:rsid w:val="00B665C6"/>
    <w:rsid w:val="00B805AF"/>
    <w:rsid w:val="00B82111"/>
    <w:rsid w:val="00B869EC"/>
    <w:rsid w:val="00B90E84"/>
    <w:rsid w:val="00B9397A"/>
    <w:rsid w:val="00B9633D"/>
    <w:rsid w:val="00BA2EBE"/>
    <w:rsid w:val="00BB0F28"/>
    <w:rsid w:val="00BB458A"/>
    <w:rsid w:val="00BB5E3A"/>
    <w:rsid w:val="00BB7FD6"/>
    <w:rsid w:val="00BC019B"/>
    <w:rsid w:val="00BC1EFD"/>
    <w:rsid w:val="00BD00D3"/>
    <w:rsid w:val="00BD0592"/>
    <w:rsid w:val="00BD15E6"/>
    <w:rsid w:val="00BD1659"/>
    <w:rsid w:val="00BD3AA9"/>
    <w:rsid w:val="00BD4A18"/>
    <w:rsid w:val="00BD6DB2"/>
    <w:rsid w:val="00BD7369"/>
    <w:rsid w:val="00BD75C3"/>
    <w:rsid w:val="00BE054D"/>
    <w:rsid w:val="00BE11CF"/>
    <w:rsid w:val="00BE21AB"/>
    <w:rsid w:val="00BE55CB"/>
    <w:rsid w:val="00BE7FF9"/>
    <w:rsid w:val="00BF3194"/>
    <w:rsid w:val="00BF617A"/>
    <w:rsid w:val="00BF622A"/>
    <w:rsid w:val="00BF6EE1"/>
    <w:rsid w:val="00C0379D"/>
    <w:rsid w:val="00C03931"/>
    <w:rsid w:val="00C05FE3"/>
    <w:rsid w:val="00C2136D"/>
    <w:rsid w:val="00C214EE"/>
    <w:rsid w:val="00C2314B"/>
    <w:rsid w:val="00C231CF"/>
    <w:rsid w:val="00C24971"/>
    <w:rsid w:val="00C26BE5"/>
    <w:rsid w:val="00C26E4D"/>
    <w:rsid w:val="00C27909"/>
    <w:rsid w:val="00C27B03"/>
    <w:rsid w:val="00C314E1"/>
    <w:rsid w:val="00C32A55"/>
    <w:rsid w:val="00C340DC"/>
    <w:rsid w:val="00C34397"/>
    <w:rsid w:val="00C40077"/>
    <w:rsid w:val="00C4095D"/>
    <w:rsid w:val="00C454DA"/>
    <w:rsid w:val="00C50644"/>
    <w:rsid w:val="00C51283"/>
    <w:rsid w:val="00C601D2"/>
    <w:rsid w:val="00C657AB"/>
    <w:rsid w:val="00C65BCC"/>
    <w:rsid w:val="00C66970"/>
    <w:rsid w:val="00C8042E"/>
    <w:rsid w:val="00C84FA4"/>
    <w:rsid w:val="00C8691C"/>
    <w:rsid w:val="00C87524"/>
    <w:rsid w:val="00CA168A"/>
    <w:rsid w:val="00CA357E"/>
    <w:rsid w:val="00CA44F9"/>
    <w:rsid w:val="00CA4A69"/>
    <w:rsid w:val="00CA5D4B"/>
    <w:rsid w:val="00CB28B9"/>
    <w:rsid w:val="00CC016E"/>
    <w:rsid w:val="00CC3E0C"/>
    <w:rsid w:val="00CC58D3"/>
    <w:rsid w:val="00CC784D"/>
    <w:rsid w:val="00D0337B"/>
    <w:rsid w:val="00D04C16"/>
    <w:rsid w:val="00D079B2"/>
    <w:rsid w:val="00D11435"/>
    <w:rsid w:val="00D114E9"/>
    <w:rsid w:val="00D162A2"/>
    <w:rsid w:val="00D27A4D"/>
    <w:rsid w:val="00D429C6"/>
    <w:rsid w:val="00D47748"/>
    <w:rsid w:val="00D54CC3"/>
    <w:rsid w:val="00D6041A"/>
    <w:rsid w:val="00D633EB"/>
    <w:rsid w:val="00D63D5E"/>
    <w:rsid w:val="00D72F7E"/>
    <w:rsid w:val="00D80CAB"/>
    <w:rsid w:val="00D82206"/>
    <w:rsid w:val="00D82FF7"/>
    <w:rsid w:val="00D847FE"/>
    <w:rsid w:val="00D852D9"/>
    <w:rsid w:val="00D86F9C"/>
    <w:rsid w:val="00D87FF9"/>
    <w:rsid w:val="00D956AC"/>
    <w:rsid w:val="00D964EA"/>
    <w:rsid w:val="00D966D0"/>
    <w:rsid w:val="00DA0C59"/>
    <w:rsid w:val="00DA11E6"/>
    <w:rsid w:val="00DA3716"/>
    <w:rsid w:val="00DA3991"/>
    <w:rsid w:val="00DB5303"/>
    <w:rsid w:val="00DB5B18"/>
    <w:rsid w:val="00DB7E6C"/>
    <w:rsid w:val="00DD00B7"/>
    <w:rsid w:val="00DD3E74"/>
    <w:rsid w:val="00DD4829"/>
    <w:rsid w:val="00DD5A29"/>
    <w:rsid w:val="00DD5D9D"/>
    <w:rsid w:val="00DE35CB"/>
    <w:rsid w:val="00DE4740"/>
    <w:rsid w:val="00DF21E9"/>
    <w:rsid w:val="00E00F14"/>
    <w:rsid w:val="00E06386"/>
    <w:rsid w:val="00E1511E"/>
    <w:rsid w:val="00E15749"/>
    <w:rsid w:val="00E219A9"/>
    <w:rsid w:val="00E23B49"/>
    <w:rsid w:val="00E24EB4"/>
    <w:rsid w:val="00E320ED"/>
    <w:rsid w:val="00E32367"/>
    <w:rsid w:val="00E33AFB"/>
    <w:rsid w:val="00E34218"/>
    <w:rsid w:val="00E46282"/>
    <w:rsid w:val="00E5216E"/>
    <w:rsid w:val="00E602B8"/>
    <w:rsid w:val="00E67A67"/>
    <w:rsid w:val="00E81B76"/>
    <w:rsid w:val="00E82344"/>
    <w:rsid w:val="00E84C82"/>
    <w:rsid w:val="00E84D64"/>
    <w:rsid w:val="00E87408"/>
    <w:rsid w:val="00E914C4"/>
    <w:rsid w:val="00E934F5"/>
    <w:rsid w:val="00E96961"/>
    <w:rsid w:val="00E96F85"/>
    <w:rsid w:val="00EA2336"/>
    <w:rsid w:val="00EA4A1E"/>
    <w:rsid w:val="00EA72EC"/>
    <w:rsid w:val="00EB11CB"/>
    <w:rsid w:val="00EB275A"/>
    <w:rsid w:val="00EB786A"/>
    <w:rsid w:val="00EC05DA"/>
    <w:rsid w:val="00EC1578"/>
    <w:rsid w:val="00EC1C72"/>
    <w:rsid w:val="00EC3CC9"/>
    <w:rsid w:val="00EC65C6"/>
    <w:rsid w:val="00EC680A"/>
    <w:rsid w:val="00EE0EC4"/>
    <w:rsid w:val="00EE2BED"/>
    <w:rsid w:val="00EE374B"/>
    <w:rsid w:val="00EF1F51"/>
    <w:rsid w:val="00F01C0A"/>
    <w:rsid w:val="00F02486"/>
    <w:rsid w:val="00F11BB5"/>
    <w:rsid w:val="00F1417B"/>
    <w:rsid w:val="00F23DB0"/>
    <w:rsid w:val="00F3221C"/>
    <w:rsid w:val="00F32CA7"/>
    <w:rsid w:val="00F34B99"/>
    <w:rsid w:val="00F36322"/>
    <w:rsid w:val="00F4704F"/>
    <w:rsid w:val="00F52DAB"/>
    <w:rsid w:val="00F543F0"/>
    <w:rsid w:val="00F67F18"/>
    <w:rsid w:val="00F81D29"/>
    <w:rsid w:val="00F82C66"/>
    <w:rsid w:val="00F84E2C"/>
    <w:rsid w:val="00F91C4D"/>
    <w:rsid w:val="00F92FD9"/>
    <w:rsid w:val="00F9684A"/>
    <w:rsid w:val="00FA6684"/>
    <w:rsid w:val="00FA731E"/>
    <w:rsid w:val="00FB2B38"/>
    <w:rsid w:val="00FB61C8"/>
    <w:rsid w:val="00FB745E"/>
    <w:rsid w:val="00FC6358"/>
    <w:rsid w:val="00FD320D"/>
    <w:rsid w:val="00FE23DE"/>
    <w:rsid w:val="00FF0549"/>
    <w:rsid w:val="00FF3BCC"/>
    <w:rsid w:val="00FF3CCF"/>
    <w:rsid w:val="019877C2"/>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unhideWhenUsed="0"/>
    <w:lsdException w:name="index 2" w:unhideWhenUsed="0"/>
    <w:lsdException w:name="index 3" w:unhideWhenUsed="0"/>
    <w:lsdException w:name="index 4" w:unhideWhenUsed="0"/>
    <w:lsdException w:name="index 5" w:unhideWhenUsed="0"/>
    <w:lsdException w:name="index 6" w:unhideWhenUsed="0"/>
    <w:lsdException w:name="index 7" w:unhideWhenUsed="0"/>
    <w:lsdException w:name="index 8" w:unhideWhenUsed="0"/>
    <w:lsdException w:name="index 9" w:unhideWhenUsed="0"/>
    <w:lsdException w:name="toc 1" w:unhideWhenUsed="0"/>
    <w:lsdException w:name="toc 2" w:unhideWhenUsed="0"/>
    <w:lsdException w:name="toc 3" w:unhideWhenUsed="0"/>
    <w:lsdException w:name="toc 4" w:unhideWhenUsed="0"/>
    <w:lsdException w:name="toc 5" w:unhideWhenUsed="0"/>
    <w:lsdException w:name="toc 6" w:unhideWhenUsed="0"/>
    <w:lsdException w:name="toc 7" w:unhideWhenUsed="0"/>
    <w:lsdException w:name="toc 8" w:unhideWhenUsed="0"/>
    <w:lsdException w:name="toc 9" w:unhideWhenUsed="0"/>
    <w:lsdException w:name="Normal Indent"/>
    <w:lsdException w:name="footnote text" w:unhideWhenUsed="0"/>
    <w:lsdException w:name="annotation text"/>
    <w:lsdException w:name="header" w:semiHidden="0" w:unhideWhenUsed="0"/>
    <w:lsdException w:name="footer" w:semiHidden="0" w:unhideWhenUsed="0"/>
    <w:lsdException w:name="index heading" w:unhideWhenUsed="0"/>
    <w:lsdException w:name="caption" w:semiHidden="0" w:unhideWhenUsed="0" w:qFormat="1"/>
    <w:lsdException w:name="table of figures"/>
    <w:lsdException w:name="envelope address"/>
    <w:lsdException w:name="envelope return"/>
    <w:lsdException w:name="footnote reference" w:unhideWhenUsed="0"/>
    <w:lsdException w:name="annotation reference"/>
    <w:lsdException w:name="line number"/>
    <w:lsdException w:name="page number" w:semiHidden="0" w:unhideWhenUsed="0"/>
    <w:lsdException w:name="endnote reference" w:unhideWhenUsed="0"/>
    <w:lsdException w:name="endnote text" w:unhideWhenUsed="0"/>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iPriority="0" w:unhideWhenUsed="0" w:qFormat="1"/>
    <w:lsdException w:name="Closing"/>
    <w:lsdException w:name="Signature"/>
    <w:lsdException w:name="Default Paragraph Font" w:unhideWhenUsed="0"/>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lsdException w:name="FollowedHyperlink" w:semiHidden="0" w:unhideWhenUsed="0"/>
    <w:lsdException w:name="Strong" w:locked="1" w:semiHidden="0" w:uiPriority="0" w:unhideWhenUsed="0" w:qFormat="1"/>
    <w:lsdException w:name="Emphasis" w:locked="1" w:semiHidden="0" w:uiPriority="0" w:unhideWhenUsed="0" w:qFormat="1"/>
    <w:lsdException w:name="Document Map" w:unhideWhenUsed="0"/>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lsdException w:name="Table Grid" w:semiHidden="0"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character" w:default="1" w:styleId="DefaultParagraphFont">
    <w:name w:val="Default Paragraph Font"/>
    <w:uiPriority w:val="99"/>
    <w:semiHidden/>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99"/>
    <w:semiHidden/>
    <w:pPr>
      <w:tabs>
        <w:tab w:val="right" w:leader="dot" w:pos="9241"/>
      </w:tabs>
      <w:ind w:firstLine="505" w:firstLineChars="500"/>
      <w:jc w:val="left"/>
    </w:pPr>
    <w:rPr>
      <w:rFonts w:ascii="宋体" w:cs="宋体"/>
    </w:rPr>
  </w:style>
  <w:style w:type="paragraph" w:styleId="Index8">
    <w:name w:val="index 8"/>
    <w:basedOn w:val="Normal"/>
    <w:next w:val="Normal"/>
    <w:autoRedefine/>
    <w:uiPriority w:val="99"/>
    <w:semiHidden/>
    <w:pPr>
      <w:ind w:left="1680" w:hanging="210"/>
      <w:jc w:val="left"/>
    </w:pPr>
    <w:rPr>
      <w:rFonts w:ascii="Calibri" w:hAnsi="Calibri" w:cs="Calibri"/>
      <w:sz w:val="20"/>
      <w:szCs w:val="20"/>
    </w:rPr>
  </w:style>
  <w:style w:type="paragraph" w:styleId="Caption">
    <w:name w:val="caption"/>
    <w:basedOn w:val="Normal"/>
    <w:next w:val="Normal"/>
    <w:uiPriority w:val="99"/>
    <w:qFormat/>
    <w:pPr>
      <w:spacing w:before="152" w:after="160"/>
    </w:pPr>
    <w:rPr>
      <w:rFonts w:ascii="Arial" w:eastAsia="黑体" w:hAnsi="Arial" w:cs="Arial"/>
      <w:sz w:val="20"/>
      <w:szCs w:val="20"/>
    </w:rPr>
  </w:style>
  <w:style w:type="paragraph" w:styleId="Index5">
    <w:name w:val="index 5"/>
    <w:basedOn w:val="Normal"/>
    <w:next w:val="Normal"/>
    <w:autoRedefine/>
    <w:uiPriority w:val="99"/>
    <w:semiHidden/>
    <w:pPr>
      <w:ind w:left="1050" w:hanging="210"/>
      <w:jc w:val="left"/>
    </w:pPr>
    <w:rPr>
      <w:rFonts w:ascii="Calibri" w:hAnsi="Calibri" w:cs="Calibri"/>
      <w:sz w:val="20"/>
      <w:szCs w:val="20"/>
    </w:rPr>
  </w:style>
  <w:style w:type="paragraph" w:styleId="DocumentMap">
    <w:name w:val="Document Map"/>
    <w:basedOn w:val="Normal"/>
    <w:link w:val="DocumentMapChar"/>
    <w:uiPriority w:val="99"/>
    <w:semiHidden/>
    <w:pPr>
      <w:shd w:val="clear" w:color="auto" w:fill="000080"/>
    </w:pPr>
  </w:style>
  <w:style w:type="paragraph" w:styleId="Index6">
    <w:name w:val="index 6"/>
    <w:basedOn w:val="Normal"/>
    <w:next w:val="Normal"/>
    <w:autoRedefine/>
    <w:uiPriority w:val="99"/>
    <w:semiHidden/>
    <w:pPr>
      <w:ind w:left="1260" w:hanging="210"/>
      <w:jc w:val="left"/>
    </w:pPr>
    <w:rPr>
      <w:rFonts w:ascii="Calibri" w:hAnsi="Calibri" w:cs="Calibri"/>
      <w:sz w:val="20"/>
      <w:szCs w:val="20"/>
    </w:rPr>
  </w:style>
  <w:style w:type="paragraph" w:styleId="Index4">
    <w:name w:val="index 4"/>
    <w:basedOn w:val="Normal"/>
    <w:next w:val="Normal"/>
    <w:autoRedefine/>
    <w:uiPriority w:val="99"/>
    <w:semiHidden/>
    <w:pPr>
      <w:ind w:left="840" w:hanging="210"/>
      <w:jc w:val="left"/>
    </w:pPr>
    <w:rPr>
      <w:rFonts w:ascii="Calibri" w:hAnsi="Calibri" w:cs="Calibri"/>
      <w:sz w:val="20"/>
      <w:szCs w:val="20"/>
    </w:rPr>
  </w:style>
  <w:style w:type="paragraph" w:styleId="TOC5">
    <w:name w:val="toc 5"/>
    <w:basedOn w:val="Normal"/>
    <w:next w:val="Normal"/>
    <w:autoRedefine/>
    <w:uiPriority w:val="99"/>
    <w:semiHidden/>
    <w:pPr>
      <w:tabs>
        <w:tab w:val="right" w:leader="dot" w:pos="9241"/>
      </w:tabs>
      <w:ind w:firstLine="300" w:firstLineChars="300"/>
      <w:jc w:val="left"/>
    </w:pPr>
    <w:rPr>
      <w:rFonts w:ascii="宋体" w:cs="宋体"/>
    </w:rPr>
  </w:style>
  <w:style w:type="paragraph" w:styleId="TOC3">
    <w:name w:val="toc 3"/>
    <w:basedOn w:val="Normal"/>
    <w:next w:val="Normal"/>
    <w:autoRedefine/>
    <w:uiPriority w:val="99"/>
    <w:semiHidden/>
    <w:pPr>
      <w:tabs>
        <w:tab w:val="right" w:leader="dot" w:pos="9241"/>
      </w:tabs>
      <w:ind w:firstLine="102" w:firstLineChars="100"/>
      <w:jc w:val="left"/>
    </w:pPr>
    <w:rPr>
      <w:rFonts w:ascii="宋体" w:cs="宋体"/>
    </w:rPr>
  </w:style>
  <w:style w:type="paragraph" w:styleId="TOC8">
    <w:name w:val="toc 8"/>
    <w:basedOn w:val="Normal"/>
    <w:next w:val="Normal"/>
    <w:autoRedefine/>
    <w:uiPriority w:val="99"/>
    <w:semiHidden/>
    <w:pPr>
      <w:tabs>
        <w:tab w:val="right" w:leader="dot" w:pos="9241"/>
      </w:tabs>
      <w:ind w:firstLine="607" w:firstLineChars="600"/>
      <w:jc w:val="left"/>
    </w:pPr>
    <w:rPr>
      <w:rFonts w:ascii="宋体" w:cs="宋体"/>
    </w:rPr>
  </w:style>
  <w:style w:type="paragraph" w:styleId="Index3">
    <w:name w:val="index 3"/>
    <w:basedOn w:val="Normal"/>
    <w:next w:val="Normal"/>
    <w:autoRedefine/>
    <w:uiPriority w:val="99"/>
    <w:semiHidden/>
    <w:pPr>
      <w:ind w:left="630" w:hanging="210"/>
      <w:jc w:val="left"/>
    </w:pPr>
    <w:rPr>
      <w:rFonts w:ascii="Calibri" w:hAnsi="Calibri" w:cs="Calibri"/>
      <w:sz w:val="20"/>
      <w:szCs w:val="20"/>
    </w:rPr>
  </w:style>
  <w:style w:type="paragraph" w:styleId="EndnoteText">
    <w:name w:val="endnote text"/>
    <w:basedOn w:val="Normal"/>
    <w:link w:val="EndnoteTextChar"/>
    <w:uiPriority w:val="99"/>
    <w:semiHidden/>
    <w:pPr>
      <w:snapToGrid w:val="0"/>
      <w:jc w:val="left"/>
    </w:pPr>
  </w:style>
  <w:style w:type="paragraph" w:styleId="BalloonText">
    <w:name w:val="Balloon Text"/>
    <w:basedOn w:val="Normal"/>
    <w:link w:val="BalloonTextChar"/>
    <w:uiPriority w:val="99"/>
    <w:semiHidden/>
    <w:rPr>
      <w:sz w:val="18"/>
      <w:szCs w:val="18"/>
    </w:rPr>
  </w:style>
  <w:style w:type="paragraph" w:styleId="Footer">
    <w:name w:val="footer"/>
    <w:basedOn w:val="Normal"/>
    <w:link w:val="FooterChar"/>
    <w:uiPriority w:val="99"/>
    <w:pPr>
      <w:snapToGrid w:val="0"/>
      <w:ind w:right="210" w:rightChars="100"/>
      <w:jc w:val="right"/>
    </w:pPr>
    <w:rPr>
      <w:sz w:val="18"/>
      <w:szCs w:val="18"/>
    </w:rPr>
  </w:style>
  <w:style w:type="paragraph" w:styleId="Header">
    <w:name w:val="header"/>
    <w:basedOn w:val="Normal"/>
    <w:link w:val="HeaderChar"/>
    <w:uiPriority w:val="99"/>
    <w:pPr>
      <w:snapToGrid w:val="0"/>
      <w:jc w:val="left"/>
    </w:pPr>
    <w:rPr>
      <w:sz w:val="18"/>
      <w:szCs w:val="18"/>
    </w:rPr>
  </w:style>
  <w:style w:type="paragraph" w:styleId="TOC1">
    <w:name w:val="toc 1"/>
    <w:basedOn w:val="Normal"/>
    <w:next w:val="Normal"/>
    <w:autoRedefine/>
    <w:uiPriority w:val="99"/>
    <w:semiHidden/>
    <w:pPr>
      <w:tabs>
        <w:tab w:val="right" w:leader="dot" w:pos="9241"/>
      </w:tabs>
      <w:spacing w:beforeLines="25" w:afterLines="25"/>
      <w:jc w:val="left"/>
    </w:pPr>
    <w:rPr>
      <w:rFonts w:ascii="宋体" w:cs="宋体"/>
    </w:rPr>
  </w:style>
  <w:style w:type="paragraph" w:styleId="TOC4">
    <w:name w:val="toc 4"/>
    <w:basedOn w:val="Normal"/>
    <w:next w:val="Normal"/>
    <w:autoRedefine/>
    <w:uiPriority w:val="99"/>
    <w:semiHidden/>
    <w:pPr>
      <w:tabs>
        <w:tab w:val="right" w:leader="dot" w:pos="9241"/>
      </w:tabs>
      <w:ind w:firstLine="198" w:firstLineChars="200"/>
      <w:jc w:val="left"/>
    </w:pPr>
    <w:rPr>
      <w:rFonts w:ascii="宋体" w:cs="宋体"/>
    </w:rPr>
  </w:style>
  <w:style w:type="paragraph" w:styleId="IndexHeading">
    <w:name w:val="index heading"/>
    <w:basedOn w:val="Normal"/>
    <w:next w:val="Index1"/>
    <w:uiPriority w:val="99"/>
    <w:semiHidden/>
    <w:pPr>
      <w:spacing w:before="120" w:after="120"/>
      <w:jc w:val="center"/>
    </w:pPr>
    <w:rPr>
      <w:rFonts w:ascii="Calibri" w:hAnsi="Calibri" w:cs="Calibri"/>
      <w:b/>
      <w:bCs/>
    </w:rPr>
  </w:style>
  <w:style w:type="paragraph" w:styleId="Index1">
    <w:name w:val="index 1"/>
    <w:basedOn w:val="Normal"/>
    <w:next w:val="a"/>
    <w:autoRedefine/>
    <w:uiPriority w:val="99"/>
    <w:semiHidden/>
    <w:pPr>
      <w:tabs>
        <w:tab w:val="right" w:leader="dot" w:pos="9299"/>
      </w:tabs>
      <w:jc w:val="left"/>
    </w:pPr>
    <w:rPr>
      <w:rFonts w:ascii="宋体" w:cs="宋体"/>
    </w:rPr>
  </w:style>
  <w:style w:type="paragraph" w:customStyle="1" w:styleId="a">
    <w:name w:val="段"/>
    <w:link w:val="Char"/>
    <w:uiPriority w:val="99"/>
    <w:pPr>
      <w:tabs>
        <w:tab w:val="center" w:pos="4201"/>
        <w:tab w:val="right" w:leader="dot" w:pos="9298"/>
      </w:tabs>
      <w:autoSpaceDE w:val="0"/>
      <w:autoSpaceDN w:val="0"/>
      <w:ind w:firstLine="420" w:firstLineChars="200"/>
      <w:jc w:val="both"/>
    </w:pPr>
    <w:rPr>
      <w:rFonts w:ascii="宋体" w:eastAsia="宋体" w:hAnsi="Times New Roman" w:cs="宋体"/>
      <w:kern w:val="0"/>
      <w:sz w:val="21"/>
      <w:szCs w:val="21"/>
      <w:lang w:val="en-US" w:eastAsia="zh-CN" w:bidi="ar-SA"/>
    </w:rPr>
  </w:style>
  <w:style w:type="paragraph" w:styleId="FootnoteText">
    <w:name w:val="footnote text"/>
    <w:basedOn w:val="Normal"/>
    <w:link w:val="FootnoteTextChar"/>
    <w:uiPriority w:val="99"/>
    <w:semiHidden/>
    <w:pPr>
      <w:numPr>
        <w:ilvl w:val="0"/>
        <w:numId w:val="1"/>
      </w:numPr>
      <w:snapToGrid w:val="0"/>
      <w:jc w:val="left"/>
    </w:pPr>
    <w:rPr>
      <w:rFonts w:ascii="宋体" w:cs="宋体"/>
      <w:sz w:val="18"/>
      <w:szCs w:val="18"/>
    </w:rPr>
  </w:style>
  <w:style w:type="paragraph" w:styleId="TOC6">
    <w:name w:val="toc 6"/>
    <w:basedOn w:val="Normal"/>
    <w:next w:val="Normal"/>
    <w:autoRedefine/>
    <w:uiPriority w:val="99"/>
    <w:semiHidden/>
    <w:pPr>
      <w:tabs>
        <w:tab w:val="right" w:leader="dot" w:pos="9241"/>
      </w:tabs>
      <w:ind w:firstLine="403" w:firstLineChars="400"/>
      <w:jc w:val="left"/>
    </w:pPr>
    <w:rPr>
      <w:rFonts w:ascii="宋体" w:cs="宋体"/>
    </w:rPr>
  </w:style>
  <w:style w:type="paragraph" w:styleId="Index7">
    <w:name w:val="index 7"/>
    <w:basedOn w:val="Normal"/>
    <w:next w:val="Normal"/>
    <w:autoRedefine/>
    <w:uiPriority w:val="99"/>
    <w:semiHidden/>
    <w:pPr>
      <w:ind w:left="1470" w:hanging="210"/>
      <w:jc w:val="left"/>
    </w:pPr>
    <w:rPr>
      <w:rFonts w:ascii="Calibri" w:hAnsi="Calibri" w:cs="Calibri"/>
      <w:sz w:val="20"/>
      <w:szCs w:val="20"/>
    </w:rPr>
  </w:style>
  <w:style w:type="paragraph" w:styleId="Index9">
    <w:name w:val="index 9"/>
    <w:basedOn w:val="Normal"/>
    <w:next w:val="Normal"/>
    <w:autoRedefine/>
    <w:uiPriority w:val="99"/>
    <w:semiHidden/>
    <w:pPr>
      <w:ind w:left="1890" w:hanging="210"/>
      <w:jc w:val="left"/>
    </w:pPr>
    <w:rPr>
      <w:rFonts w:ascii="Calibri" w:hAnsi="Calibri" w:cs="Calibri"/>
      <w:sz w:val="20"/>
      <w:szCs w:val="20"/>
    </w:rPr>
  </w:style>
  <w:style w:type="paragraph" w:styleId="TOC2">
    <w:name w:val="toc 2"/>
    <w:basedOn w:val="Normal"/>
    <w:next w:val="Normal"/>
    <w:autoRedefine/>
    <w:uiPriority w:val="99"/>
    <w:semiHidden/>
    <w:pPr>
      <w:tabs>
        <w:tab w:val="right" w:leader="dot" w:pos="9241"/>
      </w:tabs>
    </w:pPr>
    <w:rPr>
      <w:rFonts w:ascii="宋体" w:cs="宋体"/>
    </w:rPr>
  </w:style>
  <w:style w:type="paragraph" w:styleId="TOC9">
    <w:name w:val="toc 9"/>
    <w:basedOn w:val="Normal"/>
    <w:next w:val="Normal"/>
    <w:autoRedefine/>
    <w:uiPriority w:val="99"/>
    <w:semiHidden/>
    <w:pPr>
      <w:ind w:left="1470"/>
      <w:jc w:val="left"/>
    </w:pPr>
    <w:rPr>
      <w:sz w:val="20"/>
      <w:szCs w:val="20"/>
    </w:rPr>
  </w:style>
  <w:style w:type="paragraph" w:styleId="Index2">
    <w:name w:val="index 2"/>
    <w:basedOn w:val="Normal"/>
    <w:next w:val="Normal"/>
    <w:autoRedefine/>
    <w:uiPriority w:val="99"/>
    <w:semiHidden/>
    <w:pPr>
      <w:ind w:left="420" w:hanging="210"/>
      <w:jc w:val="left"/>
    </w:pPr>
    <w:rPr>
      <w:rFonts w:ascii="Calibri" w:hAnsi="Calibri" w:cs="Calibri"/>
      <w:sz w:val="20"/>
      <w:szCs w:val="20"/>
    </w:rPr>
  </w:style>
  <w:style w:type="table" w:styleId="TableGrid">
    <w:name w:val="Table Grid"/>
    <w:basedOn w:val="TableNormal"/>
    <w:uiPriority w:val="99"/>
    <w:rPr>
      <w:rFonts w:ascii="宋体" w:cs="宋体"/>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EndnoteReference">
    <w:name w:val="endnote reference"/>
    <w:basedOn w:val="DefaultParagraphFont"/>
    <w:uiPriority w:val="99"/>
    <w:semiHidden/>
    <w:rPr>
      <w:vertAlign w:val="superscript"/>
    </w:rPr>
  </w:style>
  <w:style w:type="character" w:styleId="PageNumber">
    <w:name w:val="page number"/>
    <w:basedOn w:val="DefaultParagraphFont"/>
    <w:uiPriority w:val="99"/>
    <w:rPr>
      <w:rFonts w:ascii="Times New Roman" w:eastAsia="宋体" w:hAnsi="Times New Roman" w:cs="Times New Roman"/>
      <w:sz w:val="18"/>
      <w:szCs w:val="18"/>
    </w:rPr>
  </w:style>
  <w:style w:type="character" w:styleId="FollowedHyperlink">
    <w:name w:val="FollowedHyperlink"/>
    <w:basedOn w:val="DefaultParagraphFont"/>
    <w:uiPriority w:val="99"/>
    <w:rPr>
      <w:color w:val="800080"/>
      <w:u w:val="single"/>
    </w:rPr>
  </w:style>
  <w:style w:type="character" w:styleId="Hyperlink">
    <w:name w:val="Hyperlink"/>
    <w:basedOn w:val="DefaultParagraphFont"/>
    <w:uiPriority w:val="99"/>
    <w:rPr>
      <w:color w:val="0000FF"/>
      <w:spacing w:val="0"/>
      <w:w w:val="100"/>
      <w:sz w:val="21"/>
      <w:szCs w:val="21"/>
      <w:u w:val="single"/>
    </w:rPr>
  </w:style>
  <w:style w:type="character" w:styleId="FootnoteReference">
    <w:name w:val="footnote reference"/>
    <w:basedOn w:val="DefaultParagraphFont"/>
    <w:uiPriority w:val="99"/>
    <w:semiHidden/>
    <w:rPr>
      <w:vertAlign w:val="superscript"/>
    </w:rPr>
  </w:style>
  <w:style w:type="character" w:customStyle="1" w:styleId="Char">
    <w:name w:val="段 Char"/>
    <w:basedOn w:val="DefaultParagraphFont"/>
    <w:link w:val="a"/>
    <w:uiPriority w:val="99"/>
    <w:locked/>
    <w:rPr>
      <w:rFonts w:ascii="宋体" w:cs="宋体"/>
      <w:sz w:val="21"/>
      <w:szCs w:val="21"/>
      <w:lang w:val="en-US" w:eastAsia="zh-CN"/>
    </w:rPr>
  </w:style>
  <w:style w:type="paragraph" w:customStyle="1" w:styleId="a0">
    <w:name w:val="一级条标题"/>
    <w:next w:val="a"/>
    <w:uiPriority w:val="99"/>
    <w:pPr>
      <w:numPr>
        <w:ilvl w:val="1"/>
        <w:numId w:val="2"/>
      </w:numPr>
      <w:spacing w:beforeLines="50" w:afterLines="50"/>
      <w:outlineLvl w:val="2"/>
    </w:pPr>
    <w:rPr>
      <w:rFonts w:ascii="黑体" w:eastAsia="黑体" w:hAnsi="Times New Roman" w:cs="黑体"/>
      <w:kern w:val="0"/>
      <w:sz w:val="21"/>
      <w:szCs w:val="21"/>
      <w:lang w:val="en-US" w:eastAsia="zh-CN" w:bidi="ar-SA"/>
    </w:rPr>
  </w:style>
  <w:style w:type="paragraph" w:customStyle="1" w:styleId="a1">
    <w:name w:val="标准书脚_奇数页"/>
    <w:uiPriority w:val="99"/>
    <w:pPr>
      <w:spacing w:before="120"/>
      <w:ind w:right="198"/>
      <w:jc w:val="right"/>
    </w:pPr>
    <w:rPr>
      <w:rFonts w:ascii="宋体" w:eastAsia="宋体" w:hAnsi="Times New Roman" w:cs="宋体"/>
      <w:kern w:val="0"/>
      <w:sz w:val="18"/>
      <w:szCs w:val="18"/>
      <w:lang w:val="en-US" w:eastAsia="zh-CN" w:bidi="ar-SA"/>
    </w:rPr>
  </w:style>
  <w:style w:type="paragraph" w:customStyle="1" w:styleId="a2">
    <w:name w:val="标准书眉_奇数页"/>
    <w:next w:val="Normal"/>
    <w:uiPriority w:val="99"/>
    <w:pPr>
      <w:tabs>
        <w:tab w:val="center" w:pos="4154"/>
        <w:tab w:val="right" w:pos="8306"/>
      </w:tabs>
      <w:spacing w:after="220"/>
      <w:jc w:val="right"/>
    </w:pPr>
    <w:rPr>
      <w:rFonts w:ascii="黑体" w:eastAsia="黑体" w:hAnsi="Times New Roman" w:cs="黑体"/>
      <w:kern w:val="0"/>
      <w:sz w:val="21"/>
      <w:szCs w:val="21"/>
      <w:lang w:val="en-US" w:eastAsia="zh-CN" w:bidi="ar-SA"/>
    </w:rPr>
  </w:style>
  <w:style w:type="paragraph" w:customStyle="1" w:styleId="a3">
    <w:name w:val="章标题"/>
    <w:next w:val="a"/>
    <w:uiPriority w:val="99"/>
    <w:pPr>
      <w:numPr>
        <w:ilvl w:val="0"/>
        <w:numId w:val="2"/>
      </w:numPr>
      <w:spacing w:beforeLines="100" w:afterLines="100"/>
      <w:jc w:val="both"/>
      <w:outlineLvl w:val="1"/>
    </w:pPr>
    <w:rPr>
      <w:rFonts w:ascii="黑体" w:eastAsia="黑体" w:hAnsi="Times New Roman" w:cs="黑体"/>
      <w:kern w:val="0"/>
      <w:sz w:val="21"/>
      <w:szCs w:val="21"/>
      <w:lang w:val="en-US" w:eastAsia="zh-CN" w:bidi="ar-SA"/>
    </w:rPr>
  </w:style>
  <w:style w:type="paragraph" w:customStyle="1" w:styleId="a4">
    <w:name w:val="二级条标题"/>
    <w:basedOn w:val="a0"/>
    <w:next w:val="a"/>
    <w:uiPriority w:val="99"/>
    <w:pPr>
      <w:numPr>
        <w:ilvl w:val="2"/>
      </w:numPr>
      <w:spacing w:before="50" w:after="50"/>
      <w:outlineLvl w:val="3"/>
    </w:pPr>
  </w:style>
  <w:style w:type="paragraph" w:customStyle="1" w:styleId="2">
    <w:name w:val="封面标准号2"/>
    <w:uiPriority w:val="99"/>
    <w:pPr>
      <w:framePr w:w="9140" w:h="1242" w:hRule="exact" w:hSpace="284" w:wrap="auto" w:vAnchor="page" w:hAnchor="page" w:x="1645" w:y="2910" w:anchorLock="1"/>
      <w:spacing w:before="357" w:line="280" w:lineRule="exact"/>
      <w:jc w:val="right"/>
    </w:pPr>
    <w:rPr>
      <w:rFonts w:ascii="黑体" w:eastAsia="黑体" w:hAnsi="Times New Roman" w:cs="黑体"/>
      <w:kern w:val="0"/>
      <w:sz w:val="28"/>
      <w:szCs w:val="28"/>
      <w:lang w:val="en-US" w:eastAsia="zh-CN" w:bidi="ar-SA"/>
    </w:rPr>
  </w:style>
  <w:style w:type="paragraph" w:customStyle="1" w:styleId="a5">
    <w:name w:val="列项——（一级）"/>
    <w:uiPriority w:val="99"/>
    <w:pPr>
      <w:widowControl w:val="0"/>
      <w:numPr>
        <w:ilvl w:val="0"/>
        <w:numId w:val="3"/>
      </w:numPr>
      <w:jc w:val="both"/>
    </w:pPr>
    <w:rPr>
      <w:rFonts w:ascii="宋体" w:eastAsia="宋体" w:hAnsi="Times New Roman" w:cs="宋体"/>
      <w:kern w:val="0"/>
      <w:sz w:val="21"/>
      <w:szCs w:val="21"/>
      <w:lang w:val="en-US" w:eastAsia="zh-CN" w:bidi="ar-SA"/>
    </w:rPr>
  </w:style>
  <w:style w:type="paragraph" w:customStyle="1" w:styleId="a6">
    <w:name w:val="列项●（二级）"/>
    <w:uiPriority w:val="99"/>
    <w:pPr>
      <w:numPr>
        <w:ilvl w:val="1"/>
        <w:numId w:val="3"/>
      </w:numPr>
      <w:tabs>
        <w:tab w:val="left" w:pos="840"/>
      </w:tabs>
      <w:jc w:val="both"/>
    </w:pPr>
    <w:rPr>
      <w:rFonts w:ascii="宋体" w:eastAsia="宋体" w:hAnsi="Times New Roman" w:cs="宋体"/>
      <w:kern w:val="0"/>
      <w:sz w:val="21"/>
      <w:szCs w:val="21"/>
      <w:lang w:val="en-US" w:eastAsia="zh-CN" w:bidi="ar-SA"/>
    </w:rPr>
  </w:style>
  <w:style w:type="paragraph" w:customStyle="1" w:styleId="a7">
    <w:name w:val="目次、标准名称标题"/>
    <w:basedOn w:val="Normal"/>
    <w:next w:val="a"/>
    <w:uiPriority w:val="99"/>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8">
    <w:name w:val="三级条标题"/>
    <w:basedOn w:val="a4"/>
    <w:next w:val="a"/>
    <w:uiPriority w:val="99"/>
    <w:pPr>
      <w:numPr>
        <w:ilvl w:val="3"/>
      </w:numPr>
      <w:ind w:left="0"/>
      <w:outlineLvl w:val="4"/>
    </w:pPr>
  </w:style>
  <w:style w:type="paragraph" w:customStyle="1" w:styleId="a9">
    <w:name w:val="示例"/>
    <w:next w:val="a10"/>
    <w:uiPriority w:val="99"/>
    <w:pPr>
      <w:widowControl w:val="0"/>
      <w:ind w:firstLine="363"/>
      <w:jc w:val="both"/>
    </w:pPr>
    <w:rPr>
      <w:rFonts w:ascii="宋体" w:eastAsia="宋体" w:hAnsi="Times New Roman" w:cs="宋体"/>
      <w:kern w:val="0"/>
      <w:sz w:val="18"/>
      <w:szCs w:val="18"/>
      <w:lang w:val="en-US" w:eastAsia="zh-CN" w:bidi="ar-SA"/>
    </w:rPr>
  </w:style>
  <w:style w:type="paragraph" w:customStyle="1" w:styleId="a10">
    <w:name w:val="示例内容"/>
    <w:uiPriority w:val="99"/>
    <w:pPr>
      <w:ind w:firstLine="200" w:firstLineChars="200"/>
    </w:pPr>
    <w:rPr>
      <w:rFonts w:ascii="宋体" w:eastAsia="宋体" w:hAnsi="Times New Roman" w:cs="宋体"/>
      <w:kern w:val="0"/>
      <w:sz w:val="18"/>
      <w:szCs w:val="18"/>
      <w:lang w:val="en-US" w:eastAsia="zh-CN" w:bidi="ar-SA"/>
    </w:rPr>
  </w:style>
  <w:style w:type="paragraph" w:customStyle="1" w:styleId="a11">
    <w:name w:val="数字编号列项（二级）"/>
    <w:uiPriority w:val="99"/>
    <w:pPr>
      <w:numPr>
        <w:ilvl w:val="1"/>
        <w:numId w:val="4"/>
      </w:numPr>
      <w:jc w:val="both"/>
    </w:pPr>
    <w:rPr>
      <w:rFonts w:ascii="宋体" w:eastAsia="宋体" w:hAnsi="Times New Roman" w:cs="宋体"/>
      <w:kern w:val="0"/>
      <w:sz w:val="21"/>
      <w:szCs w:val="21"/>
      <w:lang w:val="en-US" w:eastAsia="zh-CN" w:bidi="ar-SA"/>
    </w:rPr>
  </w:style>
  <w:style w:type="paragraph" w:customStyle="1" w:styleId="a12">
    <w:name w:val="四级条标题"/>
    <w:basedOn w:val="a8"/>
    <w:next w:val="a"/>
    <w:uiPriority w:val="99"/>
    <w:pPr>
      <w:numPr>
        <w:ilvl w:val="4"/>
      </w:numPr>
      <w:outlineLvl w:val="5"/>
    </w:pPr>
  </w:style>
  <w:style w:type="paragraph" w:customStyle="1" w:styleId="a13">
    <w:name w:val="五级条标题"/>
    <w:basedOn w:val="a12"/>
    <w:next w:val="a"/>
    <w:uiPriority w:val="99"/>
    <w:pPr>
      <w:numPr>
        <w:ilvl w:val="5"/>
      </w:numPr>
      <w:outlineLvl w:val="6"/>
    </w:pPr>
  </w:style>
  <w:style w:type="character" w:customStyle="1" w:styleId="FooterChar">
    <w:name w:val="Footer Char"/>
    <w:basedOn w:val="DefaultParagraphFont"/>
    <w:link w:val="Footer"/>
    <w:uiPriority w:val="99"/>
    <w:semiHidden/>
    <w:rPr>
      <w:sz w:val="18"/>
      <w:szCs w:val="18"/>
    </w:rPr>
  </w:style>
  <w:style w:type="character" w:customStyle="1" w:styleId="HeaderChar">
    <w:name w:val="Header Char"/>
    <w:basedOn w:val="DefaultParagraphFont"/>
    <w:link w:val="Header"/>
    <w:uiPriority w:val="99"/>
    <w:semiHidden/>
    <w:rPr>
      <w:sz w:val="18"/>
      <w:szCs w:val="18"/>
    </w:rPr>
  </w:style>
  <w:style w:type="paragraph" w:customStyle="1" w:styleId="a14">
    <w:name w:val="注："/>
    <w:next w:val="a"/>
    <w:uiPriority w:val="99"/>
    <w:pPr>
      <w:widowControl w:val="0"/>
      <w:autoSpaceDE w:val="0"/>
      <w:autoSpaceDN w:val="0"/>
      <w:ind w:left="726" w:hanging="363"/>
      <w:jc w:val="both"/>
    </w:pPr>
    <w:rPr>
      <w:rFonts w:ascii="宋体" w:eastAsia="宋体" w:hAnsi="Times New Roman" w:cs="宋体"/>
      <w:kern w:val="0"/>
      <w:sz w:val="18"/>
      <w:szCs w:val="18"/>
      <w:lang w:val="en-US" w:eastAsia="zh-CN" w:bidi="ar-SA"/>
    </w:rPr>
  </w:style>
  <w:style w:type="paragraph" w:customStyle="1" w:styleId="a15">
    <w:name w:val="注×："/>
    <w:uiPriority w:val="99"/>
    <w:pPr>
      <w:widowControl w:val="0"/>
      <w:autoSpaceDE w:val="0"/>
      <w:autoSpaceDN w:val="0"/>
      <w:ind w:left="811" w:hanging="448"/>
      <w:jc w:val="both"/>
    </w:pPr>
    <w:rPr>
      <w:rFonts w:ascii="宋体" w:eastAsia="宋体" w:hAnsi="Times New Roman" w:cs="宋体"/>
      <w:kern w:val="0"/>
      <w:sz w:val="18"/>
      <w:szCs w:val="18"/>
      <w:lang w:val="en-US" w:eastAsia="zh-CN" w:bidi="ar-SA"/>
    </w:rPr>
  </w:style>
  <w:style w:type="paragraph" w:customStyle="1" w:styleId="a16">
    <w:name w:val="字母编号列项（一级）"/>
    <w:uiPriority w:val="99"/>
    <w:pPr>
      <w:numPr>
        <w:ilvl w:val="0"/>
        <w:numId w:val="4"/>
      </w:numPr>
      <w:jc w:val="both"/>
    </w:pPr>
    <w:rPr>
      <w:rFonts w:ascii="宋体" w:eastAsia="宋体" w:hAnsi="Times New Roman" w:cs="宋体"/>
      <w:kern w:val="0"/>
      <w:sz w:val="21"/>
      <w:szCs w:val="21"/>
      <w:lang w:val="en-US" w:eastAsia="zh-CN" w:bidi="ar-SA"/>
    </w:rPr>
  </w:style>
  <w:style w:type="paragraph" w:customStyle="1" w:styleId="a17">
    <w:name w:val="列项◆（三级）"/>
    <w:basedOn w:val="Normal"/>
    <w:uiPriority w:val="99"/>
    <w:pPr>
      <w:numPr>
        <w:ilvl w:val="2"/>
        <w:numId w:val="3"/>
      </w:numPr>
    </w:pPr>
    <w:rPr>
      <w:rFonts w:ascii="宋体" w:cs="宋体"/>
    </w:rPr>
  </w:style>
  <w:style w:type="paragraph" w:customStyle="1" w:styleId="a18">
    <w:name w:val="编号列项（三级）"/>
    <w:uiPriority w:val="99"/>
    <w:pPr>
      <w:numPr>
        <w:ilvl w:val="2"/>
        <w:numId w:val="4"/>
      </w:numPr>
    </w:pPr>
    <w:rPr>
      <w:rFonts w:ascii="宋体" w:eastAsia="宋体" w:hAnsi="Times New Roman" w:cs="宋体"/>
      <w:kern w:val="0"/>
      <w:sz w:val="21"/>
      <w:szCs w:val="21"/>
      <w:lang w:val="en-US" w:eastAsia="zh-CN" w:bidi="ar-SA"/>
    </w:rPr>
  </w:style>
  <w:style w:type="paragraph" w:customStyle="1" w:styleId="a19">
    <w:name w:val="示例×："/>
    <w:basedOn w:val="a3"/>
    <w:uiPriority w:val="99"/>
    <w:pPr>
      <w:numPr>
        <w:numId w:val="0"/>
      </w:numPr>
      <w:spacing w:beforeLines="0" w:afterLines="0"/>
      <w:ind w:firstLine="363"/>
      <w:outlineLvl w:val="9"/>
    </w:pPr>
    <w:rPr>
      <w:rFonts w:ascii="宋体" w:eastAsia="宋体" w:cs="宋体"/>
      <w:sz w:val="18"/>
      <w:szCs w:val="18"/>
    </w:rPr>
  </w:style>
  <w:style w:type="paragraph" w:customStyle="1" w:styleId="a20">
    <w:name w:val="二级无"/>
    <w:basedOn w:val="a4"/>
    <w:uiPriority w:val="99"/>
    <w:pPr>
      <w:spacing w:beforeLines="0" w:afterLines="0"/>
    </w:pPr>
    <w:rPr>
      <w:rFonts w:ascii="宋体" w:eastAsia="宋体" w:cs="宋体"/>
    </w:rPr>
  </w:style>
  <w:style w:type="paragraph" w:customStyle="1" w:styleId="a21">
    <w:name w:val="注：（正文）"/>
    <w:basedOn w:val="a14"/>
    <w:next w:val="a"/>
    <w:uiPriority w:val="99"/>
  </w:style>
  <w:style w:type="paragraph" w:customStyle="1" w:styleId="a22">
    <w:name w:val="注×：（正文）"/>
    <w:uiPriority w:val="99"/>
    <w:pPr>
      <w:numPr>
        <w:ilvl w:val="0"/>
        <w:numId w:val="5"/>
      </w:numPr>
      <w:jc w:val="both"/>
    </w:pPr>
    <w:rPr>
      <w:rFonts w:ascii="宋体" w:eastAsia="宋体" w:hAnsi="Times New Roman" w:cs="宋体"/>
      <w:kern w:val="0"/>
      <w:sz w:val="18"/>
      <w:szCs w:val="18"/>
      <w:lang w:val="en-US" w:eastAsia="zh-CN" w:bidi="ar-SA"/>
    </w:rPr>
  </w:style>
  <w:style w:type="paragraph" w:customStyle="1" w:styleId="a23">
    <w:name w:val="标准标志"/>
    <w:next w:val="Normal"/>
    <w:uiPriority w:val="99"/>
    <w:pPr>
      <w:framePr w:w="2546" w:h="1389" w:hRule="exact" w:hSpace="181" w:vSpace="181" w:wrap="auto" w:vAnchor="margin" w:hAnchor="margin" w:x="6522" w:y="398" w:anchorLock="1"/>
      <w:shd w:val="solid" w:color="FFFFFF" w:fill="FFFFFF"/>
      <w:spacing w:line="240" w:lineRule="atLeast"/>
      <w:jc w:val="right"/>
    </w:pPr>
    <w:rPr>
      <w:rFonts w:ascii="Times New Roman" w:eastAsia="宋体" w:hAnsi="Times New Roman" w:cs="Times New Roman"/>
      <w:b/>
      <w:bCs/>
      <w:w w:val="170"/>
      <w:kern w:val="0"/>
      <w:sz w:val="96"/>
      <w:szCs w:val="96"/>
      <w:lang w:val="en-US" w:eastAsia="zh-CN" w:bidi="ar-SA"/>
    </w:rPr>
  </w:style>
  <w:style w:type="paragraph" w:customStyle="1" w:styleId="a24">
    <w:name w:val="标准称谓"/>
    <w:next w:val="Normal"/>
    <w:uiPriority w:val="99"/>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eastAsia="宋体" w:hAnsi="Times New Roman" w:cs="宋体"/>
      <w:b/>
      <w:bCs/>
      <w:spacing w:val="20"/>
      <w:w w:val="148"/>
      <w:kern w:val="0"/>
      <w:sz w:val="48"/>
      <w:szCs w:val="48"/>
      <w:lang w:val="en-US" w:eastAsia="zh-CN" w:bidi="ar-SA"/>
    </w:rPr>
  </w:style>
  <w:style w:type="paragraph" w:customStyle="1" w:styleId="a25">
    <w:name w:val="标准书脚_偶数页"/>
    <w:uiPriority w:val="99"/>
    <w:pPr>
      <w:spacing w:before="120"/>
      <w:ind w:left="221"/>
    </w:pPr>
    <w:rPr>
      <w:rFonts w:ascii="宋体" w:eastAsia="宋体" w:hAnsi="Times New Roman" w:cs="宋体"/>
      <w:kern w:val="0"/>
      <w:sz w:val="18"/>
      <w:szCs w:val="18"/>
      <w:lang w:val="en-US" w:eastAsia="zh-CN" w:bidi="ar-SA"/>
    </w:rPr>
  </w:style>
  <w:style w:type="paragraph" w:customStyle="1" w:styleId="a26">
    <w:name w:val="标准书眉_偶数页"/>
    <w:basedOn w:val="a2"/>
    <w:next w:val="Normal"/>
    <w:uiPriority w:val="99"/>
    <w:pPr>
      <w:jc w:val="left"/>
    </w:pPr>
  </w:style>
  <w:style w:type="paragraph" w:customStyle="1" w:styleId="a27">
    <w:name w:val="标准书眉一"/>
    <w:uiPriority w:val="99"/>
    <w:pPr>
      <w:jc w:val="both"/>
    </w:pPr>
    <w:rPr>
      <w:rFonts w:ascii="Times New Roman" w:eastAsia="宋体" w:hAnsi="Times New Roman" w:cs="Times New Roman"/>
      <w:kern w:val="0"/>
      <w:sz w:val="20"/>
      <w:szCs w:val="20"/>
      <w:lang w:val="en-US" w:eastAsia="zh-CN" w:bidi="ar-SA"/>
    </w:rPr>
  </w:style>
  <w:style w:type="paragraph" w:customStyle="1" w:styleId="a28">
    <w:name w:val="参考文献"/>
    <w:basedOn w:val="Normal"/>
    <w:next w:val="a"/>
    <w:uiPriority w:val="99"/>
    <w:pPr>
      <w:keepNext/>
      <w:pageBreakBefore/>
      <w:widowControl/>
      <w:shd w:val="clear" w:color="FFFFFF" w:fill="FFFFFF"/>
      <w:spacing w:before="640" w:after="200"/>
      <w:jc w:val="center"/>
      <w:outlineLvl w:val="0"/>
    </w:pPr>
    <w:rPr>
      <w:rFonts w:ascii="黑体" w:eastAsia="黑体" w:cs="黑体"/>
      <w:kern w:val="0"/>
    </w:rPr>
  </w:style>
  <w:style w:type="paragraph" w:customStyle="1" w:styleId="a29">
    <w:name w:val="参考文献、索引标题"/>
    <w:basedOn w:val="Normal"/>
    <w:next w:val="a"/>
    <w:uiPriority w:val="99"/>
    <w:pPr>
      <w:keepNext/>
      <w:pageBreakBefore/>
      <w:widowControl/>
      <w:shd w:val="clear" w:color="FFFFFF" w:fill="FFFFFF"/>
      <w:spacing w:before="640" w:after="200"/>
      <w:jc w:val="center"/>
      <w:outlineLvl w:val="0"/>
    </w:pPr>
    <w:rPr>
      <w:rFonts w:ascii="黑体" w:eastAsia="黑体" w:cs="黑体"/>
      <w:kern w:val="0"/>
    </w:rPr>
  </w:style>
  <w:style w:type="character" w:customStyle="1" w:styleId="a30">
    <w:name w:val="发布"/>
    <w:basedOn w:val="DefaultParagraphFont"/>
    <w:uiPriority w:val="99"/>
    <w:rPr>
      <w:rFonts w:ascii="黑体" w:eastAsia="黑体" w:cs="黑体"/>
      <w:spacing w:val="85"/>
      <w:w w:val="100"/>
      <w:position w:val="3"/>
      <w:sz w:val="28"/>
      <w:szCs w:val="28"/>
    </w:rPr>
  </w:style>
  <w:style w:type="paragraph" w:customStyle="1" w:styleId="a31">
    <w:name w:val="发布部门"/>
    <w:next w:val="a"/>
    <w:uiPriority w:val="99"/>
    <w:pPr>
      <w:framePr w:w="7938" w:h="1134" w:hRule="exact" w:hSpace="125" w:vSpace="181" w:wrap="auto" w:vAnchor="page" w:hAnchor="page" w:x="2150" w:y="14630" w:anchorLock="1"/>
      <w:jc w:val="center"/>
    </w:pPr>
    <w:rPr>
      <w:rFonts w:ascii="宋体" w:eastAsia="宋体" w:hAnsi="Times New Roman" w:cs="宋体"/>
      <w:b/>
      <w:bCs/>
      <w:spacing w:val="20"/>
      <w:w w:val="135"/>
      <w:kern w:val="0"/>
      <w:sz w:val="28"/>
      <w:szCs w:val="28"/>
      <w:lang w:val="en-US" w:eastAsia="zh-CN" w:bidi="ar-SA"/>
    </w:rPr>
  </w:style>
  <w:style w:type="paragraph" w:customStyle="1" w:styleId="a32">
    <w:name w:val="发布日期"/>
    <w:uiPriority w:val="99"/>
    <w:pPr>
      <w:framePr w:w="3997" w:h="471" w:hRule="exact" w:vSpace="181" w:wrap="auto" w:vAnchor="margin" w:hAnchor="page" w:x="7089" w:y="14097" w:anchorLock="1"/>
    </w:pPr>
    <w:rPr>
      <w:rFonts w:ascii="Times New Roman" w:eastAsia="黑体" w:hAnsi="Times New Roman" w:cs="Times New Roman"/>
      <w:kern w:val="0"/>
      <w:sz w:val="28"/>
      <w:szCs w:val="28"/>
      <w:lang w:val="en-US" w:eastAsia="zh-CN" w:bidi="ar-SA"/>
    </w:rPr>
  </w:style>
  <w:style w:type="paragraph" w:customStyle="1" w:styleId="a33">
    <w:name w:val="封面标准代替信息"/>
    <w:uiPriority w:val="99"/>
    <w:pPr>
      <w:framePr w:w="9140" w:h="1242" w:hRule="exact" w:hSpace="284" w:wrap="auto" w:vAnchor="page" w:hAnchor="page" w:x="1645" w:y="2910" w:anchorLock="1"/>
      <w:spacing w:before="57" w:line="280" w:lineRule="exact"/>
      <w:jc w:val="right"/>
    </w:pPr>
    <w:rPr>
      <w:rFonts w:ascii="宋体" w:eastAsia="宋体" w:hAnsi="Times New Roman" w:cs="宋体"/>
      <w:kern w:val="0"/>
      <w:sz w:val="21"/>
      <w:szCs w:val="21"/>
      <w:lang w:val="en-US" w:eastAsia="zh-CN" w:bidi="ar-SA"/>
    </w:rPr>
  </w:style>
  <w:style w:type="paragraph" w:customStyle="1" w:styleId="1">
    <w:name w:val="封面标准号1"/>
    <w:uiPriority w:val="99"/>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8"/>
      <w:lang w:val="en-US" w:eastAsia="zh-CN" w:bidi="ar-SA"/>
    </w:rPr>
  </w:style>
  <w:style w:type="paragraph" w:customStyle="1" w:styleId="a34">
    <w:name w:val="封面标准名称"/>
    <w:uiPriority w:val="99"/>
    <w:pPr>
      <w:framePr w:w="9639" w:h="6917" w:hRule="exact" w:wrap="auto" w:vAnchor="page" w:hAnchor="page" w:xAlign="center" w:y="6408" w:anchorLock="1"/>
      <w:widowControl w:val="0"/>
      <w:spacing w:line="680" w:lineRule="exact"/>
      <w:jc w:val="center"/>
      <w:textAlignment w:val="center"/>
    </w:pPr>
    <w:rPr>
      <w:rFonts w:ascii="黑体" w:eastAsia="黑体" w:hAnsi="Times New Roman" w:cs="黑体"/>
      <w:kern w:val="0"/>
      <w:sz w:val="52"/>
      <w:szCs w:val="52"/>
      <w:lang w:val="en-US" w:eastAsia="zh-CN" w:bidi="ar-SA"/>
    </w:rPr>
  </w:style>
  <w:style w:type="paragraph" w:customStyle="1" w:styleId="a35">
    <w:name w:val="封面标准英文名称"/>
    <w:basedOn w:val="a34"/>
    <w:uiPriority w:val="99"/>
    <w:pPr>
      <w:spacing w:before="370" w:line="400" w:lineRule="exact"/>
    </w:pPr>
    <w:rPr>
      <w:rFonts w:ascii="Times New Roman" w:cs="Times New Roman"/>
      <w:sz w:val="28"/>
      <w:szCs w:val="28"/>
    </w:rPr>
  </w:style>
  <w:style w:type="paragraph" w:customStyle="1" w:styleId="a36">
    <w:name w:val="封面一致性程度标识"/>
    <w:basedOn w:val="a35"/>
    <w:uiPriority w:val="99"/>
    <w:pPr>
      <w:spacing w:before="440"/>
    </w:pPr>
    <w:rPr>
      <w:rFonts w:ascii="宋体" w:eastAsia="宋体" w:cs="宋体"/>
    </w:rPr>
  </w:style>
  <w:style w:type="paragraph" w:customStyle="1" w:styleId="a37">
    <w:name w:val="封面标准文稿类别"/>
    <w:basedOn w:val="a36"/>
    <w:uiPriority w:val="99"/>
    <w:pPr>
      <w:spacing w:after="160" w:line="240" w:lineRule="auto"/>
    </w:pPr>
    <w:rPr>
      <w:sz w:val="24"/>
      <w:szCs w:val="24"/>
    </w:rPr>
  </w:style>
  <w:style w:type="paragraph" w:customStyle="1" w:styleId="a38">
    <w:name w:val="封面标准文稿编辑信息"/>
    <w:basedOn w:val="a37"/>
    <w:uiPriority w:val="99"/>
    <w:pPr>
      <w:spacing w:before="180" w:line="180" w:lineRule="exact"/>
    </w:pPr>
    <w:rPr>
      <w:sz w:val="21"/>
      <w:szCs w:val="21"/>
    </w:rPr>
  </w:style>
  <w:style w:type="paragraph" w:customStyle="1" w:styleId="a39">
    <w:name w:val="封面正文"/>
    <w:uiPriority w:val="99"/>
    <w:pPr>
      <w:jc w:val="both"/>
    </w:pPr>
    <w:rPr>
      <w:rFonts w:ascii="Times New Roman" w:eastAsia="宋体" w:hAnsi="Times New Roman" w:cs="Times New Roman"/>
      <w:kern w:val="0"/>
      <w:sz w:val="20"/>
      <w:szCs w:val="20"/>
      <w:lang w:val="en-US" w:eastAsia="zh-CN" w:bidi="ar-SA"/>
    </w:rPr>
  </w:style>
  <w:style w:type="paragraph" w:customStyle="1" w:styleId="a40">
    <w:name w:val="附录标识"/>
    <w:basedOn w:val="Normal"/>
    <w:next w:val="a"/>
    <w:uiPriority w:val="99"/>
    <w:pPr>
      <w:keepNext/>
      <w:widowControl/>
      <w:numPr>
        <w:ilvl w:val="0"/>
        <w:numId w:val="6"/>
      </w:numPr>
      <w:shd w:val="clear" w:color="FFFFFF" w:fill="FFFFFF"/>
      <w:tabs>
        <w:tab w:val="left" w:pos="360"/>
        <w:tab w:val="left" w:pos="6405"/>
      </w:tabs>
      <w:spacing w:before="640" w:after="280"/>
      <w:jc w:val="center"/>
      <w:outlineLvl w:val="0"/>
    </w:pPr>
    <w:rPr>
      <w:rFonts w:ascii="黑体" w:eastAsia="黑体" w:cs="黑体"/>
      <w:kern w:val="0"/>
    </w:rPr>
  </w:style>
  <w:style w:type="paragraph" w:customStyle="1" w:styleId="a41">
    <w:name w:val="附录标题"/>
    <w:basedOn w:val="a"/>
    <w:next w:val="a"/>
    <w:uiPriority w:val="99"/>
    <w:pPr>
      <w:ind w:firstLine="0" w:firstLineChars="0"/>
      <w:jc w:val="center"/>
    </w:pPr>
    <w:rPr>
      <w:rFonts w:ascii="黑体" w:eastAsia="黑体" w:cs="黑体"/>
    </w:rPr>
  </w:style>
  <w:style w:type="paragraph" w:customStyle="1" w:styleId="a42">
    <w:name w:val="附录表标号"/>
    <w:basedOn w:val="Normal"/>
    <w:next w:val="a"/>
    <w:uiPriority w:val="99"/>
    <w:pPr>
      <w:numPr>
        <w:ilvl w:val="0"/>
        <w:numId w:val="7"/>
      </w:numPr>
      <w:tabs>
        <w:tab w:val="clear" w:pos="0"/>
      </w:tabs>
      <w:spacing w:line="14" w:lineRule="exact"/>
      <w:ind w:left="811" w:hanging="448"/>
      <w:jc w:val="center"/>
      <w:outlineLvl w:val="0"/>
    </w:pPr>
    <w:rPr>
      <w:color w:val="FFFFFF"/>
    </w:rPr>
  </w:style>
  <w:style w:type="paragraph" w:customStyle="1" w:styleId="a43">
    <w:name w:val="附录表标题"/>
    <w:basedOn w:val="Normal"/>
    <w:next w:val="a"/>
    <w:uiPriority w:val="99"/>
    <w:pPr>
      <w:numPr>
        <w:ilvl w:val="1"/>
        <w:numId w:val="7"/>
      </w:numPr>
      <w:tabs>
        <w:tab w:val="left" w:pos="180"/>
      </w:tabs>
      <w:spacing w:beforeLines="50" w:afterLines="50"/>
      <w:ind w:left="0" w:firstLine="0"/>
      <w:jc w:val="center"/>
    </w:pPr>
    <w:rPr>
      <w:rFonts w:ascii="黑体" w:eastAsia="黑体" w:cs="黑体"/>
    </w:rPr>
  </w:style>
  <w:style w:type="paragraph" w:customStyle="1" w:styleId="a44">
    <w:name w:val="附录二级条标题"/>
    <w:basedOn w:val="Normal"/>
    <w:next w:val="a"/>
    <w:uiPriority w:val="99"/>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a45">
    <w:name w:val="附录二级无"/>
    <w:basedOn w:val="a44"/>
    <w:uiPriority w:val="99"/>
    <w:pPr>
      <w:tabs>
        <w:tab w:val="clear" w:pos="360"/>
      </w:tabs>
      <w:spacing w:beforeLines="0" w:afterLines="0"/>
    </w:pPr>
    <w:rPr>
      <w:rFonts w:ascii="宋体" w:eastAsia="宋体" w:cs="宋体"/>
    </w:rPr>
  </w:style>
  <w:style w:type="paragraph" w:customStyle="1" w:styleId="a46">
    <w:name w:val="附录公式"/>
    <w:basedOn w:val="a"/>
    <w:next w:val="a"/>
    <w:link w:val="Char0"/>
    <w:uiPriority w:val="99"/>
  </w:style>
  <w:style w:type="character" w:customStyle="1" w:styleId="Char0">
    <w:name w:val="附录公式 Char"/>
    <w:basedOn w:val="Char"/>
    <w:link w:val="a46"/>
    <w:uiPriority w:val="99"/>
    <w:locked/>
  </w:style>
  <w:style w:type="paragraph" w:customStyle="1" w:styleId="a47">
    <w:name w:val="附录公式编号制表符"/>
    <w:basedOn w:val="Normal"/>
    <w:next w:val="a"/>
    <w:uiPriority w:val="99"/>
    <w:pPr>
      <w:widowControl/>
      <w:tabs>
        <w:tab w:val="center" w:pos="4201"/>
        <w:tab w:val="right" w:leader="dot" w:pos="9298"/>
      </w:tabs>
      <w:autoSpaceDE w:val="0"/>
      <w:autoSpaceDN w:val="0"/>
    </w:pPr>
    <w:rPr>
      <w:rFonts w:ascii="宋体" w:cs="宋体"/>
      <w:kern w:val="0"/>
    </w:rPr>
  </w:style>
  <w:style w:type="paragraph" w:customStyle="1" w:styleId="a48">
    <w:name w:val="附录三级条标题"/>
    <w:basedOn w:val="a44"/>
    <w:next w:val="a"/>
    <w:uiPriority w:val="99"/>
    <w:pPr>
      <w:numPr>
        <w:ilvl w:val="4"/>
      </w:numPr>
      <w:outlineLvl w:val="4"/>
    </w:pPr>
  </w:style>
  <w:style w:type="paragraph" w:customStyle="1" w:styleId="a49">
    <w:name w:val="附录三级无"/>
    <w:basedOn w:val="a48"/>
    <w:uiPriority w:val="99"/>
    <w:pPr>
      <w:tabs>
        <w:tab w:val="clear" w:pos="360"/>
      </w:tabs>
      <w:spacing w:beforeLines="0" w:afterLines="0"/>
    </w:pPr>
    <w:rPr>
      <w:rFonts w:ascii="宋体" w:eastAsia="宋体" w:cs="宋体"/>
    </w:rPr>
  </w:style>
  <w:style w:type="paragraph" w:customStyle="1" w:styleId="a50">
    <w:name w:val="附录数字编号列项（二级）"/>
    <w:uiPriority w:val="99"/>
    <w:pPr>
      <w:numPr>
        <w:ilvl w:val="1"/>
        <w:numId w:val="8"/>
      </w:numPr>
    </w:pPr>
    <w:rPr>
      <w:rFonts w:ascii="宋体" w:eastAsia="宋体" w:hAnsi="Times New Roman" w:cs="宋体"/>
      <w:kern w:val="0"/>
      <w:sz w:val="21"/>
      <w:szCs w:val="21"/>
      <w:lang w:val="en-US" w:eastAsia="zh-CN" w:bidi="ar-SA"/>
    </w:rPr>
  </w:style>
  <w:style w:type="paragraph" w:customStyle="1" w:styleId="a51">
    <w:name w:val="附录四级条标题"/>
    <w:basedOn w:val="a48"/>
    <w:next w:val="a"/>
    <w:uiPriority w:val="99"/>
    <w:pPr>
      <w:numPr>
        <w:ilvl w:val="5"/>
      </w:numPr>
      <w:outlineLvl w:val="5"/>
    </w:pPr>
  </w:style>
  <w:style w:type="paragraph" w:customStyle="1" w:styleId="a52">
    <w:name w:val="附录四级无"/>
    <w:basedOn w:val="a51"/>
    <w:uiPriority w:val="99"/>
    <w:pPr>
      <w:tabs>
        <w:tab w:val="clear" w:pos="360"/>
      </w:tabs>
      <w:spacing w:beforeLines="0" w:afterLines="0"/>
    </w:pPr>
    <w:rPr>
      <w:rFonts w:ascii="宋体" w:eastAsia="宋体" w:cs="宋体"/>
    </w:rPr>
  </w:style>
  <w:style w:type="paragraph" w:customStyle="1" w:styleId="a53">
    <w:name w:val="附录图标号"/>
    <w:basedOn w:val="Normal"/>
    <w:uiPriority w:val="99"/>
    <w:pPr>
      <w:keepNext/>
      <w:pageBreakBefore/>
      <w:widowControl/>
      <w:numPr>
        <w:ilvl w:val="0"/>
        <w:numId w:val="9"/>
      </w:numPr>
      <w:spacing w:line="14" w:lineRule="exact"/>
      <w:ind w:left="0" w:firstLine="363"/>
      <w:jc w:val="center"/>
      <w:outlineLvl w:val="0"/>
    </w:pPr>
    <w:rPr>
      <w:color w:val="FFFFFF"/>
    </w:rPr>
  </w:style>
  <w:style w:type="paragraph" w:customStyle="1" w:styleId="a54">
    <w:name w:val="附录图标题"/>
    <w:basedOn w:val="Normal"/>
    <w:next w:val="a"/>
    <w:uiPriority w:val="99"/>
    <w:pPr>
      <w:numPr>
        <w:ilvl w:val="1"/>
        <w:numId w:val="9"/>
      </w:numPr>
      <w:tabs>
        <w:tab w:val="left" w:pos="363"/>
      </w:tabs>
      <w:spacing w:beforeLines="50" w:afterLines="50"/>
      <w:ind w:left="0" w:firstLine="0"/>
      <w:jc w:val="center"/>
    </w:pPr>
    <w:rPr>
      <w:rFonts w:ascii="黑体" w:eastAsia="黑体" w:cs="黑体"/>
    </w:rPr>
  </w:style>
  <w:style w:type="paragraph" w:customStyle="1" w:styleId="a55">
    <w:name w:val="附录五级条标题"/>
    <w:basedOn w:val="a51"/>
    <w:next w:val="a"/>
    <w:uiPriority w:val="99"/>
    <w:pPr>
      <w:numPr>
        <w:ilvl w:val="6"/>
      </w:numPr>
      <w:outlineLvl w:val="6"/>
    </w:pPr>
  </w:style>
  <w:style w:type="paragraph" w:customStyle="1" w:styleId="a56">
    <w:name w:val="附录五级无"/>
    <w:basedOn w:val="a55"/>
    <w:uiPriority w:val="99"/>
    <w:pPr>
      <w:tabs>
        <w:tab w:val="clear" w:pos="360"/>
      </w:tabs>
      <w:spacing w:beforeLines="0" w:afterLines="0"/>
    </w:pPr>
    <w:rPr>
      <w:rFonts w:ascii="宋体" w:eastAsia="宋体" w:cs="宋体"/>
    </w:rPr>
  </w:style>
  <w:style w:type="paragraph" w:customStyle="1" w:styleId="a57">
    <w:name w:val="附录章标题"/>
    <w:next w:val="a"/>
    <w:uiPriority w:val="99"/>
    <w:pPr>
      <w:numPr>
        <w:ilvl w:val="1"/>
        <w:numId w:val="6"/>
      </w:numPr>
      <w:tabs>
        <w:tab w:val="left" w:pos="360"/>
      </w:tabs>
      <w:wordWrap w:val="0"/>
      <w:overflowPunct w:val="0"/>
      <w:autoSpaceDE w:val="0"/>
      <w:spacing w:beforeLines="100" w:afterLines="100"/>
      <w:jc w:val="both"/>
      <w:textAlignment w:val="baseline"/>
      <w:outlineLvl w:val="1"/>
    </w:pPr>
    <w:rPr>
      <w:rFonts w:ascii="黑体" w:eastAsia="黑体" w:hAnsi="Times New Roman" w:cs="黑体"/>
      <w:kern w:val="21"/>
      <w:sz w:val="21"/>
      <w:szCs w:val="21"/>
      <w:lang w:val="en-US" w:eastAsia="zh-CN" w:bidi="ar-SA"/>
    </w:rPr>
  </w:style>
  <w:style w:type="paragraph" w:customStyle="1" w:styleId="a58">
    <w:name w:val="附录一级条标题"/>
    <w:basedOn w:val="a57"/>
    <w:next w:val="a"/>
    <w:uiPriority w:val="99"/>
    <w:pPr>
      <w:numPr>
        <w:ilvl w:val="2"/>
      </w:numPr>
      <w:autoSpaceDN w:val="0"/>
      <w:spacing w:beforeLines="50" w:afterLines="50"/>
      <w:outlineLvl w:val="2"/>
    </w:pPr>
  </w:style>
  <w:style w:type="paragraph" w:customStyle="1" w:styleId="a59">
    <w:name w:val="附录一级无"/>
    <w:basedOn w:val="a58"/>
    <w:uiPriority w:val="99"/>
    <w:pPr>
      <w:tabs>
        <w:tab w:val="clear" w:pos="360"/>
      </w:tabs>
      <w:spacing w:beforeLines="0" w:afterLines="0"/>
    </w:pPr>
    <w:rPr>
      <w:rFonts w:ascii="宋体" w:eastAsia="宋体" w:cs="宋体"/>
    </w:rPr>
  </w:style>
  <w:style w:type="paragraph" w:customStyle="1" w:styleId="a60">
    <w:name w:val="附录字母编号列项（一级）"/>
    <w:uiPriority w:val="99"/>
    <w:pPr>
      <w:numPr>
        <w:ilvl w:val="0"/>
        <w:numId w:val="8"/>
      </w:numPr>
    </w:pPr>
    <w:rPr>
      <w:rFonts w:ascii="宋体" w:eastAsia="宋体" w:hAnsi="Times New Roman" w:cs="宋体"/>
      <w:kern w:val="0"/>
      <w:sz w:val="21"/>
      <w:szCs w:val="21"/>
      <w:lang w:val="en-US" w:eastAsia="zh-CN" w:bidi="ar-SA"/>
    </w:rPr>
  </w:style>
  <w:style w:type="character" w:customStyle="1" w:styleId="FootnoteTextChar">
    <w:name w:val="Footnote Text Char"/>
    <w:basedOn w:val="DefaultParagraphFont"/>
    <w:link w:val="FootnoteText"/>
    <w:uiPriority w:val="99"/>
    <w:semiHidden/>
    <w:rPr>
      <w:sz w:val="18"/>
      <w:szCs w:val="18"/>
    </w:rPr>
  </w:style>
  <w:style w:type="paragraph" w:customStyle="1" w:styleId="a61">
    <w:name w:val="列项说明"/>
    <w:basedOn w:val="Normal"/>
    <w:uiPriority w:val="99"/>
    <w:pPr>
      <w:adjustRightInd w:val="0"/>
      <w:spacing w:line="320" w:lineRule="exact"/>
      <w:ind w:left="400" w:hanging="200" w:leftChars="200" w:hangingChars="200"/>
      <w:jc w:val="left"/>
      <w:textAlignment w:val="baseline"/>
    </w:pPr>
    <w:rPr>
      <w:rFonts w:ascii="宋体" w:cs="宋体"/>
      <w:kern w:val="0"/>
    </w:rPr>
  </w:style>
  <w:style w:type="paragraph" w:customStyle="1" w:styleId="a62">
    <w:name w:val="列项说明数字编号"/>
    <w:uiPriority w:val="99"/>
    <w:pPr>
      <w:ind w:left="600" w:hanging="200" w:leftChars="400" w:hangingChars="200"/>
    </w:pPr>
    <w:rPr>
      <w:rFonts w:ascii="宋体" w:eastAsia="宋体" w:hAnsi="Times New Roman" w:cs="宋体"/>
      <w:kern w:val="0"/>
      <w:sz w:val="21"/>
      <w:szCs w:val="21"/>
      <w:lang w:val="en-US" w:eastAsia="zh-CN" w:bidi="ar-SA"/>
    </w:rPr>
  </w:style>
  <w:style w:type="paragraph" w:customStyle="1" w:styleId="a63">
    <w:name w:val="目次、索引正文"/>
    <w:uiPriority w:val="99"/>
    <w:pPr>
      <w:spacing w:line="320" w:lineRule="exact"/>
      <w:jc w:val="both"/>
    </w:pPr>
    <w:rPr>
      <w:rFonts w:ascii="宋体" w:eastAsia="宋体" w:hAnsi="Times New Roman" w:cs="宋体"/>
      <w:kern w:val="0"/>
      <w:sz w:val="21"/>
      <w:szCs w:val="21"/>
      <w:lang w:val="en-US" w:eastAsia="zh-CN" w:bidi="ar-SA"/>
    </w:rPr>
  </w:style>
  <w:style w:type="paragraph" w:customStyle="1" w:styleId="a64">
    <w:name w:val="其他标准标志"/>
    <w:basedOn w:val="a23"/>
    <w:uiPriority w:val="99"/>
    <w:pPr>
      <w:framePr w:w="6101" w:vAnchor="page" w:hAnchor="page" w:x="4673" w:y="942"/>
    </w:pPr>
    <w:rPr>
      <w:w w:val="130"/>
    </w:rPr>
  </w:style>
  <w:style w:type="paragraph" w:customStyle="1" w:styleId="a65">
    <w:name w:val="其他标准称谓"/>
    <w:next w:val="Normal"/>
    <w:uiPriority w:val="99"/>
    <w:pPr>
      <w:framePr w:hSpace="181" w:vSpace="181" w:wrap="auto" w:vAnchor="page" w:hAnchor="page" w:x="1419" w:y="2286" w:anchorLock="1"/>
      <w:spacing w:line="240" w:lineRule="atLeast"/>
      <w:jc w:val="distribute"/>
    </w:pPr>
    <w:rPr>
      <w:rFonts w:ascii="黑体" w:eastAsia="黑体" w:hAnsi="宋体" w:cs="黑体"/>
      <w:spacing w:val="-40"/>
      <w:kern w:val="0"/>
      <w:sz w:val="48"/>
      <w:szCs w:val="48"/>
      <w:lang w:val="en-US" w:eastAsia="zh-CN" w:bidi="ar-SA"/>
    </w:rPr>
  </w:style>
  <w:style w:type="paragraph" w:customStyle="1" w:styleId="a66">
    <w:name w:val="其他发布部门"/>
    <w:basedOn w:val="a31"/>
    <w:uiPriority w:val="99"/>
    <w:pPr>
      <w:framePr w:y="15310"/>
      <w:spacing w:line="240" w:lineRule="atLeast"/>
    </w:pPr>
    <w:rPr>
      <w:rFonts w:ascii="黑体" w:eastAsia="黑体" w:cs="黑体"/>
      <w:b w:val="0"/>
      <w:bCs w:val="0"/>
    </w:rPr>
  </w:style>
  <w:style w:type="paragraph" w:customStyle="1" w:styleId="a67">
    <w:name w:val="前言、引言标题"/>
    <w:next w:val="a"/>
    <w:uiPriority w:val="99"/>
    <w:pPr>
      <w:keepNext/>
      <w:pageBreakBefore/>
      <w:shd w:val="clear" w:color="FFFFFF" w:fill="FFFFFF"/>
      <w:spacing w:before="640" w:after="560"/>
      <w:jc w:val="center"/>
      <w:outlineLvl w:val="0"/>
    </w:pPr>
    <w:rPr>
      <w:rFonts w:ascii="黑体" w:eastAsia="黑体" w:hAnsi="Times New Roman" w:cs="黑体"/>
      <w:kern w:val="0"/>
      <w:sz w:val="32"/>
      <w:szCs w:val="32"/>
      <w:lang w:val="en-US" w:eastAsia="zh-CN" w:bidi="ar-SA"/>
    </w:rPr>
  </w:style>
  <w:style w:type="paragraph" w:customStyle="1" w:styleId="a68">
    <w:name w:val="三级无"/>
    <w:basedOn w:val="a8"/>
    <w:uiPriority w:val="99"/>
    <w:pPr>
      <w:spacing w:beforeLines="0" w:afterLines="0"/>
    </w:pPr>
    <w:rPr>
      <w:rFonts w:ascii="宋体" w:eastAsia="宋体" w:cs="宋体"/>
    </w:rPr>
  </w:style>
  <w:style w:type="paragraph" w:customStyle="1" w:styleId="a69">
    <w:name w:val="实施日期"/>
    <w:basedOn w:val="a32"/>
    <w:uiPriority w:val="99"/>
    <w:pPr>
      <w:framePr w:vAnchor="page" w:hAnchor="text"/>
      <w:jc w:val="right"/>
    </w:pPr>
  </w:style>
  <w:style w:type="paragraph" w:customStyle="1" w:styleId="a70">
    <w:name w:val="示例后文字"/>
    <w:basedOn w:val="a"/>
    <w:next w:val="a"/>
    <w:uiPriority w:val="99"/>
    <w:pPr>
      <w:ind w:firstLine="360"/>
    </w:pPr>
    <w:rPr>
      <w:sz w:val="18"/>
      <w:szCs w:val="18"/>
    </w:rPr>
  </w:style>
  <w:style w:type="paragraph" w:customStyle="1" w:styleId="a71">
    <w:name w:val="首示例"/>
    <w:next w:val="a"/>
    <w:link w:val="Char1"/>
    <w:uiPriority w:val="99"/>
    <w:pPr>
      <w:tabs>
        <w:tab w:val="left" w:pos="360"/>
      </w:tabs>
    </w:pPr>
    <w:rPr>
      <w:rFonts w:ascii="宋体" w:eastAsia="宋体" w:hAnsi="宋体" w:cs="宋体"/>
      <w:kern w:val="2"/>
      <w:sz w:val="18"/>
      <w:szCs w:val="18"/>
      <w:lang w:val="en-US" w:eastAsia="zh-CN" w:bidi="ar-SA"/>
    </w:rPr>
  </w:style>
  <w:style w:type="character" w:customStyle="1" w:styleId="Char1">
    <w:name w:val="首示例 Char"/>
    <w:basedOn w:val="DefaultParagraphFont"/>
    <w:link w:val="a71"/>
    <w:uiPriority w:val="99"/>
    <w:locked/>
    <w:rPr>
      <w:rFonts w:ascii="宋体" w:eastAsia="宋体" w:cs="宋体"/>
      <w:kern w:val="2"/>
      <w:sz w:val="18"/>
      <w:szCs w:val="18"/>
      <w:lang w:val="en-US" w:eastAsia="zh-CN"/>
    </w:rPr>
  </w:style>
  <w:style w:type="paragraph" w:customStyle="1" w:styleId="a72">
    <w:name w:val="四级无"/>
    <w:basedOn w:val="a12"/>
    <w:uiPriority w:val="99"/>
    <w:pPr>
      <w:spacing w:beforeLines="0" w:afterLines="0"/>
    </w:pPr>
    <w:rPr>
      <w:rFonts w:ascii="宋体" w:eastAsia="宋体" w:cs="宋体"/>
    </w:rPr>
  </w:style>
  <w:style w:type="paragraph" w:customStyle="1" w:styleId="a73">
    <w:name w:val="条文脚注"/>
    <w:basedOn w:val="FootnoteText"/>
    <w:uiPriority w:val="99"/>
    <w:pPr>
      <w:numPr>
        <w:numId w:val="0"/>
      </w:numPr>
      <w:jc w:val="both"/>
    </w:pPr>
  </w:style>
  <w:style w:type="paragraph" w:customStyle="1" w:styleId="a74">
    <w:name w:val="图标脚注说明"/>
    <w:basedOn w:val="a"/>
    <w:uiPriority w:val="99"/>
    <w:pPr>
      <w:ind w:left="840" w:hanging="420" w:firstLineChars="0"/>
    </w:pPr>
    <w:rPr>
      <w:sz w:val="18"/>
      <w:szCs w:val="18"/>
    </w:rPr>
  </w:style>
  <w:style w:type="paragraph" w:customStyle="1" w:styleId="a75">
    <w:name w:val="图表脚注说明"/>
    <w:basedOn w:val="Normal"/>
    <w:uiPriority w:val="99"/>
    <w:pPr>
      <w:ind w:left="544" w:hanging="181"/>
    </w:pPr>
    <w:rPr>
      <w:rFonts w:ascii="宋体" w:cs="宋体"/>
      <w:sz w:val="18"/>
      <w:szCs w:val="18"/>
    </w:rPr>
  </w:style>
  <w:style w:type="paragraph" w:customStyle="1" w:styleId="a76">
    <w:name w:val="图的脚注"/>
    <w:next w:val="a"/>
    <w:autoRedefine/>
    <w:uiPriority w:val="99"/>
    <w:pPr>
      <w:widowControl w:val="0"/>
      <w:ind w:left="840" w:hanging="420" w:leftChars="200" w:hangingChars="200"/>
      <w:jc w:val="both"/>
    </w:pPr>
    <w:rPr>
      <w:rFonts w:ascii="宋体" w:eastAsia="宋体" w:hAnsi="Times New Roman" w:cs="宋体"/>
      <w:kern w:val="0"/>
      <w:sz w:val="18"/>
      <w:szCs w:val="18"/>
      <w:lang w:val="en-US" w:eastAsia="zh-CN" w:bidi="ar-SA"/>
    </w:rPr>
  </w:style>
  <w:style w:type="character" w:customStyle="1" w:styleId="EndnoteTextChar">
    <w:name w:val="Endnote Text Char"/>
    <w:basedOn w:val="DefaultParagraphFont"/>
    <w:link w:val="EndnoteText"/>
    <w:uiPriority w:val="99"/>
    <w:semiHidden/>
    <w:rPr>
      <w:szCs w:val="21"/>
    </w:rPr>
  </w:style>
  <w:style w:type="character" w:customStyle="1" w:styleId="DocumentMapChar">
    <w:name w:val="Document Map Char"/>
    <w:basedOn w:val="DefaultParagraphFont"/>
    <w:link w:val="DocumentMap"/>
    <w:uiPriority w:val="99"/>
    <w:semiHidden/>
    <w:rPr>
      <w:sz w:val="0"/>
      <w:szCs w:val="0"/>
    </w:rPr>
  </w:style>
  <w:style w:type="paragraph" w:customStyle="1" w:styleId="a77">
    <w:name w:val="文献分类号"/>
    <w:uiPriority w:val="99"/>
    <w:pPr>
      <w:framePr w:hSpace="180" w:vSpace="180" w:wrap="auto" w:vAnchor="margin" w:hAnchor="margin" w:y="1" w:anchorLock="1"/>
      <w:widowControl w:val="0"/>
      <w:textAlignment w:val="center"/>
    </w:pPr>
    <w:rPr>
      <w:rFonts w:ascii="黑体" w:eastAsia="黑体" w:hAnsi="Times New Roman" w:cs="黑体"/>
      <w:kern w:val="0"/>
      <w:sz w:val="21"/>
      <w:szCs w:val="21"/>
      <w:lang w:val="en-US" w:eastAsia="zh-CN" w:bidi="ar-SA"/>
    </w:rPr>
  </w:style>
  <w:style w:type="paragraph" w:customStyle="1" w:styleId="a78">
    <w:name w:val="五级无"/>
    <w:basedOn w:val="a13"/>
    <w:uiPriority w:val="99"/>
    <w:pPr>
      <w:spacing w:beforeLines="0" w:afterLines="0"/>
    </w:pPr>
    <w:rPr>
      <w:rFonts w:ascii="宋体" w:eastAsia="宋体" w:cs="宋体"/>
    </w:rPr>
  </w:style>
  <w:style w:type="paragraph" w:customStyle="1" w:styleId="a79">
    <w:name w:val="一级无"/>
    <w:basedOn w:val="a0"/>
    <w:uiPriority w:val="99"/>
    <w:pPr>
      <w:spacing w:beforeLines="0" w:afterLines="0"/>
    </w:pPr>
    <w:rPr>
      <w:rFonts w:ascii="宋体" w:eastAsia="宋体" w:cs="宋体"/>
    </w:rPr>
  </w:style>
  <w:style w:type="paragraph" w:customStyle="1" w:styleId="a80">
    <w:name w:val="正文表标题"/>
    <w:next w:val="a"/>
    <w:uiPriority w:val="99"/>
    <w:pPr>
      <w:tabs>
        <w:tab w:val="left" w:pos="360"/>
      </w:tabs>
      <w:spacing w:beforeLines="50" w:afterLines="50"/>
      <w:jc w:val="center"/>
    </w:pPr>
    <w:rPr>
      <w:rFonts w:ascii="黑体" w:eastAsia="黑体" w:hAnsi="Times New Roman" w:cs="黑体"/>
      <w:kern w:val="0"/>
      <w:sz w:val="21"/>
      <w:szCs w:val="21"/>
      <w:lang w:val="en-US" w:eastAsia="zh-CN" w:bidi="ar-SA"/>
    </w:rPr>
  </w:style>
  <w:style w:type="paragraph" w:customStyle="1" w:styleId="a81">
    <w:name w:val="正文公式编号制表符"/>
    <w:basedOn w:val="a"/>
    <w:next w:val="a"/>
    <w:uiPriority w:val="99"/>
    <w:pPr>
      <w:ind w:firstLine="0" w:firstLineChars="0"/>
    </w:pPr>
  </w:style>
  <w:style w:type="paragraph" w:customStyle="1" w:styleId="a82">
    <w:name w:val="正文图标题"/>
    <w:next w:val="a"/>
    <w:uiPriority w:val="99"/>
    <w:pPr>
      <w:tabs>
        <w:tab w:val="left" w:pos="360"/>
      </w:tabs>
      <w:spacing w:beforeLines="50" w:afterLines="50"/>
      <w:jc w:val="center"/>
    </w:pPr>
    <w:rPr>
      <w:rFonts w:ascii="黑体" w:eastAsia="黑体" w:hAnsi="Times New Roman" w:cs="黑体"/>
      <w:kern w:val="0"/>
      <w:sz w:val="21"/>
      <w:szCs w:val="21"/>
      <w:lang w:val="en-US" w:eastAsia="zh-CN" w:bidi="ar-SA"/>
    </w:rPr>
  </w:style>
  <w:style w:type="paragraph" w:customStyle="1" w:styleId="a83">
    <w:name w:val="终结线"/>
    <w:basedOn w:val="Normal"/>
    <w:uiPriority w:val="99"/>
    <w:pPr>
      <w:framePr w:hSpace="181" w:vSpace="181" w:wrap="auto" w:vAnchor="text" w:hAnchor="margin" w:xAlign="center" w:y="285"/>
    </w:pPr>
  </w:style>
  <w:style w:type="paragraph" w:customStyle="1" w:styleId="a84">
    <w:name w:val="其他发布日期"/>
    <w:basedOn w:val="a32"/>
    <w:uiPriority w:val="99"/>
    <w:pPr>
      <w:framePr w:vAnchor="page" w:hAnchor="text" w:x="1419"/>
    </w:pPr>
  </w:style>
  <w:style w:type="paragraph" w:customStyle="1" w:styleId="a85">
    <w:name w:val="其他实施日期"/>
    <w:basedOn w:val="a69"/>
    <w:uiPriority w:val="99"/>
  </w:style>
  <w:style w:type="paragraph" w:customStyle="1" w:styleId="20">
    <w:name w:val="封面标准名称2"/>
    <w:basedOn w:val="a34"/>
    <w:uiPriority w:val="99"/>
    <w:pPr>
      <w:framePr w:y="4469"/>
      <w:spacing w:beforeLines="630"/>
    </w:pPr>
  </w:style>
  <w:style w:type="paragraph" w:customStyle="1" w:styleId="21">
    <w:name w:val="封面标准英文名称2"/>
    <w:basedOn w:val="a35"/>
    <w:uiPriority w:val="99"/>
    <w:pPr>
      <w:framePr w:y="4469"/>
    </w:pPr>
  </w:style>
  <w:style w:type="paragraph" w:customStyle="1" w:styleId="22">
    <w:name w:val="封面一致性程度标识2"/>
    <w:basedOn w:val="a36"/>
    <w:uiPriority w:val="99"/>
    <w:pPr>
      <w:framePr w:y="4469"/>
    </w:pPr>
  </w:style>
  <w:style w:type="paragraph" w:customStyle="1" w:styleId="23">
    <w:name w:val="封面标准文稿类别2"/>
    <w:basedOn w:val="a37"/>
    <w:uiPriority w:val="99"/>
    <w:pPr>
      <w:framePr w:y="4469"/>
    </w:pPr>
  </w:style>
  <w:style w:type="paragraph" w:customStyle="1" w:styleId="24">
    <w:name w:val="封面标准文稿编辑信息2"/>
    <w:basedOn w:val="a38"/>
    <w:uiPriority w:val="99"/>
    <w:pPr>
      <w:framePr w:y="4469"/>
    </w:pPr>
  </w:style>
  <w:style w:type="character" w:customStyle="1" w:styleId="BalloonTextChar">
    <w:name w:val="Balloon Text Char"/>
    <w:basedOn w:val="DefaultParagraphFont"/>
    <w:link w:val="BalloonText"/>
    <w:uiPriority w:val="99"/>
    <w:locke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3.emf" /><Relationship Id="rId26" Type="http://schemas.openxmlformats.org/officeDocument/2006/relationships/oleObject" Target="embeddings/oleObject1.bin"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image" Target="media/image4.emf"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yperlink" Target="https://d.book118.com/307002045100006042" TargetMode="Externa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TotalTime>1</TotalTime>
  <Pages>19</Pages>
  <Words>6051</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2</cp:revision>
  <dcterms:created xsi:type="dcterms:W3CDTF">2012-09-24T07:02:00Z</dcterms:created>
  <dcterms:modified xsi:type="dcterms:W3CDTF">2024-02-18T03:52:20Z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E9C90AE671534E8E8AF954AC665706E7_12</vt:lpwstr>
  </property>
  <property fmtid="{D5CDD505-2E9C-101B-9397-08002B2CF9AE}" pid="3" name="KSOProductBuildVer">
    <vt:lpwstr>2052-12.1.0.16120</vt:lpwstr>
  </property>
</Properties>
</file>