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氨基酸和核苷酸项目规划设计方案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72" w:history="1">
        <w:r>
          <w:rPr>
            <w:rFonts w:ascii="仿宋" w:eastAsia="仿宋" w:hAnsi="仿宋" w:cs="仿宋" w:hint="eastAsia"/>
            <w:lang w:eastAsia="zh-CN"/>
          </w:rPr>
          <w:t>序言</w:t>
        </w:r>
        <w:r>
          <w:tab/>
        </w:r>
        <w:r>
          <w:fldChar w:fldCharType="begin"/>
        </w:r>
        <w:r>
          <w:instrText xml:space="preserve"> PAGEREF _Toc26672 \h </w:instrText>
        </w:r>
        <w:r>
          <w:fldChar w:fldCharType="separate"/>
        </w:r>
        <w:r>
          <w:t>3</w:t>
        </w:r>
        <w:r>
          <w:fldChar w:fldCharType="end"/>
        </w:r>
      </w:hyperlink>
    </w:p>
    <w:p>
      <w:pPr>
        <w:pStyle w:val="TOC1"/>
        <w:tabs>
          <w:tab w:val="right" w:leader="dot" w:pos="8306"/>
        </w:tabs>
      </w:pPr>
      <w:hyperlink w:anchor="_Toc14898" w:history="1">
        <w:r>
          <w:rPr>
            <w:rFonts w:ascii="仿宋" w:eastAsia="仿宋" w:hAnsi="仿宋" w:cs="仿宋" w:hint="eastAsia"/>
            <w:lang w:eastAsia="zh-CN"/>
          </w:rPr>
          <w:t>一、市场分析、调研</w:t>
        </w:r>
        <w:r>
          <w:tab/>
        </w:r>
        <w:r>
          <w:fldChar w:fldCharType="begin"/>
        </w:r>
        <w:r>
          <w:instrText xml:space="preserve"> PAGEREF _Toc14898 \h </w:instrText>
        </w:r>
        <w:r>
          <w:fldChar w:fldCharType="separate"/>
        </w:r>
        <w:r>
          <w:t>3</w:t>
        </w:r>
        <w:r>
          <w:fldChar w:fldCharType="end"/>
        </w:r>
      </w:hyperlink>
    </w:p>
    <w:p>
      <w:pPr>
        <w:pStyle w:val="TOC2"/>
        <w:tabs>
          <w:tab w:val="right" w:leader="dot" w:pos="8306"/>
        </w:tabs>
      </w:pPr>
      <w:hyperlink w:anchor="_Toc24175" w:history="1">
        <w:r>
          <w:rPr>
            <w:rFonts w:ascii="仿宋" w:eastAsia="仿宋" w:hAnsi="仿宋" w:cs="仿宋" w:hint="eastAsia"/>
            <w:lang w:eastAsia="zh-CN"/>
          </w:rPr>
          <w:t>(一)、氨基酸和核苷酸行业分析</w:t>
        </w:r>
        <w:r>
          <w:tab/>
        </w:r>
        <w:r>
          <w:fldChar w:fldCharType="begin"/>
        </w:r>
        <w:r>
          <w:instrText xml:space="preserve"> PAGEREF _Toc24175 \h </w:instrText>
        </w:r>
        <w:r>
          <w:fldChar w:fldCharType="separate"/>
        </w:r>
        <w:r>
          <w:t>3</w:t>
        </w:r>
        <w:r>
          <w:fldChar w:fldCharType="end"/>
        </w:r>
      </w:hyperlink>
    </w:p>
    <w:p>
      <w:pPr>
        <w:pStyle w:val="TOC2"/>
        <w:tabs>
          <w:tab w:val="right" w:leader="dot" w:pos="8306"/>
        </w:tabs>
      </w:pPr>
      <w:hyperlink w:anchor="_Toc29727" w:history="1">
        <w:r>
          <w:rPr>
            <w:rFonts w:ascii="仿宋" w:eastAsia="仿宋" w:hAnsi="仿宋" w:cs="仿宋" w:hint="eastAsia"/>
            <w:lang w:eastAsia="zh-CN"/>
          </w:rPr>
          <w:t>(二)、氨基酸和核苷酸市场分析预测</w:t>
        </w:r>
        <w:r>
          <w:tab/>
        </w:r>
        <w:r>
          <w:fldChar w:fldCharType="begin"/>
        </w:r>
        <w:r>
          <w:instrText xml:space="preserve"> PAGEREF _Toc29727 \h </w:instrText>
        </w:r>
        <w:r>
          <w:fldChar w:fldCharType="separate"/>
        </w:r>
        <w:r>
          <w:t>4</w:t>
        </w:r>
        <w:r>
          <w:fldChar w:fldCharType="end"/>
        </w:r>
      </w:hyperlink>
    </w:p>
    <w:p>
      <w:pPr>
        <w:pStyle w:val="TOC1"/>
        <w:tabs>
          <w:tab w:val="right" w:leader="dot" w:pos="8306"/>
        </w:tabs>
      </w:pPr>
      <w:hyperlink w:anchor="_Toc30790" w:history="1">
        <w:r>
          <w:rPr>
            <w:rFonts w:ascii="仿宋" w:eastAsia="仿宋" w:hAnsi="仿宋" w:cs="仿宋" w:hint="eastAsia"/>
            <w:lang w:eastAsia="zh-CN"/>
          </w:rPr>
          <w:t>二、氨基酸和核苷酸项目文档管理</w:t>
        </w:r>
        <w:r>
          <w:tab/>
        </w:r>
        <w:r>
          <w:fldChar w:fldCharType="begin"/>
        </w:r>
        <w:r>
          <w:instrText xml:space="preserve"> PAGEREF _Toc30790 \h </w:instrText>
        </w:r>
        <w:r>
          <w:fldChar w:fldCharType="separate"/>
        </w:r>
        <w:r>
          <w:t>5</w:t>
        </w:r>
        <w:r>
          <w:fldChar w:fldCharType="end"/>
        </w:r>
      </w:hyperlink>
    </w:p>
    <w:p>
      <w:pPr>
        <w:pStyle w:val="TOC2"/>
        <w:tabs>
          <w:tab w:val="right" w:leader="dot" w:pos="8306"/>
        </w:tabs>
      </w:pPr>
      <w:hyperlink w:anchor="_Toc30429" w:history="1">
        <w:r>
          <w:rPr>
            <w:rFonts w:ascii="仿宋" w:eastAsia="仿宋" w:hAnsi="仿宋" w:cs="仿宋" w:hint="eastAsia"/>
            <w:lang w:eastAsia="zh-CN"/>
          </w:rPr>
          <w:t>(一)、文档编制与审查</w:t>
        </w:r>
        <w:r>
          <w:tab/>
        </w:r>
        <w:r>
          <w:fldChar w:fldCharType="begin"/>
        </w:r>
        <w:r>
          <w:instrText xml:space="preserve"> PAGEREF _Toc30429 \h </w:instrText>
        </w:r>
        <w:r>
          <w:fldChar w:fldCharType="separate"/>
        </w:r>
        <w:r>
          <w:t>5</w:t>
        </w:r>
        <w:r>
          <w:fldChar w:fldCharType="end"/>
        </w:r>
      </w:hyperlink>
    </w:p>
    <w:p>
      <w:pPr>
        <w:pStyle w:val="TOC2"/>
        <w:tabs>
          <w:tab w:val="right" w:leader="dot" w:pos="8306"/>
        </w:tabs>
      </w:pPr>
      <w:hyperlink w:anchor="_Toc2532" w:history="1">
        <w:r>
          <w:rPr>
            <w:rFonts w:ascii="仿宋" w:eastAsia="仿宋" w:hAnsi="仿宋" w:cs="仿宋" w:hint="eastAsia"/>
            <w:lang w:eastAsia="zh-CN"/>
          </w:rPr>
          <w:t>(二)、文档发布与分发</w:t>
        </w:r>
        <w:r>
          <w:tab/>
        </w:r>
        <w:r>
          <w:fldChar w:fldCharType="begin"/>
        </w:r>
        <w:r>
          <w:instrText xml:space="preserve"> PAGEREF _Toc2532 \h </w:instrText>
        </w:r>
        <w:r>
          <w:fldChar w:fldCharType="separate"/>
        </w:r>
        <w:r>
          <w:t>6</w:t>
        </w:r>
        <w:r>
          <w:fldChar w:fldCharType="end"/>
        </w:r>
      </w:hyperlink>
    </w:p>
    <w:p>
      <w:pPr>
        <w:pStyle w:val="TOC2"/>
        <w:tabs>
          <w:tab w:val="right" w:leader="dot" w:pos="8306"/>
        </w:tabs>
      </w:pPr>
      <w:hyperlink w:anchor="_Toc21653" w:history="1">
        <w:r>
          <w:rPr>
            <w:rFonts w:ascii="仿宋" w:eastAsia="仿宋" w:hAnsi="仿宋" w:cs="仿宋" w:hint="eastAsia"/>
            <w:lang w:eastAsia="zh-CN"/>
          </w:rPr>
          <w:t>(三)、文档存档与归档</w:t>
        </w:r>
        <w:r>
          <w:tab/>
        </w:r>
        <w:r>
          <w:fldChar w:fldCharType="begin"/>
        </w:r>
        <w:r>
          <w:instrText xml:space="preserve"> PAGEREF _Toc21653 \h </w:instrText>
        </w:r>
        <w:r>
          <w:fldChar w:fldCharType="separate"/>
        </w:r>
        <w:r>
          <w:t>7</w:t>
        </w:r>
        <w:r>
          <w:fldChar w:fldCharType="end"/>
        </w:r>
      </w:hyperlink>
    </w:p>
    <w:p>
      <w:pPr>
        <w:pStyle w:val="TOC1"/>
        <w:tabs>
          <w:tab w:val="right" w:leader="dot" w:pos="8306"/>
        </w:tabs>
      </w:pPr>
      <w:hyperlink w:anchor="_Toc6306" w:history="1">
        <w:r>
          <w:rPr>
            <w:rFonts w:ascii="仿宋" w:eastAsia="仿宋" w:hAnsi="仿宋" w:cs="仿宋" w:hint="eastAsia"/>
            <w:lang w:eastAsia="zh-CN"/>
          </w:rPr>
          <w:t>三、氨基酸和核苷酸项目绩效评估</w:t>
        </w:r>
        <w:r>
          <w:tab/>
        </w:r>
        <w:r>
          <w:fldChar w:fldCharType="begin"/>
        </w:r>
        <w:r>
          <w:instrText xml:space="preserve"> PAGEREF _Toc6306 \h </w:instrText>
        </w:r>
        <w:r>
          <w:fldChar w:fldCharType="separate"/>
        </w:r>
        <w:r>
          <w:t>8</w:t>
        </w:r>
        <w:r>
          <w:fldChar w:fldCharType="end"/>
        </w:r>
      </w:hyperlink>
    </w:p>
    <w:p>
      <w:pPr>
        <w:pStyle w:val="TOC2"/>
        <w:tabs>
          <w:tab w:val="right" w:leader="dot" w:pos="8306"/>
        </w:tabs>
      </w:pPr>
      <w:hyperlink w:anchor="_Toc4554" w:history="1">
        <w:r>
          <w:rPr>
            <w:rFonts w:ascii="仿宋" w:eastAsia="仿宋" w:hAnsi="仿宋" w:cs="仿宋" w:hint="eastAsia"/>
            <w:lang w:eastAsia="zh-CN"/>
          </w:rPr>
          <w:t>(一)、绩效评估指标</w:t>
        </w:r>
        <w:r>
          <w:tab/>
        </w:r>
        <w:r>
          <w:fldChar w:fldCharType="begin"/>
        </w:r>
        <w:r>
          <w:instrText xml:space="preserve"> PAGEREF _Toc4554 \h </w:instrText>
        </w:r>
        <w:r>
          <w:fldChar w:fldCharType="separate"/>
        </w:r>
        <w:r>
          <w:t>8</w:t>
        </w:r>
        <w:r>
          <w:fldChar w:fldCharType="end"/>
        </w:r>
      </w:hyperlink>
    </w:p>
    <w:p>
      <w:pPr>
        <w:pStyle w:val="TOC2"/>
        <w:tabs>
          <w:tab w:val="right" w:leader="dot" w:pos="8306"/>
        </w:tabs>
      </w:pPr>
      <w:hyperlink w:anchor="_Toc344" w:history="1">
        <w:r>
          <w:rPr>
            <w:rFonts w:ascii="仿宋" w:eastAsia="仿宋" w:hAnsi="仿宋" w:cs="仿宋" w:hint="eastAsia"/>
            <w:lang w:eastAsia="zh-CN"/>
          </w:rPr>
          <w:t>(二)、绩效评估方法</w:t>
        </w:r>
        <w:r>
          <w:tab/>
        </w:r>
        <w:r>
          <w:fldChar w:fldCharType="begin"/>
        </w:r>
        <w:r>
          <w:instrText xml:space="preserve"> PAGEREF _Toc344 \h </w:instrText>
        </w:r>
        <w:r>
          <w:fldChar w:fldCharType="separate"/>
        </w:r>
        <w:r>
          <w:t>9</w:t>
        </w:r>
        <w:r>
          <w:fldChar w:fldCharType="end"/>
        </w:r>
      </w:hyperlink>
    </w:p>
    <w:p>
      <w:pPr>
        <w:pStyle w:val="TOC2"/>
        <w:tabs>
          <w:tab w:val="right" w:leader="dot" w:pos="8306"/>
        </w:tabs>
      </w:pPr>
      <w:hyperlink w:anchor="_Toc24780" w:history="1">
        <w:r>
          <w:rPr>
            <w:rFonts w:ascii="仿宋" w:eastAsia="仿宋" w:hAnsi="仿宋" w:cs="仿宋" w:hint="eastAsia"/>
            <w:lang w:eastAsia="zh-CN"/>
          </w:rPr>
          <w:t>(三)、绩效评估周期</w:t>
        </w:r>
        <w:r>
          <w:tab/>
        </w:r>
        <w:r>
          <w:fldChar w:fldCharType="begin"/>
        </w:r>
        <w:r>
          <w:instrText xml:space="preserve"> PAGEREF _Toc24780 \h </w:instrText>
        </w:r>
        <w:r>
          <w:fldChar w:fldCharType="separate"/>
        </w:r>
        <w:r>
          <w:t>10</w:t>
        </w:r>
        <w:r>
          <w:fldChar w:fldCharType="end"/>
        </w:r>
      </w:hyperlink>
    </w:p>
    <w:p>
      <w:pPr>
        <w:pStyle w:val="TOC1"/>
        <w:tabs>
          <w:tab w:val="right" w:leader="dot" w:pos="8306"/>
        </w:tabs>
      </w:pPr>
      <w:hyperlink w:anchor="_Toc14982" w:history="1">
        <w:r>
          <w:rPr>
            <w:rFonts w:ascii="仿宋" w:eastAsia="仿宋" w:hAnsi="仿宋" w:cs="仿宋" w:hint="eastAsia"/>
            <w:lang w:eastAsia="zh-CN"/>
          </w:rPr>
          <w:t>四、氨基酸和核苷酸项目选址可行性分析</w:t>
        </w:r>
        <w:r>
          <w:tab/>
        </w:r>
        <w:r>
          <w:fldChar w:fldCharType="begin"/>
        </w:r>
        <w:r>
          <w:instrText xml:space="preserve"> PAGEREF _Toc14982 \h </w:instrText>
        </w:r>
        <w:r>
          <w:fldChar w:fldCharType="separate"/>
        </w:r>
        <w:r>
          <w:t>11</w:t>
        </w:r>
        <w:r>
          <w:fldChar w:fldCharType="end"/>
        </w:r>
      </w:hyperlink>
    </w:p>
    <w:p>
      <w:pPr>
        <w:pStyle w:val="TOC2"/>
        <w:tabs>
          <w:tab w:val="right" w:leader="dot" w:pos="8306"/>
        </w:tabs>
      </w:pPr>
      <w:hyperlink w:anchor="_Toc32198" w:history="1">
        <w:r>
          <w:rPr>
            <w:rFonts w:ascii="仿宋" w:eastAsia="仿宋" w:hAnsi="仿宋" w:cs="仿宋" w:hint="eastAsia"/>
            <w:lang w:eastAsia="zh-CN"/>
          </w:rPr>
          <w:t>(一)、氨基酸和核苷酸项目选址</w:t>
        </w:r>
        <w:r>
          <w:tab/>
        </w:r>
        <w:r>
          <w:fldChar w:fldCharType="begin"/>
        </w:r>
        <w:r>
          <w:instrText xml:space="preserve"> PAGEREF _Toc32198 \h </w:instrText>
        </w:r>
        <w:r>
          <w:fldChar w:fldCharType="separate"/>
        </w:r>
        <w:r>
          <w:t>11</w:t>
        </w:r>
        <w:r>
          <w:fldChar w:fldCharType="end"/>
        </w:r>
      </w:hyperlink>
    </w:p>
    <w:p>
      <w:pPr>
        <w:pStyle w:val="TOC2"/>
        <w:tabs>
          <w:tab w:val="right" w:leader="dot" w:pos="8306"/>
        </w:tabs>
      </w:pPr>
      <w:hyperlink w:anchor="_Toc22702" w:history="1">
        <w:r>
          <w:rPr>
            <w:rFonts w:ascii="仿宋" w:eastAsia="仿宋" w:hAnsi="仿宋" w:cs="仿宋" w:hint="eastAsia"/>
            <w:lang w:eastAsia="zh-CN"/>
          </w:rPr>
          <w:t>(二)、用地控制指标</w:t>
        </w:r>
        <w:r>
          <w:tab/>
        </w:r>
        <w:r>
          <w:fldChar w:fldCharType="begin"/>
        </w:r>
        <w:r>
          <w:instrText xml:space="preserve"> PAGEREF _Toc22702 \h </w:instrText>
        </w:r>
        <w:r>
          <w:fldChar w:fldCharType="separate"/>
        </w:r>
        <w:r>
          <w:t>11</w:t>
        </w:r>
        <w:r>
          <w:fldChar w:fldCharType="end"/>
        </w:r>
      </w:hyperlink>
    </w:p>
    <w:p>
      <w:pPr>
        <w:pStyle w:val="TOC2"/>
        <w:tabs>
          <w:tab w:val="right" w:leader="dot" w:pos="8306"/>
        </w:tabs>
      </w:pPr>
      <w:hyperlink w:anchor="_Toc22569" w:history="1">
        <w:r>
          <w:rPr>
            <w:rFonts w:ascii="仿宋" w:eastAsia="仿宋" w:hAnsi="仿宋" w:cs="仿宋" w:hint="eastAsia"/>
            <w:lang w:eastAsia="zh-CN"/>
          </w:rPr>
          <w:t>(三)、节约用地措施</w:t>
        </w:r>
        <w:r>
          <w:tab/>
        </w:r>
        <w:r>
          <w:fldChar w:fldCharType="begin"/>
        </w:r>
        <w:r>
          <w:instrText xml:space="preserve"> PAGEREF _Toc22569 \h </w:instrText>
        </w:r>
        <w:r>
          <w:fldChar w:fldCharType="separate"/>
        </w:r>
        <w:r>
          <w:t>13</w:t>
        </w:r>
        <w:r>
          <w:fldChar w:fldCharType="end"/>
        </w:r>
      </w:hyperlink>
    </w:p>
    <w:p>
      <w:pPr>
        <w:pStyle w:val="TOC2"/>
        <w:tabs>
          <w:tab w:val="right" w:leader="dot" w:pos="8306"/>
        </w:tabs>
      </w:pPr>
      <w:hyperlink w:anchor="_Toc28304" w:history="1">
        <w:r>
          <w:rPr>
            <w:rFonts w:ascii="仿宋" w:eastAsia="仿宋" w:hAnsi="仿宋" w:cs="仿宋" w:hint="eastAsia"/>
            <w:lang w:eastAsia="zh-CN"/>
          </w:rPr>
          <w:t>(四)、总图布置方案</w:t>
        </w:r>
        <w:r>
          <w:tab/>
        </w:r>
        <w:r>
          <w:fldChar w:fldCharType="begin"/>
        </w:r>
        <w:r>
          <w:instrText xml:space="preserve"> PAGEREF _Toc28304 \h </w:instrText>
        </w:r>
        <w:r>
          <w:fldChar w:fldCharType="separate"/>
        </w:r>
        <w:r>
          <w:t>15</w:t>
        </w:r>
        <w:r>
          <w:fldChar w:fldCharType="end"/>
        </w:r>
      </w:hyperlink>
    </w:p>
    <w:p>
      <w:pPr>
        <w:pStyle w:val="TOC2"/>
        <w:tabs>
          <w:tab w:val="right" w:leader="dot" w:pos="8306"/>
        </w:tabs>
      </w:pPr>
      <w:hyperlink w:anchor="_Toc23683" w:history="1">
        <w:r>
          <w:rPr>
            <w:rFonts w:ascii="仿宋" w:eastAsia="仿宋" w:hAnsi="仿宋" w:cs="仿宋" w:hint="eastAsia"/>
            <w:lang w:eastAsia="zh-CN"/>
          </w:rPr>
          <w:t>(五)、选址综合评价</w:t>
        </w:r>
        <w:r>
          <w:tab/>
        </w:r>
        <w:r>
          <w:fldChar w:fldCharType="begin"/>
        </w:r>
        <w:r>
          <w:instrText xml:space="preserve"> PAGEREF _Toc23683 \h </w:instrText>
        </w:r>
        <w:r>
          <w:fldChar w:fldCharType="separate"/>
        </w:r>
        <w:r>
          <w:t>16</w:t>
        </w:r>
        <w:r>
          <w:fldChar w:fldCharType="end"/>
        </w:r>
      </w:hyperlink>
    </w:p>
    <w:p>
      <w:pPr>
        <w:pStyle w:val="TOC1"/>
        <w:tabs>
          <w:tab w:val="right" w:leader="dot" w:pos="8306"/>
        </w:tabs>
      </w:pPr>
      <w:hyperlink w:anchor="_Toc28707" w:history="1">
        <w:r>
          <w:rPr>
            <w:rFonts w:ascii="仿宋" w:eastAsia="仿宋" w:hAnsi="仿宋" w:cs="仿宋" w:hint="eastAsia"/>
            <w:lang w:eastAsia="zh-CN"/>
          </w:rPr>
          <w:t>五、氨基酸和核苷酸项目土建工程</w:t>
        </w:r>
        <w:r>
          <w:tab/>
        </w:r>
        <w:r>
          <w:fldChar w:fldCharType="begin"/>
        </w:r>
        <w:r>
          <w:instrText xml:space="preserve"> PAGEREF _Toc28707 \h </w:instrText>
        </w:r>
        <w:r>
          <w:fldChar w:fldCharType="separate"/>
        </w:r>
        <w:r>
          <w:t>17</w:t>
        </w:r>
        <w:r>
          <w:fldChar w:fldCharType="end"/>
        </w:r>
      </w:hyperlink>
    </w:p>
    <w:p>
      <w:pPr>
        <w:pStyle w:val="TOC2"/>
        <w:tabs>
          <w:tab w:val="right" w:leader="dot" w:pos="8306"/>
        </w:tabs>
      </w:pPr>
      <w:hyperlink w:anchor="_Toc2566" w:history="1">
        <w:r>
          <w:rPr>
            <w:rFonts w:ascii="仿宋" w:eastAsia="仿宋" w:hAnsi="仿宋" w:cs="仿宋" w:hint="eastAsia"/>
            <w:lang w:eastAsia="zh-CN"/>
          </w:rPr>
          <w:t>(一)、建筑工程设计原则</w:t>
        </w:r>
        <w:r>
          <w:tab/>
        </w:r>
        <w:r>
          <w:fldChar w:fldCharType="begin"/>
        </w:r>
        <w:r>
          <w:instrText xml:space="preserve"> PAGEREF _Toc2566 \h </w:instrText>
        </w:r>
        <w:r>
          <w:fldChar w:fldCharType="separate"/>
        </w:r>
        <w:r>
          <w:t>17</w:t>
        </w:r>
        <w:r>
          <w:fldChar w:fldCharType="end"/>
        </w:r>
      </w:hyperlink>
    </w:p>
    <w:p>
      <w:pPr>
        <w:pStyle w:val="TOC2"/>
        <w:tabs>
          <w:tab w:val="right" w:leader="dot" w:pos="8306"/>
        </w:tabs>
      </w:pPr>
      <w:hyperlink w:anchor="_Toc13956" w:history="1">
        <w:r>
          <w:rPr>
            <w:rFonts w:ascii="仿宋" w:eastAsia="仿宋" w:hAnsi="仿宋" w:cs="仿宋" w:hint="eastAsia"/>
            <w:lang w:eastAsia="zh-CN"/>
          </w:rPr>
          <w:t>(二)、土建工程设计年限及安全等级</w:t>
        </w:r>
        <w:r>
          <w:tab/>
        </w:r>
        <w:r>
          <w:fldChar w:fldCharType="begin"/>
        </w:r>
        <w:r>
          <w:instrText xml:space="preserve"> PAGEREF _Toc13956 \h </w:instrText>
        </w:r>
        <w:r>
          <w:fldChar w:fldCharType="separate"/>
        </w:r>
        <w:r>
          <w:t>18</w:t>
        </w:r>
        <w:r>
          <w:fldChar w:fldCharType="end"/>
        </w:r>
      </w:hyperlink>
    </w:p>
    <w:p>
      <w:pPr>
        <w:pStyle w:val="TOC2"/>
        <w:tabs>
          <w:tab w:val="right" w:leader="dot" w:pos="8306"/>
        </w:tabs>
      </w:pPr>
      <w:hyperlink w:anchor="_Toc6472" w:history="1">
        <w:r>
          <w:rPr>
            <w:rFonts w:ascii="仿宋" w:eastAsia="仿宋" w:hAnsi="仿宋" w:cs="仿宋" w:hint="eastAsia"/>
            <w:lang w:eastAsia="zh-CN"/>
          </w:rPr>
          <w:t>(三)、建筑工程设计总体要求</w:t>
        </w:r>
        <w:r>
          <w:tab/>
        </w:r>
        <w:r>
          <w:fldChar w:fldCharType="begin"/>
        </w:r>
        <w:r>
          <w:instrText xml:space="preserve"> PAGEREF _Toc6472 \h </w:instrText>
        </w:r>
        <w:r>
          <w:fldChar w:fldCharType="separate"/>
        </w:r>
        <w:r>
          <w:t>19</w:t>
        </w:r>
        <w:r>
          <w:fldChar w:fldCharType="end"/>
        </w:r>
      </w:hyperlink>
    </w:p>
    <w:p>
      <w:pPr>
        <w:pStyle w:val="TOC2"/>
        <w:tabs>
          <w:tab w:val="right" w:leader="dot" w:pos="8306"/>
        </w:tabs>
      </w:pPr>
      <w:hyperlink w:anchor="_Toc29746" w:history="1">
        <w:r>
          <w:rPr>
            <w:rFonts w:ascii="仿宋" w:eastAsia="仿宋" w:hAnsi="仿宋" w:cs="仿宋" w:hint="eastAsia"/>
            <w:lang w:eastAsia="zh-CN"/>
          </w:rPr>
          <w:t>(四)、土建工程建设指标</w:t>
        </w:r>
        <w:r>
          <w:tab/>
        </w:r>
        <w:r>
          <w:fldChar w:fldCharType="begin"/>
        </w:r>
        <w:r>
          <w:instrText xml:space="preserve"> PAGEREF _Toc29746 \h </w:instrText>
        </w:r>
        <w:r>
          <w:fldChar w:fldCharType="separate"/>
        </w:r>
        <w:r>
          <w:t>20</w:t>
        </w:r>
        <w:r>
          <w:fldChar w:fldCharType="end"/>
        </w:r>
      </w:hyperlink>
    </w:p>
    <w:p>
      <w:pPr>
        <w:pStyle w:val="TOC1"/>
        <w:tabs>
          <w:tab w:val="right" w:leader="dot" w:pos="8306"/>
        </w:tabs>
      </w:pPr>
      <w:hyperlink w:anchor="_Toc26117" w:history="1">
        <w:r>
          <w:rPr>
            <w:rFonts w:ascii="仿宋" w:eastAsia="仿宋" w:hAnsi="仿宋" w:cs="仿宋" w:hint="eastAsia"/>
            <w:lang w:eastAsia="zh-CN"/>
          </w:rPr>
          <w:t>六、工艺说明</w:t>
        </w:r>
        <w:r>
          <w:tab/>
        </w:r>
        <w:r>
          <w:fldChar w:fldCharType="begin"/>
        </w:r>
        <w:r>
          <w:instrText xml:space="preserve"> PAGEREF _Toc26117 \h </w:instrText>
        </w:r>
        <w:r>
          <w:fldChar w:fldCharType="separate"/>
        </w:r>
        <w:r>
          <w:t>20</w:t>
        </w:r>
        <w:r>
          <w:fldChar w:fldCharType="end"/>
        </w:r>
      </w:hyperlink>
    </w:p>
    <w:p>
      <w:pPr>
        <w:pStyle w:val="TOC2"/>
        <w:tabs>
          <w:tab w:val="right" w:leader="dot" w:pos="8306"/>
        </w:tabs>
      </w:pPr>
      <w:hyperlink w:anchor="_Toc9292" w:history="1">
        <w:r>
          <w:rPr>
            <w:rFonts w:ascii="仿宋" w:eastAsia="仿宋" w:hAnsi="仿宋" w:cs="仿宋" w:hint="eastAsia"/>
            <w:lang w:eastAsia="zh-CN"/>
          </w:rPr>
          <w:t>(一)、技术管理特点</w:t>
        </w:r>
        <w:r>
          <w:tab/>
        </w:r>
        <w:r>
          <w:fldChar w:fldCharType="begin"/>
        </w:r>
        <w:r>
          <w:instrText xml:space="preserve"> PAGEREF _Toc9292 \h </w:instrText>
        </w:r>
        <w:r>
          <w:fldChar w:fldCharType="separate"/>
        </w:r>
        <w:r>
          <w:t>20</w:t>
        </w:r>
        <w:r>
          <w:fldChar w:fldCharType="end"/>
        </w:r>
      </w:hyperlink>
    </w:p>
    <w:p>
      <w:pPr>
        <w:pStyle w:val="TOC2"/>
        <w:tabs>
          <w:tab w:val="right" w:leader="dot" w:pos="8306"/>
        </w:tabs>
      </w:pPr>
      <w:hyperlink w:anchor="_Toc7142" w:history="1">
        <w:r>
          <w:rPr>
            <w:rFonts w:ascii="仿宋" w:eastAsia="仿宋" w:hAnsi="仿宋" w:cs="仿宋" w:hint="eastAsia"/>
            <w:lang w:eastAsia="zh-CN"/>
          </w:rPr>
          <w:t>(二)、氨基酸和核苷酸项目工艺技术设计方案</w:t>
        </w:r>
        <w:r>
          <w:tab/>
        </w:r>
        <w:r>
          <w:fldChar w:fldCharType="begin"/>
        </w:r>
        <w:r>
          <w:instrText xml:space="preserve"> PAGEREF _Toc7142 \h </w:instrText>
        </w:r>
        <w:r>
          <w:fldChar w:fldCharType="separate"/>
        </w:r>
        <w:r>
          <w:t>21</w:t>
        </w:r>
        <w:r>
          <w:fldChar w:fldCharType="end"/>
        </w:r>
      </w:hyperlink>
    </w:p>
    <w:p>
      <w:pPr>
        <w:pStyle w:val="TOC2"/>
        <w:tabs>
          <w:tab w:val="right" w:leader="dot" w:pos="8306"/>
        </w:tabs>
      </w:pPr>
      <w:hyperlink w:anchor="_Toc5301" w:history="1">
        <w:r>
          <w:rPr>
            <w:rFonts w:ascii="仿宋" w:eastAsia="仿宋" w:hAnsi="仿宋" w:cs="仿宋" w:hint="eastAsia"/>
            <w:lang w:eastAsia="zh-CN"/>
          </w:rPr>
          <w:t>(三)、设备选型方案</w:t>
        </w:r>
        <w:r>
          <w:tab/>
        </w:r>
        <w:r>
          <w:fldChar w:fldCharType="begin"/>
        </w:r>
        <w:r>
          <w:instrText xml:space="preserve"> PAGEREF _Toc5301 \h </w:instrText>
        </w:r>
        <w:r>
          <w:fldChar w:fldCharType="separate"/>
        </w:r>
        <w:r>
          <w:t>22</w:t>
        </w:r>
        <w:r>
          <w:fldChar w:fldCharType="end"/>
        </w:r>
      </w:hyperlink>
    </w:p>
    <w:p>
      <w:pPr>
        <w:pStyle w:val="TOC1"/>
        <w:tabs>
          <w:tab w:val="right" w:leader="dot" w:pos="8306"/>
        </w:tabs>
      </w:pPr>
      <w:hyperlink w:anchor="_Toc26275" w:history="1">
        <w:r>
          <w:rPr>
            <w:rFonts w:ascii="仿宋" w:eastAsia="仿宋" w:hAnsi="仿宋" w:cs="仿宋" w:hint="eastAsia"/>
            <w:lang w:eastAsia="zh-CN"/>
          </w:rPr>
          <w:t>七、氨基酸和核苷酸项目计划安排</w:t>
        </w:r>
        <w:r>
          <w:tab/>
        </w:r>
        <w:r>
          <w:fldChar w:fldCharType="begin"/>
        </w:r>
        <w:r>
          <w:instrText xml:space="preserve"> PAGEREF _Toc26275 \h </w:instrText>
        </w:r>
        <w:r>
          <w:fldChar w:fldCharType="separate"/>
        </w:r>
        <w:r>
          <w:t>24</w:t>
        </w:r>
        <w:r>
          <w:fldChar w:fldCharType="end"/>
        </w:r>
      </w:hyperlink>
    </w:p>
    <w:p>
      <w:pPr>
        <w:pStyle w:val="TOC2"/>
        <w:tabs>
          <w:tab w:val="right" w:leader="dot" w:pos="8306"/>
        </w:tabs>
      </w:pPr>
      <w:hyperlink w:anchor="_Toc27197" w:history="1">
        <w:r>
          <w:rPr>
            <w:rFonts w:ascii="仿宋" w:eastAsia="仿宋" w:hAnsi="仿宋" w:cs="仿宋" w:hint="eastAsia"/>
            <w:lang w:eastAsia="zh-CN"/>
          </w:rPr>
          <w:t>(一)、建设周期</w:t>
        </w:r>
        <w:r>
          <w:tab/>
        </w:r>
        <w:r>
          <w:fldChar w:fldCharType="begin"/>
        </w:r>
        <w:r>
          <w:instrText xml:space="preserve"> PAGEREF _Toc27197 \h </w:instrText>
        </w:r>
        <w:r>
          <w:fldChar w:fldCharType="separate"/>
        </w:r>
        <w:r>
          <w:t>24</w:t>
        </w:r>
        <w:r>
          <w:fldChar w:fldCharType="end"/>
        </w:r>
      </w:hyperlink>
    </w:p>
    <w:p>
      <w:pPr>
        <w:pStyle w:val="TOC2"/>
        <w:tabs>
          <w:tab w:val="right" w:leader="dot" w:pos="8306"/>
        </w:tabs>
      </w:pPr>
      <w:hyperlink w:anchor="_Toc10222" w:history="1">
        <w:r>
          <w:rPr>
            <w:rFonts w:ascii="仿宋" w:eastAsia="仿宋" w:hAnsi="仿宋" w:cs="仿宋" w:hint="eastAsia"/>
            <w:lang w:eastAsia="zh-CN"/>
          </w:rPr>
          <w:t>(二)、建设进度</w:t>
        </w:r>
        <w:r>
          <w:tab/>
        </w:r>
        <w:r>
          <w:fldChar w:fldCharType="begin"/>
        </w:r>
        <w:r>
          <w:instrText xml:space="preserve"> PAGEREF _Toc10222 \h </w:instrText>
        </w:r>
        <w:r>
          <w:fldChar w:fldCharType="separate"/>
        </w:r>
        <w:r>
          <w:t>25</w:t>
        </w:r>
        <w:r>
          <w:fldChar w:fldCharType="end"/>
        </w:r>
      </w:hyperlink>
    </w:p>
    <w:p>
      <w:pPr>
        <w:pStyle w:val="TOC2"/>
        <w:tabs>
          <w:tab w:val="right" w:leader="dot" w:pos="8306"/>
        </w:tabs>
      </w:pPr>
      <w:hyperlink w:anchor="_Toc14156" w:history="1">
        <w:r>
          <w:rPr>
            <w:rFonts w:ascii="仿宋" w:eastAsia="仿宋" w:hAnsi="仿宋" w:cs="仿宋" w:hint="eastAsia"/>
            <w:lang w:eastAsia="zh-CN"/>
          </w:rPr>
          <w:t>(三)、进度安排注意事项</w:t>
        </w:r>
        <w:r>
          <w:tab/>
        </w:r>
        <w:r>
          <w:fldChar w:fldCharType="begin"/>
        </w:r>
        <w:r>
          <w:instrText xml:space="preserve"> PAGEREF _Toc14156 \h </w:instrText>
        </w:r>
        <w:r>
          <w:fldChar w:fldCharType="separate"/>
        </w:r>
        <w:r>
          <w:t>26</w:t>
        </w:r>
        <w:r>
          <w:fldChar w:fldCharType="end"/>
        </w:r>
      </w:hyperlink>
    </w:p>
    <w:p>
      <w:pPr>
        <w:pStyle w:val="TOC2"/>
        <w:tabs>
          <w:tab w:val="right" w:leader="dot" w:pos="8306"/>
        </w:tabs>
      </w:pPr>
      <w:hyperlink w:anchor="_Toc2576" w:history="1">
        <w:r>
          <w:rPr>
            <w:rFonts w:ascii="仿宋" w:eastAsia="仿宋" w:hAnsi="仿宋" w:cs="仿宋" w:hint="eastAsia"/>
            <w:lang w:eastAsia="zh-CN"/>
          </w:rPr>
          <w:t>(四)、人力资源配置</w:t>
        </w:r>
        <w:r>
          <w:tab/>
        </w:r>
        <w:r>
          <w:fldChar w:fldCharType="begin"/>
        </w:r>
        <w:r>
          <w:instrText xml:space="preserve"> PAGEREF _Toc2576 \h </w:instrText>
        </w:r>
        <w:r>
          <w:fldChar w:fldCharType="separate"/>
        </w:r>
        <w:r>
          <w:t>27</w:t>
        </w:r>
        <w:r>
          <w:fldChar w:fldCharType="end"/>
        </w:r>
      </w:hyperlink>
    </w:p>
    <w:p>
      <w:pPr>
        <w:pStyle w:val="TOC1"/>
        <w:tabs>
          <w:tab w:val="right" w:leader="dot" w:pos="8306"/>
        </w:tabs>
      </w:pPr>
      <w:hyperlink w:anchor="_Toc16540" w:history="1">
        <w:r>
          <w:rPr>
            <w:rFonts w:ascii="仿宋" w:eastAsia="仿宋" w:hAnsi="仿宋" w:cs="仿宋" w:hint="eastAsia"/>
            <w:lang w:eastAsia="zh-CN"/>
          </w:rPr>
          <w:t>八、氨基酸和核苷酸项目社会影响</w:t>
        </w:r>
        <w:r>
          <w:tab/>
        </w:r>
        <w:r>
          <w:fldChar w:fldCharType="begin"/>
        </w:r>
        <w:r>
          <w:instrText xml:space="preserve"> PAGEREF _Toc16540 \h </w:instrText>
        </w:r>
        <w:r>
          <w:fldChar w:fldCharType="separate"/>
        </w:r>
        <w:r>
          <w:t>28</w:t>
        </w:r>
        <w:r>
          <w:fldChar w:fldCharType="end"/>
        </w:r>
      </w:hyperlink>
    </w:p>
    <w:p>
      <w:pPr>
        <w:pStyle w:val="TOC2"/>
        <w:tabs>
          <w:tab w:val="right" w:leader="dot" w:pos="8306"/>
        </w:tabs>
      </w:pPr>
      <w:hyperlink w:anchor="_Toc15393" w:history="1">
        <w:r>
          <w:rPr>
            <w:rFonts w:ascii="仿宋" w:eastAsia="仿宋" w:hAnsi="仿宋" w:cs="仿宋" w:hint="eastAsia"/>
            <w:lang w:eastAsia="zh-CN"/>
          </w:rPr>
          <w:t>(一)、社会责任与义务</w:t>
        </w:r>
        <w:r>
          <w:tab/>
        </w:r>
        <w:r>
          <w:fldChar w:fldCharType="begin"/>
        </w:r>
        <w:r>
          <w:instrText xml:space="preserve"> PAGEREF _Toc15393 \h </w:instrText>
        </w:r>
        <w:r>
          <w:fldChar w:fldCharType="separate"/>
        </w:r>
        <w:r>
          <w:t>28</w:t>
        </w:r>
        <w:r>
          <w:fldChar w:fldCharType="end"/>
        </w:r>
      </w:hyperlink>
    </w:p>
    <w:p>
      <w:pPr>
        <w:pStyle w:val="TOC2"/>
        <w:tabs>
          <w:tab w:val="right" w:leader="dot" w:pos="8306"/>
        </w:tabs>
      </w:pPr>
      <w:hyperlink w:anchor="_Toc10498" w:history="1">
        <w:r>
          <w:rPr>
            <w:rFonts w:ascii="仿宋" w:eastAsia="仿宋" w:hAnsi="仿宋" w:cs="仿宋" w:hint="eastAsia"/>
            <w:lang w:eastAsia="zh-CN"/>
          </w:rPr>
          <w:t>(二)、社会参与与沟通</w:t>
        </w:r>
        <w:r>
          <w:tab/>
        </w:r>
        <w:r>
          <w:fldChar w:fldCharType="begin"/>
        </w:r>
        <w:r>
          <w:instrText xml:space="preserve"> PAGEREF _Toc10498 \h </w:instrText>
        </w:r>
        <w:r>
          <w:fldChar w:fldCharType="separate"/>
        </w:r>
        <w:r>
          <w:t>29</w:t>
        </w:r>
        <w:r>
          <w:fldChar w:fldCharType="end"/>
        </w:r>
      </w:hyperlink>
    </w:p>
    <w:p>
      <w:pPr>
        <w:pStyle w:val="TOC1"/>
        <w:tabs>
          <w:tab w:val="right" w:leader="dot" w:pos="8306"/>
        </w:tabs>
      </w:pPr>
      <w:hyperlink w:anchor="_Toc19774" w:history="1">
        <w:r>
          <w:rPr>
            <w:rFonts w:ascii="仿宋" w:eastAsia="仿宋" w:hAnsi="仿宋" w:cs="仿宋" w:hint="eastAsia"/>
            <w:lang w:eastAsia="zh-CN"/>
          </w:rPr>
          <w:t>九、氨基酸和核苷酸项目人力资源管理</w:t>
        </w:r>
        <w:r>
          <w:tab/>
        </w:r>
        <w:r>
          <w:fldChar w:fldCharType="begin"/>
        </w:r>
        <w:r>
          <w:instrText xml:space="preserve"> PAGEREF _Toc19774 \h </w:instrText>
        </w:r>
        <w:r>
          <w:fldChar w:fldCharType="separate"/>
        </w:r>
        <w:r>
          <w:t>30</w:t>
        </w:r>
        <w:r>
          <w:fldChar w:fldCharType="end"/>
        </w:r>
      </w:hyperlink>
    </w:p>
    <w:p>
      <w:pPr>
        <w:pStyle w:val="TOC2"/>
        <w:tabs>
          <w:tab w:val="right" w:leader="dot" w:pos="8306"/>
        </w:tabs>
      </w:pPr>
      <w:hyperlink w:anchor="_Toc17505" w:history="1">
        <w:r>
          <w:rPr>
            <w:rFonts w:ascii="仿宋" w:eastAsia="仿宋" w:hAnsi="仿宋" w:cs="仿宋" w:hint="eastAsia"/>
            <w:lang w:eastAsia="zh-CN"/>
          </w:rPr>
          <w:t>(一)、建立健全的预算管理制度</w:t>
        </w:r>
        <w:r>
          <w:tab/>
        </w:r>
        <w:r>
          <w:fldChar w:fldCharType="begin"/>
        </w:r>
        <w:r>
          <w:instrText xml:space="preserve"> PAGEREF _Toc17505 \h </w:instrText>
        </w:r>
        <w:r>
          <w:fldChar w:fldCharType="separate"/>
        </w:r>
        <w:r>
          <w:t>30</w:t>
        </w:r>
        <w:r>
          <w:fldChar w:fldCharType="end"/>
        </w:r>
      </w:hyperlink>
    </w:p>
    <w:p>
      <w:pPr>
        <w:pStyle w:val="TOC2"/>
        <w:tabs>
          <w:tab w:val="right" w:leader="dot" w:pos="8306"/>
        </w:tabs>
      </w:pPr>
      <w:hyperlink w:anchor="_Toc1576" w:history="1">
        <w:r>
          <w:rPr>
            <w:rFonts w:ascii="仿宋" w:eastAsia="仿宋" w:hAnsi="仿宋" w:cs="仿宋" w:hint="eastAsia"/>
            <w:lang w:eastAsia="zh-CN"/>
          </w:rPr>
          <w:t>(二)、加强资金流动监控</w:t>
        </w:r>
        <w:r>
          <w:tab/>
        </w:r>
        <w:r>
          <w:fldChar w:fldCharType="begin"/>
        </w:r>
        <w:r>
          <w:instrText xml:space="preserve"> PAGEREF _Toc1576 \h </w:instrText>
        </w:r>
        <w:r>
          <w:fldChar w:fldCharType="separate"/>
        </w:r>
        <w:r>
          <w:t>32</w:t>
        </w:r>
        <w:r>
          <w:fldChar w:fldCharType="end"/>
        </w:r>
      </w:hyperlink>
    </w:p>
    <w:p>
      <w:pPr>
        <w:pStyle w:val="TOC2"/>
        <w:tabs>
          <w:tab w:val="right" w:leader="dot" w:pos="8306"/>
        </w:tabs>
      </w:pPr>
      <w:hyperlink w:anchor="_Toc4910" w:history="1">
        <w:r>
          <w:rPr>
            <w:rFonts w:ascii="仿宋" w:eastAsia="仿宋" w:hAnsi="仿宋" w:cs="仿宋" w:hint="eastAsia"/>
            <w:lang w:eastAsia="zh-CN"/>
          </w:rPr>
          <w:t>(三)、制定完善的风险控制机制</w:t>
        </w:r>
        <w:r>
          <w:tab/>
        </w:r>
        <w:r>
          <w:fldChar w:fldCharType="begin"/>
        </w:r>
        <w:r>
          <w:instrText xml:space="preserve"> PAGEREF _Toc4910 \h </w:instrText>
        </w:r>
        <w:r>
          <w:fldChar w:fldCharType="separate"/>
        </w:r>
        <w:r>
          <w:t>33</w:t>
        </w:r>
        <w:r>
          <w:fldChar w:fldCharType="end"/>
        </w:r>
      </w:hyperlink>
    </w:p>
    <w:p>
      <w:pPr>
        <w:pStyle w:val="TOC2"/>
        <w:tabs>
          <w:tab w:val="right" w:leader="dot" w:pos="8306"/>
        </w:tabs>
      </w:pPr>
      <w:hyperlink w:anchor="_Toc23863" w:history="1">
        <w:r>
          <w:rPr>
            <w:rFonts w:ascii="仿宋" w:eastAsia="仿宋" w:hAnsi="仿宋" w:cs="仿宋" w:hint="eastAsia"/>
            <w:lang w:eastAsia="zh-CN"/>
          </w:rPr>
          <w:t>(四)、优化成本管理</w:t>
        </w:r>
        <w:r>
          <w:tab/>
        </w:r>
        <w:r>
          <w:fldChar w:fldCharType="begin"/>
        </w:r>
        <w:r>
          <w:instrText xml:space="preserve"> PAGEREF _Toc23863 \h </w:instrText>
        </w:r>
        <w:r>
          <w:fldChar w:fldCharType="separate"/>
        </w:r>
        <w:r>
          <w:t>34</w:t>
        </w:r>
        <w:r>
          <w:fldChar w:fldCharType="end"/>
        </w:r>
      </w:hyperlink>
    </w:p>
    <w:p>
      <w:pPr>
        <w:pStyle w:val="TOC1"/>
        <w:tabs>
          <w:tab w:val="right" w:leader="dot" w:pos="8306"/>
        </w:tabs>
      </w:pPr>
      <w:hyperlink w:anchor="_Toc13114" w:history="1">
        <w:r>
          <w:rPr>
            <w:rFonts w:ascii="仿宋" w:eastAsia="仿宋" w:hAnsi="仿宋" w:cs="仿宋" w:hint="eastAsia"/>
            <w:lang w:eastAsia="zh-CN"/>
          </w:rPr>
          <w:t>十、氨基酸和核苷酸项目财务管理</w:t>
        </w:r>
        <w:r>
          <w:tab/>
        </w:r>
        <w:r>
          <w:fldChar w:fldCharType="begin"/>
        </w:r>
        <w:r>
          <w:instrText xml:space="preserve"> PAGEREF _Toc13114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06" w:history="1">
        <w:r>
          <w:rPr>
            <w:rFonts w:ascii="仿宋" w:eastAsia="仿宋" w:hAnsi="仿宋" w:cs="仿宋" w:hint="eastAsia"/>
            <w:lang w:eastAsia="zh-CN"/>
          </w:rPr>
          <w:t>(一)、资金需求大</w:t>
        </w:r>
        <w:r>
          <w:tab/>
        </w:r>
        <w:r>
          <w:fldChar w:fldCharType="begin"/>
        </w:r>
        <w:r>
          <w:instrText xml:space="preserve"> PAGEREF _Toc16006 \h </w:instrText>
        </w:r>
        <w:r>
          <w:fldChar w:fldCharType="separate"/>
        </w:r>
        <w:r>
          <w:t>35</w:t>
        </w:r>
        <w:r>
          <w:fldChar w:fldCharType="end"/>
        </w:r>
      </w:hyperlink>
    </w:p>
    <w:p>
      <w:pPr>
        <w:pStyle w:val="TOC2"/>
        <w:tabs>
          <w:tab w:val="right" w:leader="dot" w:pos="8306"/>
        </w:tabs>
      </w:pPr>
      <w:hyperlink w:anchor="_Toc14232" w:history="1">
        <w:r>
          <w:rPr>
            <w:rFonts w:ascii="仿宋" w:eastAsia="仿宋" w:hAnsi="仿宋" w:cs="仿宋" w:hint="eastAsia"/>
            <w:lang w:eastAsia="zh-CN"/>
          </w:rPr>
          <w:t>(二)、研发周期长</w:t>
        </w:r>
        <w:r>
          <w:tab/>
        </w:r>
        <w:r>
          <w:fldChar w:fldCharType="begin"/>
        </w:r>
        <w:r>
          <w:instrText xml:space="preserve"> PAGEREF _Toc14232 \h </w:instrText>
        </w:r>
        <w:r>
          <w:fldChar w:fldCharType="separate"/>
        </w:r>
        <w:r>
          <w:t>37</w:t>
        </w:r>
        <w:r>
          <w:fldChar w:fldCharType="end"/>
        </w:r>
      </w:hyperlink>
    </w:p>
    <w:p>
      <w:pPr>
        <w:pStyle w:val="TOC2"/>
        <w:tabs>
          <w:tab w:val="right" w:leader="dot" w:pos="8306"/>
        </w:tabs>
      </w:pPr>
      <w:hyperlink w:anchor="_Toc29365" w:history="1">
        <w:r>
          <w:rPr>
            <w:rFonts w:ascii="仿宋" w:eastAsia="仿宋" w:hAnsi="仿宋" w:cs="仿宋" w:hint="eastAsia"/>
            <w:lang w:eastAsia="zh-CN"/>
          </w:rPr>
          <w:t>(三)、市场风险大</w:t>
        </w:r>
        <w:r>
          <w:tab/>
        </w:r>
        <w:r>
          <w:fldChar w:fldCharType="begin"/>
        </w:r>
        <w:r>
          <w:instrText xml:space="preserve"> PAGEREF _Toc29365 \h </w:instrText>
        </w:r>
        <w:r>
          <w:fldChar w:fldCharType="separate"/>
        </w:r>
        <w:r>
          <w:t>38</w:t>
        </w:r>
        <w:r>
          <w:fldChar w:fldCharType="end"/>
        </w:r>
      </w:hyperlink>
    </w:p>
    <w:p>
      <w:pPr>
        <w:pStyle w:val="TOC2"/>
        <w:tabs>
          <w:tab w:val="right" w:leader="dot" w:pos="8306"/>
        </w:tabs>
      </w:pPr>
      <w:hyperlink w:anchor="_Toc10451" w:history="1">
        <w:r>
          <w:rPr>
            <w:rFonts w:ascii="仿宋" w:eastAsia="仿宋" w:hAnsi="仿宋" w:cs="仿宋" w:hint="eastAsia"/>
            <w:lang w:eastAsia="zh-CN"/>
          </w:rPr>
          <w:t>(四)、利润率高</w:t>
        </w:r>
        <w:r>
          <w:tab/>
        </w:r>
        <w:r>
          <w:fldChar w:fldCharType="begin"/>
        </w:r>
        <w:r>
          <w:instrText xml:space="preserve"> PAGEREF _Toc10451 \h </w:instrText>
        </w:r>
        <w:r>
          <w:fldChar w:fldCharType="separate"/>
        </w:r>
        <w:r>
          <w:t>41</w:t>
        </w:r>
        <w:r>
          <w:fldChar w:fldCharType="end"/>
        </w:r>
      </w:hyperlink>
    </w:p>
    <w:p>
      <w:pPr>
        <w:pStyle w:val="TOC1"/>
        <w:tabs>
          <w:tab w:val="right" w:leader="dot" w:pos="8306"/>
        </w:tabs>
      </w:pPr>
      <w:hyperlink w:anchor="_Toc202" w:history="1">
        <w:r>
          <w:rPr>
            <w:rFonts w:ascii="仿宋" w:eastAsia="仿宋" w:hAnsi="仿宋" w:cs="仿宋" w:hint="eastAsia"/>
            <w:lang w:eastAsia="zh-CN"/>
          </w:rPr>
          <w:t>十一、生产安全保护</w:t>
        </w:r>
        <w:r>
          <w:tab/>
        </w:r>
        <w:r>
          <w:fldChar w:fldCharType="begin"/>
        </w:r>
        <w:r>
          <w:instrText xml:space="preserve"> PAGEREF _Toc202 \h </w:instrText>
        </w:r>
        <w:r>
          <w:fldChar w:fldCharType="separate"/>
        </w:r>
        <w:r>
          <w:t>43</w:t>
        </w:r>
        <w:r>
          <w:fldChar w:fldCharType="end"/>
        </w:r>
      </w:hyperlink>
    </w:p>
    <w:p>
      <w:pPr>
        <w:pStyle w:val="TOC2"/>
        <w:tabs>
          <w:tab w:val="right" w:leader="dot" w:pos="8306"/>
        </w:tabs>
      </w:pPr>
      <w:hyperlink w:anchor="_Toc14301" w:history="1">
        <w:r>
          <w:rPr>
            <w:rFonts w:ascii="仿宋" w:eastAsia="仿宋" w:hAnsi="仿宋" w:cs="仿宋" w:hint="eastAsia"/>
            <w:lang w:eastAsia="zh-CN"/>
          </w:rPr>
          <w:t>(一)、消防安全</w:t>
        </w:r>
        <w:r>
          <w:tab/>
        </w:r>
        <w:r>
          <w:fldChar w:fldCharType="begin"/>
        </w:r>
        <w:r>
          <w:instrText xml:space="preserve"> PAGEREF _Toc14301 \h </w:instrText>
        </w:r>
        <w:r>
          <w:fldChar w:fldCharType="separate"/>
        </w:r>
        <w:r>
          <w:t>43</w:t>
        </w:r>
        <w:r>
          <w:fldChar w:fldCharType="end"/>
        </w:r>
      </w:hyperlink>
    </w:p>
    <w:p>
      <w:pPr>
        <w:pStyle w:val="TOC2"/>
        <w:tabs>
          <w:tab w:val="right" w:leader="dot" w:pos="8306"/>
        </w:tabs>
      </w:pPr>
      <w:hyperlink w:anchor="_Toc3052" w:history="1">
        <w:r>
          <w:rPr>
            <w:rFonts w:ascii="仿宋" w:eastAsia="仿宋" w:hAnsi="仿宋" w:cs="仿宋" w:hint="eastAsia"/>
            <w:lang w:eastAsia="zh-CN"/>
          </w:rPr>
          <w:t>(二)、防火防爆总图布置措施</w:t>
        </w:r>
        <w:r>
          <w:tab/>
        </w:r>
        <w:r>
          <w:fldChar w:fldCharType="begin"/>
        </w:r>
        <w:r>
          <w:instrText xml:space="preserve"> PAGEREF _Toc3052 \h </w:instrText>
        </w:r>
        <w:r>
          <w:fldChar w:fldCharType="separate"/>
        </w:r>
        <w:r>
          <w:t>44</w:t>
        </w:r>
        <w:r>
          <w:fldChar w:fldCharType="end"/>
        </w:r>
      </w:hyperlink>
    </w:p>
    <w:p>
      <w:pPr>
        <w:pStyle w:val="TOC2"/>
        <w:tabs>
          <w:tab w:val="right" w:leader="dot" w:pos="8306"/>
        </w:tabs>
      </w:pPr>
      <w:hyperlink w:anchor="_Toc16725" w:history="1">
        <w:r>
          <w:rPr>
            <w:rFonts w:ascii="仿宋" w:eastAsia="仿宋" w:hAnsi="仿宋" w:cs="仿宋" w:hint="eastAsia"/>
            <w:lang w:eastAsia="zh-CN"/>
          </w:rPr>
          <w:t>(三)、自然灾害防范措施</w:t>
        </w:r>
        <w:r>
          <w:tab/>
        </w:r>
        <w:r>
          <w:fldChar w:fldCharType="begin"/>
        </w:r>
        <w:r>
          <w:instrText xml:space="preserve"> PAGEREF _Toc16725 \h </w:instrText>
        </w:r>
        <w:r>
          <w:fldChar w:fldCharType="separate"/>
        </w:r>
        <w:r>
          <w:t>45</w:t>
        </w:r>
        <w:r>
          <w:fldChar w:fldCharType="end"/>
        </w:r>
      </w:hyperlink>
    </w:p>
    <w:p>
      <w:pPr>
        <w:pStyle w:val="TOC2"/>
        <w:tabs>
          <w:tab w:val="right" w:leader="dot" w:pos="8306"/>
        </w:tabs>
      </w:pPr>
      <w:hyperlink w:anchor="_Toc29705" w:history="1">
        <w:r>
          <w:rPr>
            <w:rFonts w:ascii="仿宋" w:eastAsia="仿宋" w:hAnsi="仿宋" w:cs="仿宋" w:hint="eastAsia"/>
            <w:lang w:eastAsia="zh-CN"/>
          </w:rPr>
          <w:t>(四)、安全色及安全标志使用要求</w:t>
        </w:r>
        <w:r>
          <w:tab/>
        </w:r>
        <w:r>
          <w:fldChar w:fldCharType="begin"/>
        </w:r>
        <w:r>
          <w:instrText xml:space="preserve"> PAGEREF _Toc29705 \h </w:instrText>
        </w:r>
        <w:r>
          <w:fldChar w:fldCharType="separate"/>
        </w:r>
        <w:r>
          <w:t>46</w:t>
        </w:r>
        <w:r>
          <w:fldChar w:fldCharType="end"/>
        </w:r>
      </w:hyperlink>
    </w:p>
    <w:p>
      <w:pPr>
        <w:pStyle w:val="TOC2"/>
        <w:tabs>
          <w:tab w:val="right" w:leader="dot" w:pos="8306"/>
        </w:tabs>
      </w:pPr>
      <w:hyperlink w:anchor="_Toc27669" w:history="1">
        <w:r>
          <w:rPr>
            <w:rFonts w:ascii="仿宋" w:eastAsia="仿宋" w:hAnsi="仿宋" w:cs="仿宋" w:hint="eastAsia"/>
            <w:lang w:eastAsia="zh-CN"/>
          </w:rPr>
          <w:t>(五)、防尘防毒措施</w:t>
        </w:r>
        <w:r>
          <w:tab/>
        </w:r>
        <w:r>
          <w:fldChar w:fldCharType="begin"/>
        </w:r>
        <w:r>
          <w:instrText xml:space="preserve"> PAGEREF _Toc27669 \h </w:instrText>
        </w:r>
        <w:r>
          <w:fldChar w:fldCharType="separate"/>
        </w:r>
        <w:r>
          <w:t>47</w:t>
        </w:r>
        <w:r>
          <w:fldChar w:fldCharType="end"/>
        </w:r>
      </w:hyperlink>
    </w:p>
    <w:p>
      <w:pPr>
        <w:pStyle w:val="TOC2"/>
        <w:tabs>
          <w:tab w:val="right" w:leader="dot" w:pos="8306"/>
        </w:tabs>
      </w:pPr>
      <w:hyperlink w:anchor="_Toc30891" w:history="1">
        <w:r>
          <w:rPr>
            <w:rFonts w:ascii="仿宋" w:eastAsia="仿宋" w:hAnsi="仿宋" w:cs="仿宋" w:hint="eastAsia"/>
            <w:lang w:eastAsia="zh-CN"/>
          </w:rPr>
          <w:t>(六)、防静电、触电防护及防雷措施</w:t>
        </w:r>
        <w:r>
          <w:tab/>
        </w:r>
        <w:r>
          <w:fldChar w:fldCharType="begin"/>
        </w:r>
        <w:r>
          <w:instrText xml:space="preserve"> PAGEREF _Toc30891 \h </w:instrText>
        </w:r>
        <w:r>
          <w:fldChar w:fldCharType="separate"/>
        </w:r>
        <w:r>
          <w:t>48</w:t>
        </w:r>
        <w:r>
          <w:fldChar w:fldCharType="end"/>
        </w:r>
      </w:hyperlink>
    </w:p>
    <w:p>
      <w:pPr>
        <w:pStyle w:val="TOC2"/>
        <w:tabs>
          <w:tab w:val="right" w:leader="dot" w:pos="8306"/>
        </w:tabs>
      </w:pPr>
      <w:hyperlink w:anchor="_Toc17709" w:history="1">
        <w:r>
          <w:rPr>
            <w:rFonts w:ascii="仿宋" w:eastAsia="仿宋" w:hAnsi="仿宋" w:cs="仿宋" w:hint="eastAsia"/>
            <w:lang w:eastAsia="zh-CN"/>
          </w:rPr>
          <w:t>(七)、机械设备安全保障措施</w:t>
        </w:r>
        <w:r>
          <w:tab/>
        </w:r>
        <w:r>
          <w:fldChar w:fldCharType="begin"/>
        </w:r>
        <w:r>
          <w:instrText xml:space="preserve"> PAGEREF _Toc17709 \h </w:instrText>
        </w:r>
        <w:r>
          <w:fldChar w:fldCharType="separate"/>
        </w:r>
        <w:r>
          <w:t>50</w:t>
        </w:r>
        <w:r>
          <w:fldChar w:fldCharType="end"/>
        </w:r>
      </w:hyperlink>
    </w:p>
    <w:p>
      <w:pPr>
        <w:pStyle w:val="TOC1"/>
        <w:tabs>
          <w:tab w:val="right" w:leader="dot" w:pos="8306"/>
        </w:tabs>
      </w:pPr>
      <w:hyperlink w:anchor="_Toc22411" w:history="1">
        <w:r>
          <w:rPr>
            <w:rFonts w:ascii="仿宋" w:eastAsia="仿宋" w:hAnsi="仿宋" w:cs="仿宋" w:hint="eastAsia"/>
            <w:lang w:eastAsia="zh-CN"/>
          </w:rPr>
          <w:t>十二、氨基酸和核苷酸项目经营效益</w:t>
        </w:r>
        <w:r>
          <w:tab/>
        </w:r>
        <w:r>
          <w:fldChar w:fldCharType="begin"/>
        </w:r>
        <w:r>
          <w:instrText xml:space="preserve"> PAGEREF _Toc22411 \h </w:instrText>
        </w:r>
        <w:r>
          <w:fldChar w:fldCharType="separate"/>
        </w:r>
        <w:r>
          <w:t>51</w:t>
        </w:r>
        <w:r>
          <w:fldChar w:fldCharType="end"/>
        </w:r>
      </w:hyperlink>
    </w:p>
    <w:p>
      <w:pPr>
        <w:pStyle w:val="TOC2"/>
        <w:tabs>
          <w:tab w:val="right" w:leader="dot" w:pos="8306"/>
        </w:tabs>
      </w:pPr>
      <w:hyperlink w:anchor="_Toc3250" w:history="1">
        <w:r>
          <w:rPr>
            <w:rFonts w:ascii="仿宋" w:eastAsia="仿宋" w:hAnsi="仿宋" w:cs="仿宋" w:hint="eastAsia"/>
            <w:lang w:eastAsia="zh-CN"/>
          </w:rPr>
          <w:t>(一)、经济评价财务测算</w:t>
        </w:r>
        <w:r>
          <w:tab/>
        </w:r>
        <w:r>
          <w:fldChar w:fldCharType="begin"/>
        </w:r>
        <w:r>
          <w:instrText xml:space="preserve"> PAGEREF _Toc3250 \h </w:instrText>
        </w:r>
        <w:r>
          <w:fldChar w:fldCharType="separate"/>
        </w:r>
        <w:r>
          <w:t>51</w:t>
        </w:r>
        <w:r>
          <w:fldChar w:fldCharType="end"/>
        </w:r>
      </w:hyperlink>
    </w:p>
    <w:p>
      <w:pPr>
        <w:pStyle w:val="TOC2"/>
        <w:tabs>
          <w:tab w:val="right" w:leader="dot" w:pos="8306"/>
        </w:tabs>
      </w:pPr>
      <w:hyperlink w:anchor="_Toc27811" w:history="1">
        <w:r>
          <w:rPr>
            <w:rFonts w:ascii="仿宋" w:eastAsia="仿宋" w:hAnsi="仿宋" w:cs="仿宋" w:hint="eastAsia"/>
            <w:lang w:eastAsia="zh-CN"/>
          </w:rPr>
          <w:t>(二)、氨基酸和核苷酸项目盈利能力分析</w:t>
        </w:r>
        <w:r>
          <w:tab/>
        </w:r>
        <w:r>
          <w:fldChar w:fldCharType="begin"/>
        </w:r>
        <w:r>
          <w:instrText xml:space="preserve"> PAGEREF _Toc27811 \h </w:instrText>
        </w:r>
        <w:r>
          <w:fldChar w:fldCharType="separate"/>
        </w:r>
        <w:r>
          <w:t>52</w:t>
        </w:r>
        <w:r>
          <w:fldChar w:fldCharType="end"/>
        </w:r>
      </w:hyperlink>
    </w:p>
    <w:p>
      <w:pPr>
        <w:pStyle w:val="TOC1"/>
        <w:tabs>
          <w:tab w:val="right" w:leader="dot" w:pos="8306"/>
        </w:tabs>
      </w:pPr>
      <w:hyperlink w:anchor="_Toc16910" w:history="1">
        <w:r>
          <w:rPr>
            <w:rFonts w:ascii="仿宋" w:eastAsia="仿宋" w:hAnsi="仿宋" w:cs="仿宋" w:hint="eastAsia"/>
            <w:lang w:eastAsia="zh-CN"/>
          </w:rPr>
          <w:t>十三、利益相关者分析与沟通计划</w:t>
        </w:r>
        <w:r>
          <w:tab/>
        </w:r>
        <w:r>
          <w:fldChar w:fldCharType="begin"/>
        </w:r>
        <w:r>
          <w:instrText xml:space="preserve"> PAGEREF _Toc16910 \h </w:instrText>
        </w:r>
        <w:r>
          <w:fldChar w:fldCharType="separate"/>
        </w:r>
        <w:r>
          <w:t>53</w:t>
        </w:r>
        <w:r>
          <w:fldChar w:fldCharType="end"/>
        </w:r>
      </w:hyperlink>
    </w:p>
    <w:p>
      <w:pPr>
        <w:pStyle w:val="TOC2"/>
        <w:tabs>
          <w:tab w:val="right" w:leader="dot" w:pos="8306"/>
        </w:tabs>
      </w:pPr>
      <w:hyperlink w:anchor="_Toc18373" w:history="1">
        <w:r>
          <w:rPr>
            <w:rFonts w:ascii="仿宋" w:eastAsia="仿宋" w:hAnsi="仿宋" w:cs="仿宋" w:hint="eastAsia"/>
            <w:lang w:eastAsia="zh-CN"/>
          </w:rPr>
          <w:t>(一)、利益相关者分析</w:t>
        </w:r>
        <w:r>
          <w:tab/>
        </w:r>
        <w:r>
          <w:fldChar w:fldCharType="begin"/>
        </w:r>
        <w:r>
          <w:instrText xml:space="preserve"> PAGEREF _Toc18373 \h </w:instrText>
        </w:r>
        <w:r>
          <w:fldChar w:fldCharType="separate"/>
        </w:r>
        <w:r>
          <w:t>53</w:t>
        </w:r>
        <w:r>
          <w:fldChar w:fldCharType="end"/>
        </w:r>
      </w:hyperlink>
    </w:p>
    <w:p>
      <w:pPr>
        <w:pStyle w:val="TOC2"/>
        <w:tabs>
          <w:tab w:val="right" w:leader="dot" w:pos="8306"/>
        </w:tabs>
      </w:pPr>
      <w:hyperlink w:anchor="_Toc13227" w:history="1">
        <w:r>
          <w:rPr>
            <w:rFonts w:ascii="仿宋" w:eastAsia="仿宋" w:hAnsi="仿宋" w:cs="仿宋" w:hint="eastAsia"/>
            <w:lang w:eastAsia="zh-CN"/>
          </w:rPr>
          <w:t>(二)、沟通计划</w:t>
        </w:r>
        <w:r>
          <w:tab/>
        </w:r>
        <w:r>
          <w:fldChar w:fldCharType="begin"/>
        </w:r>
        <w:r>
          <w:instrText xml:space="preserve"> PAGEREF _Toc13227 \h </w:instrText>
        </w:r>
        <w:r>
          <w:fldChar w:fldCharType="separate"/>
        </w:r>
        <w:r>
          <w:t>54</w:t>
        </w:r>
        <w:r>
          <w:fldChar w:fldCharType="end"/>
        </w:r>
      </w:hyperlink>
    </w:p>
    <w:p>
      <w:pPr>
        <w:pStyle w:val="TOC1"/>
        <w:tabs>
          <w:tab w:val="right" w:leader="dot" w:pos="8306"/>
        </w:tabs>
      </w:pPr>
      <w:hyperlink w:anchor="_Toc3078" w:history="1">
        <w:r>
          <w:rPr>
            <w:rFonts w:ascii="仿宋" w:eastAsia="仿宋" w:hAnsi="仿宋" w:cs="仿宋" w:hint="eastAsia"/>
            <w:lang w:eastAsia="zh-CN"/>
          </w:rPr>
          <w:t>十四、氨基酸和核苷酸项目工程方案分析</w:t>
        </w:r>
        <w:r>
          <w:tab/>
        </w:r>
        <w:r>
          <w:fldChar w:fldCharType="begin"/>
        </w:r>
        <w:r>
          <w:instrText xml:space="preserve"> PAGEREF _Toc3078 \h </w:instrText>
        </w:r>
        <w:r>
          <w:fldChar w:fldCharType="separate"/>
        </w:r>
        <w:r>
          <w:t>56</w:t>
        </w:r>
        <w:r>
          <w:fldChar w:fldCharType="end"/>
        </w:r>
      </w:hyperlink>
    </w:p>
    <w:p>
      <w:pPr>
        <w:pStyle w:val="TOC2"/>
        <w:tabs>
          <w:tab w:val="right" w:leader="dot" w:pos="8306"/>
        </w:tabs>
      </w:pPr>
      <w:hyperlink w:anchor="_Toc13625" w:history="1">
        <w:r>
          <w:rPr>
            <w:rFonts w:ascii="仿宋" w:eastAsia="仿宋" w:hAnsi="仿宋" w:cs="仿宋" w:hint="eastAsia"/>
            <w:lang w:eastAsia="zh-CN"/>
          </w:rPr>
          <w:t>(一)、建筑工程设计原则</w:t>
        </w:r>
        <w:r>
          <w:tab/>
        </w:r>
        <w:r>
          <w:fldChar w:fldCharType="begin"/>
        </w:r>
        <w:r>
          <w:instrText xml:space="preserve"> PAGEREF _Toc13625 \h </w:instrText>
        </w:r>
        <w:r>
          <w:fldChar w:fldCharType="separate"/>
        </w:r>
        <w:r>
          <w:t>56</w:t>
        </w:r>
        <w:r>
          <w:fldChar w:fldCharType="end"/>
        </w:r>
      </w:hyperlink>
    </w:p>
    <w:p>
      <w:pPr>
        <w:pStyle w:val="TOC2"/>
        <w:tabs>
          <w:tab w:val="right" w:leader="dot" w:pos="8306"/>
        </w:tabs>
      </w:pPr>
      <w:hyperlink w:anchor="_Toc20359" w:history="1">
        <w:r>
          <w:rPr>
            <w:rFonts w:ascii="仿宋" w:eastAsia="仿宋" w:hAnsi="仿宋" w:cs="仿宋" w:hint="eastAsia"/>
            <w:lang w:eastAsia="zh-CN"/>
          </w:rPr>
          <w:t>(二)、土建工程建设指标</w:t>
        </w:r>
        <w:r>
          <w:tab/>
        </w:r>
        <w:r>
          <w:fldChar w:fldCharType="begin"/>
        </w:r>
        <w:r>
          <w:instrText xml:space="preserve"> PAGEREF _Toc20359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8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175"/>
      <w:r>
        <w:rPr>
          <w:rFonts w:ascii="仿宋" w:eastAsia="仿宋" w:hAnsi="仿宋" w:cs="仿宋" w:hint="eastAsia"/>
          <w:lang w:eastAsia="zh-CN"/>
        </w:rPr>
        <w:t>(一)、氨基酸和核苷酸行业分析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行业一直以来都是市场的关注焦点。行业内的发展趋势、竞争态势以及潜在机会都对氨基酸和核苷酸项目的推进产生深远的影响。通过深入研究行业的整体概貌，我们将更好地理解行业的核心特征，为氨基酸和核苷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酸和核苷酸行业，技术一直是推动创新和发展的关键因素。我们将对当前技术趋势进行详尽分析，包括但不限于人工智能、大数据应用、先进制造技术等。这有助于氨基酸和核苷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氨基酸和核苷酸项目成功的基础。我们将对主要竞争对手进行深入研究，包括其市场份额、产品特点、市场定位等。通过全面了解竞争对手的优势和劣势，氨基酸和核苷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727"/>
      <w:r>
        <w:rPr>
          <w:rFonts w:ascii="仿宋" w:eastAsia="仿宋" w:hAnsi="仿宋" w:cs="仿宋" w:hint="eastAsia"/>
          <w:sz w:val="28"/>
          <w:lang w:eastAsia="zh-CN"/>
        </w:rPr>
        <w:t>(二)、氨基酸和核苷酸市场分析预测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氨基酸和核苷酸市场未来的增长趋势。这包括市场的整体规模、各细分领域的发展趋势等。氨基酸和核苷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氨基酸和核苷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氨基酸和核苷酸项目实施过程中需要充分考虑的因素。我们将对市场风险进行全面评估，包括但不限于政策法规风险、市场竞争风险、技术变革风险等。通过对潜在风险的深入分析，氨基酸和核苷酸项目可以制定相应的风险缓解策略，降低不确定性对氨基酸和核苷酸项目的影响。</w:t>
      </w:r>
    </w:p>
    <w:p>
      <w:pPr>
        <w:pStyle w:val="Heading1"/>
        <w:ind w:firstLine="560" w:firstLineChars="200"/>
        <w:rPr>
          <w:rFonts w:ascii="仿宋" w:eastAsia="仿宋" w:hAnsi="仿宋" w:cs="仿宋" w:hint="eastAsia"/>
          <w:sz w:val="28"/>
          <w:lang w:eastAsia="zh-CN"/>
        </w:rPr>
      </w:pPr>
      <w:bookmarkStart w:id="5" w:name="_Toc30790"/>
      <w:r>
        <w:rPr>
          <w:rFonts w:ascii="仿宋" w:eastAsia="仿宋" w:hAnsi="仿宋" w:cs="仿宋" w:hint="eastAsia"/>
          <w:sz w:val="28"/>
          <w:lang w:eastAsia="zh-CN"/>
        </w:rPr>
        <w:t>二、氨基酸和核苷酸项目文档管理</w:t>
      </w:r>
      <w:bookmarkEnd w:id="5"/>
    </w:p>
    <w:p>
      <w:pPr>
        <w:pStyle w:val="Heading2"/>
        <w:rPr>
          <w:rFonts w:ascii="仿宋" w:eastAsia="仿宋" w:hAnsi="仿宋" w:cs="仿宋" w:hint="eastAsia"/>
          <w:lang w:eastAsia="zh-CN"/>
        </w:rPr>
      </w:pPr>
      <w:bookmarkStart w:id="6" w:name="_Toc3042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氨基酸和核苷酸项目高度重视文档的质量和准确性，以支持氨基酸和核苷酸项目的各项活动和决策。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文档的编制始于氨基酸和核苷酸项目计划的初期，我们制定了详细的文档编制计划，明确了每个文档的内容、格式和编写责任人。在氨基酸和核苷酸项目启动阶段，我们首先编制了氨基酸和核苷酸项目章程，明确定义了氨基酸和核苷酸项目的目标、范围、风险等关键要素。随后，氨基酸和核苷酸项目团队根据计划陆续编制了需求文档、设计文档、测试文档等各类文档，确保氨基酸和核苷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氨基酸和核苷酸项目管理中的重要环节，旨在确保氨基酸和核苷酸项目文档符合质量标准和氨基酸和核苷酸项目需求。在氨基酸和核苷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氨基酸和核苷酸项目相关利益方和专业领域的专家对文档进行独立审查。这有助于获取更全面、客观的反馈，确保氨基酸和核苷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氨基酸和核苷酸项目在文档编制与审查方面建立了严格的管理机制，通过规范的流程和多维度的审查，确保氨基酸和核苷酸项目文档的质量、准确性和可靠性，为氨基酸和核苷酸项目的顺利推进提供了有力支持。</w:t>
      </w:r>
    </w:p>
    <w:p>
      <w:pPr>
        <w:pStyle w:val="Heading2"/>
        <w:ind w:firstLine="560" w:firstLineChars="200"/>
        <w:rPr>
          <w:rFonts w:ascii="仿宋" w:eastAsia="仿宋" w:hAnsi="仿宋" w:cs="仿宋" w:hint="eastAsia"/>
          <w:sz w:val="28"/>
          <w:lang w:eastAsia="zh-CN"/>
        </w:rPr>
      </w:pPr>
      <w:bookmarkStart w:id="7" w:name="_Toc253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在氨基酸和核苷酸项目中，我们致力于优化文档发布与分发过程，以确保信息的高效传递和团队间协作的顺畅进行。以下是我们采取的关键优化策略：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我们通过多渠道发布文档，包括电子邮件、氨基酸和核苷酸项目管理平台、内部网站等，以满足不同团队成员的偏好和需求。多渠道发布确保了信息的全面覆盖。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我们采用了精细的权限控制，确保只有授权人员可以访问敏感信息。这种安全措施保护了氨基酸和核苷酸项目文档的机密性，防止了未经授权的信息泄露。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65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氨基酸和核苷酸项目生命周期中一个至关重要的环节，直接关系到氨基酸和核苷酸项目信息的长期保存和历史记录的完整性。在氨基酸和核苷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306"/>
      <w:r>
        <w:rPr>
          <w:rFonts w:ascii="仿宋" w:eastAsia="仿宋" w:hAnsi="仿宋" w:cs="仿宋" w:hint="eastAsia"/>
          <w:sz w:val="28"/>
          <w:lang w:eastAsia="zh-CN"/>
        </w:rPr>
        <w:t>三、氨基酸和核苷酸项目绩效评估</w:t>
      </w:r>
      <w:bookmarkEnd w:id="9"/>
    </w:p>
    <w:p>
      <w:pPr>
        <w:pStyle w:val="Heading2"/>
        <w:rPr>
          <w:rFonts w:ascii="仿宋" w:eastAsia="仿宋" w:hAnsi="仿宋" w:cs="仿宋" w:hint="eastAsia"/>
          <w:lang w:eastAsia="zh-CN"/>
        </w:rPr>
      </w:pPr>
      <w:bookmarkStart w:id="10" w:name="_Toc455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氨基酸和核苷酸项目中，我们设计了一套全面的绩效评估指标，以确保氨基酸和核苷酸项目的可控和成功交付。这些指标跨足氨基酸和核苷酸项目目标、成本、进度和质量等多个维度，为我们提供了全面洞察氨基酸和核苷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目标达成率是我们关注的首要指标。我们设定了明确的目标，并通过定期监测和评估，迅速发现并应对潜在的目标偏差。这为氨基酸和核苷酸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成本绩效是另一个核心关注点。通过实际成本与预算成本的对比分析，我们深入了解成本差异的原因，及时调整资源分配，保持氨基酸和核苷酸项目在经济效益方面的合理水平。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酸和核苷酸项目进度作为关键的绩效指标之一，得到了精心的关注。我们制定了详细的氨基酸和核苷酸项目进度计划，并设立了进度符合度指标，确保实际进度与计划进度保持一致。这使我们能够快速发现和解决潜在的进度问题，保持氨基酸和核苷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氨基酸和核苷酸项目绩效的不可或缺的一环。我们引入了一系列的质量标准和客户满意度指标，以确保氨基酸和核苷酸项目交付的成果在质量上达到或超越预期水平。通过持续监测这些指标，我们努力提升氨基酸和核苷酸项目整体质量水平，为氨基酸和核苷酸项目的成功交付提供有力保障。通过这些科学且全面的绩效评估，我们能够更好地引导氨基酸和核苷酸项目的持续改进，确保氨基酸和核苷酸项目目标的顺利达成。</w:t>
      </w:r>
    </w:p>
    <w:p>
      <w:pPr>
        <w:pStyle w:val="Heading2"/>
        <w:ind w:firstLine="560" w:firstLineChars="200"/>
        <w:rPr>
          <w:rFonts w:ascii="仿宋" w:eastAsia="仿宋" w:hAnsi="仿宋" w:cs="仿宋" w:hint="eastAsia"/>
          <w:sz w:val="28"/>
          <w:lang w:eastAsia="zh-CN"/>
        </w:rPr>
      </w:pPr>
      <w:bookmarkStart w:id="11" w:name="_Toc34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绩效评估是氨基酸和核苷酸项目中的关键环节，为确保氨基酸和核苷酸项目达到预期目标，我们采用了多层次、多维度的绩效评估方法。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氨基酸和核苷酸项目的战略目标对齐，确保每个决策和行动都与氨基酸和核苷酸项目整体目标保持一致。团队会定期召开战略对齐会议，审视当前工作与氨基酸和核苷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氨基酸和核苷酸项目进度、质量、成本和风险等方面。这些指标通过数据收集和分析，为氨基酸和核苷酸项目管理团队提供了客观的评估依据。例如，我们通过氨基酸和核苷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氨基酸和核苷酸项目内部，还考虑了氨基酸和核苷酸项目对外部环境的影响。我们定期进行干系人满意度调查，以了解各利益相关方对氨基酸和核苷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这种多层次、多角度的绩效评估方法，使得我们能够全面了解氨基酸和核苷酸项目的运行状态，及时做出调整，确保氨基酸和核苷酸项目在不断变化的环境中保持稳健前行。</w:t>
      </w:r>
    </w:p>
    <w:p>
      <w:pPr>
        <w:pStyle w:val="Heading2"/>
        <w:ind w:firstLine="560" w:firstLineChars="200"/>
        <w:rPr>
          <w:rFonts w:ascii="仿宋" w:eastAsia="仿宋" w:hAnsi="仿宋" w:cs="仿宋" w:hint="eastAsia"/>
          <w:sz w:val="28"/>
          <w:lang w:eastAsia="zh-CN"/>
        </w:rPr>
      </w:pPr>
      <w:bookmarkStart w:id="12" w:name="_Toc2478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为了确保氨基酸和核苷酸项目的有效管理和不断优化，我们采用了精心设计的绩效评估周期。这个周期旨在实现灵活、实时和全面的评估，以适应氨基酸和核苷酸项目执行中的各种挑战。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氨基酸和核苷酸项目的不同需求，分为短期、中期和长期。短期评估关注每个迭代或工作周期，以及时发现和解决当前任务中的问题。中期评估涵盖几个迭代，深入了解整体氨基酸和核苷酸项目的趋势和性能。长期评估则着眼于整个氨基酸和核苷酸项目阶段，确保氨基酸和核苷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氨基酸和核苷酸项目管理工具和协作平台，团队成员能够随时更新和分享氨基酸和核苷酸项目数据。这种实时性的反馈机制使我们能够及时察觉潜在问题，快速调整，保持氨基酸和核苷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氨基酸和核苷酸项目的决策制定密不可分。每个周期的氨基酸和核苷酸项目回顾会议成为集体总结经验、识别问题深层次原因并找到创新解决方案的平台。这种定期的反思与调整机制使氨基酸和核苷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4982"/>
      <w:r>
        <w:rPr>
          <w:rFonts w:ascii="仿宋" w:eastAsia="仿宋" w:hAnsi="仿宋" w:cs="仿宋" w:hint="eastAsia"/>
          <w:sz w:val="28"/>
          <w:lang w:eastAsia="zh-CN"/>
        </w:rPr>
        <w:t>四、氨基酸和核苷酸项目选址可行性分析</w:t>
      </w:r>
      <w:bookmarkEnd w:id="13"/>
    </w:p>
    <w:p>
      <w:pPr>
        <w:pStyle w:val="Heading2"/>
        <w:rPr>
          <w:rFonts w:ascii="仿宋" w:eastAsia="仿宋" w:hAnsi="仿宋" w:cs="仿宋" w:hint="eastAsia"/>
          <w:lang w:eastAsia="zh-CN"/>
        </w:rPr>
      </w:pPr>
      <w:bookmarkStart w:id="14" w:name="_Toc32198"/>
      <w:r>
        <w:rPr>
          <w:rFonts w:ascii="仿宋" w:eastAsia="仿宋" w:hAnsi="仿宋" w:cs="仿宋" w:hint="eastAsia"/>
          <w:lang w:eastAsia="zh-CN"/>
        </w:rPr>
        <w:t>(一)、氨基酸和核苷酸项目选址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该氨基酸和核苷酸项目选址位于XX省XX市XX区XXX街道</w:t>
      </w:r>
    </w:p>
    <w:p>
      <w:pPr>
        <w:pStyle w:val="Heading2"/>
        <w:ind w:firstLine="560" w:firstLineChars="200"/>
        <w:rPr>
          <w:rFonts w:ascii="仿宋" w:eastAsia="仿宋" w:hAnsi="仿宋" w:cs="仿宋" w:hint="eastAsia"/>
          <w:sz w:val="28"/>
          <w:lang w:eastAsia="zh-CN"/>
        </w:rPr>
      </w:pPr>
      <w:bookmarkStart w:id="15" w:name="_Toc2270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氨基酸和核苷酸项目的征地面积将根据氨基酸和核苷酸项目的实际规模和需求进行精确规划。具体面积XXX平方米，旨在确保氨基酸和核苷酸项目不仅能够满足当前的发展需求，还能够预留空间以适应未来的扩展。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净用地面积是在征地面积基础上去除不可利用面积后的实际可开发用地。具体面积XXX平方米，考虑到环保、交通、安全等多方面因素，以确保氨基酸和核苷酸项目在整体利用效率上达到最优。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氨基酸和核苷酸项目计划建设的建筑总规模具体面积XXX平方米。这一规模的确定综合考虑了氨基酸和核苷酸项目的性质、规模，以及城市规划的相关要求，确保建筑布局与周边环境协调一致。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绿地率是氨基酸和核苷酸项目用地中被规划为绿地的比例。具体面积XXX平方米，旨在通过合理规划绿地，改善氨基酸和核苷酸项目周边环境，提升居民生活质量，并符合城市整体绿化规划。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容积率是用地上可以建设的建筑总体积与用地面积之比。具体面积XXX，通过合理的容积率规划，确保氨基酸和核苷酸项目建筑规模与周边环境和谐共生。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城市规划一致性： 确保氨基酸和核苷酸项目选址与当地城市规划相一致，具体面积XXX平方米。通过与城市规划部门深入沟通，确保氨基酸和核苷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氨基酸和核苷酸项目选址符合当地产业政策，具体面积XXX平方米。这包括氨基酸和核苷酸项目对当地经济的促进作用，以及对相关产业的带动效应，确保氨基酸和核苷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用地总体要求必须符合环保和可持续发展的原则，具体面积XXX平方米。通过采用绿色建筑设计、节能减排等措施，确保氨基酸和核苷酸项目在建设和运营过程中对环境的影响最小化，达到可持续发展的要求。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确保氨基酸和核苷酸项目选址具备必要的公共设施配套，具体面积XXX平方米。这包括交通便利性、教育、医疗等基础设施，以提高居民生活品质，使得氨基酸和核苷酸项目选址更具吸引力。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考虑用地总体要求对当地社会稳定性的影响，具体面积XXX平方米。通过深入了解当地社区反馈，确保氨基酸和核苷酸项目的选址和建设过程对当地社会和谐稳定产生积极作用。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氨基酸和核苷酸项目选址不仅符合法规和规划，还在实际操作中具有可行性。这一全面规划将为氨基酸和核苷酸项目的成功实施提供坚实的基础，确保氨基酸和核苷酸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256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酸和核苷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氨基酸和核苷酸项目的设备规划和空间设计中，我们将采取灵活设备布局的措施。设备布局将根据实际需求进行灵活设计，避免不必要的浪费。通过合理规划设备摆放位置，我们将提高设备的利用率，减少设备间距，以确保氨基酸和核苷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氨基酸和核苷酸项目内部引入共享设施的概念，例如共享会议室、办公区等。通过这种方式，我们可以减少对资源的重复建设，提高资源共享效率，从而减小氨基酸和核苷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830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氨基酸和核苷酸项目的总图布置中，我们将不同功能区域进行明确的规划，以最大程度满足氨基酸和核苷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368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氨基酸和核苷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氨基酸和核苷酸项目对环境的影响是综合评价的重要因素之一。我们将详细考虑选址周边的自然环境、生态保护区、水源地等情况，确保氨基酸和核苷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对选址的评价还需充分考虑当地政府的产业政策和法规。我们将详细了解氨基酸和核苷酸项目所在地的相关政策，确保氨基酸和核苷酸项目的规划和运营与当地法规相符，降低不必要的法律风险。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考虑到社会稳定性对企业运营的重要性，我们将评估选址地区的社会安全情况、劳工关系、社区反馈等方面，以确保氨基酸和核苷酸项目的建设和运营不会受到社会稳定性的负面影响。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https://d.book118.com/307013021061006052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氨基酸和核苷酸项目规划设计方案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176AD7"/>
    <w:rsid w:val="01176A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013021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2024-03-03T18:52:00Z</dcterms:created>
  <dcterms:modified xsi:type="dcterms:W3CDTF">2024-03-03T18:52:53Z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A16F749B73944EC2842AFEAD732ADEE0_11</vt:lpwstr>
  </property>
  <property fmtid="{D5CDD505-2E9C-101B-9397-08002B2CF9AE}" pid="3" name="KSOProductBuildVer">
    <vt:lpwstr>2052-12.1.0.16388</vt:lpwstr>
  </property>
</Properties>
</file>