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1928" w:rsidRPr="000967C5" w14:paraId="57BC6348" w14:textId="6F597FCB">
      <w:pPr>
        <w:spacing w:line="360" w:lineRule="auto"/>
        <w:jc w:val="center"/>
        <w:rPr>
          <w:rFonts w:eastAsia="宋体"/>
          <w:sz w:val="96"/>
          <w:szCs w:val="96"/>
          <w:lang w:eastAsia="zh-CN"/>
        </w:rPr>
      </w:pPr>
      <w:r>
        <w:rPr>
          <w:rFonts w:eastAsia="宋体" w:hint="eastAsia"/>
          <w:sz w:val="96"/>
          <w:szCs w:val="96"/>
          <w:lang w:eastAsia="zh-CN"/>
        </w:rPr>
        <w:t>某研发中心</w:t>
      </w:r>
    </w:p>
    <w:p w:rsidR="002D1928" w:rsidRPr="000967C5" w14:paraId="7139B538" w14:textId="77777777">
      <w:pPr>
        <w:spacing w:line="360" w:lineRule="auto"/>
        <w:jc w:val="center"/>
        <w:rPr>
          <w:rFonts w:eastAsia="宋体"/>
          <w:sz w:val="36"/>
          <w:szCs w:val="44"/>
          <w:lang w:val="en-US" w:eastAsia="zh-CN"/>
        </w:rPr>
      </w:pPr>
      <w:r w:rsidRPr="000967C5">
        <w:rPr>
          <w:rFonts w:eastAsia="宋体" w:hint="eastAsia"/>
          <w:sz w:val="36"/>
          <w:szCs w:val="44"/>
          <w:lang w:eastAsia="zh-CN"/>
        </w:rPr>
        <w:t>发电机及环保工程设备及安装</w:t>
      </w:r>
      <w:r w:rsidRPr="000967C5">
        <w:rPr>
          <w:rFonts w:eastAsia="宋体" w:hint="eastAsia"/>
          <w:sz w:val="36"/>
          <w:szCs w:val="44"/>
          <w:lang w:val="en-US" w:eastAsia="zh-CN"/>
        </w:rPr>
        <w:t>工程</w:t>
      </w:r>
    </w:p>
    <w:p w:rsidR="002D1928" w:rsidRPr="000967C5" w14:paraId="4DEA0D0B" w14:textId="77777777">
      <w:pPr>
        <w:spacing w:line="360" w:lineRule="auto"/>
        <w:jc w:val="center"/>
        <w:rPr>
          <w:rFonts w:eastAsia="宋体"/>
          <w:sz w:val="36"/>
          <w:szCs w:val="44"/>
          <w:lang w:eastAsia="zh-CN"/>
        </w:rPr>
      </w:pPr>
    </w:p>
    <w:p w:rsidR="002D1928" w:rsidRPr="000967C5" w14:paraId="270347D3" w14:textId="77777777">
      <w:pPr>
        <w:spacing w:line="360" w:lineRule="auto"/>
        <w:jc w:val="center"/>
        <w:rPr>
          <w:rFonts w:eastAsia="宋体"/>
          <w:sz w:val="36"/>
          <w:szCs w:val="44"/>
          <w:lang w:eastAsia="zh-CN"/>
        </w:rPr>
      </w:pPr>
      <w:r w:rsidRPr="000967C5">
        <w:rPr>
          <w:rFonts w:eastAsia="宋体" w:hint="eastAsia"/>
          <w:sz w:val="36"/>
          <w:szCs w:val="44"/>
          <w:lang w:eastAsia="zh-CN"/>
        </w:rPr>
        <w:t>技术规格说明书</w:t>
      </w:r>
    </w:p>
    <w:p w:rsidR="002D1928" w:rsidRPr="000967C5" w14:paraId="43E7218D" w14:textId="77777777">
      <w:pPr>
        <w:spacing w:line="360" w:lineRule="auto"/>
        <w:jc w:val="center"/>
        <w:rPr>
          <w:rFonts w:eastAsia="宋体"/>
          <w:sz w:val="36"/>
          <w:szCs w:val="44"/>
          <w:lang w:eastAsia="zh-CN"/>
        </w:rPr>
      </w:pPr>
      <w:r w:rsidRPr="000967C5">
        <w:rPr>
          <w:rFonts w:eastAsia="宋体" w:hint="eastAsia"/>
          <w:sz w:val="36"/>
          <w:szCs w:val="44"/>
          <w:lang w:eastAsia="zh-CN"/>
        </w:rPr>
        <w:t>第二部分</w:t>
      </w:r>
    </w:p>
    <w:p w:rsidR="002D1928" w:rsidRPr="000967C5" w14:paraId="14FEE508" w14:textId="77777777">
      <w:pPr>
        <w:rPr>
          <w:rFonts w:eastAsia="宋体"/>
          <w:szCs w:val="28"/>
          <w:lang w:eastAsia="zh-CN"/>
        </w:rPr>
      </w:pPr>
    </w:p>
    <w:p w:rsidR="002D1928" w:rsidRPr="000967C5" w14:paraId="11A53056" w14:textId="77777777">
      <w:pPr>
        <w:rPr>
          <w:rFonts w:eastAsia="宋体"/>
          <w:szCs w:val="28"/>
          <w:lang w:eastAsia="zh-CN"/>
        </w:rPr>
      </w:pPr>
    </w:p>
    <w:p w:rsidR="002D1928" w:rsidRPr="000967C5" w14:paraId="093C1136" w14:textId="77777777">
      <w:pPr>
        <w:rPr>
          <w:rFonts w:eastAsia="宋体"/>
          <w:szCs w:val="28"/>
          <w:lang w:eastAsia="zh-CN"/>
        </w:rPr>
      </w:pPr>
    </w:p>
    <w:p w:rsidR="002D1928" w:rsidRPr="000967C5" w14:paraId="606D0069" w14:textId="77777777">
      <w:pPr>
        <w:rPr>
          <w:rFonts w:eastAsia="宋体"/>
          <w:szCs w:val="28"/>
          <w:lang w:eastAsia="zh-CN"/>
        </w:rPr>
      </w:pPr>
    </w:p>
    <w:p w:rsidR="002D1928" w:rsidRPr="000967C5" w14:paraId="50B59409" w14:textId="77777777">
      <w:pPr>
        <w:rPr>
          <w:rFonts w:eastAsia="宋体"/>
          <w:szCs w:val="28"/>
          <w:lang w:eastAsia="zh-CN"/>
        </w:rPr>
      </w:pPr>
    </w:p>
    <w:p w:rsidR="002D1928" w:rsidRPr="000967C5" w14:paraId="60FCF994" w14:textId="77777777">
      <w:pPr>
        <w:rPr>
          <w:rFonts w:eastAsia="宋体"/>
          <w:szCs w:val="28"/>
          <w:lang w:eastAsia="zh-CN"/>
        </w:rPr>
      </w:pPr>
    </w:p>
    <w:p w:rsidR="002D1928" w:rsidRPr="000967C5" w14:paraId="63FF9A93" w14:textId="77777777">
      <w:pPr>
        <w:rPr>
          <w:rFonts w:eastAsia="宋体"/>
          <w:szCs w:val="28"/>
          <w:lang w:eastAsia="zh-CN"/>
        </w:rPr>
      </w:pPr>
    </w:p>
    <w:p w:rsidR="002D1928" w:rsidRPr="000967C5" w14:paraId="5FD9E440" w14:textId="77777777">
      <w:pPr>
        <w:rPr>
          <w:rFonts w:eastAsia="宋体"/>
          <w:szCs w:val="28"/>
          <w:lang w:eastAsia="zh-CN"/>
        </w:rPr>
      </w:pPr>
    </w:p>
    <w:p w:rsidR="002D1928" w:rsidRPr="000967C5" w14:paraId="451645D7" w14:textId="77777777">
      <w:pPr>
        <w:rPr>
          <w:rFonts w:eastAsia="宋体"/>
          <w:szCs w:val="28"/>
          <w:lang w:eastAsia="zh-CN"/>
        </w:rPr>
      </w:pPr>
    </w:p>
    <w:p w:rsidR="002D1928" w:rsidRPr="000967C5" w14:paraId="028213BD" w14:textId="77777777">
      <w:pPr>
        <w:rPr>
          <w:rFonts w:eastAsia="宋体"/>
          <w:szCs w:val="28"/>
          <w:lang w:eastAsia="zh-CN"/>
        </w:rPr>
      </w:pPr>
    </w:p>
    <w:p w:rsidR="002D1928" w:rsidRPr="000967C5" w14:paraId="533BE9D7" w14:textId="77777777">
      <w:pPr>
        <w:rPr>
          <w:rFonts w:eastAsia="宋体"/>
          <w:szCs w:val="28"/>
          <w:lang w:eastAsia="zh-CN"/>
        </w:rPr>
      </w:pPr>
    </w:p>
    <w:p w:rsidR="002D1928" w:rsidRPr="000967C5" w14:paraId="3C86AF14" w14:textId="77777777">
      <w:pPr>
        <w:rPr>
          <w:rFonts w:eastAsia="宋体"/>
          <w:szCs w:val="28"/>
          <w:lang w:eastAsia="zh-CN"/>
        </w:rPr>
      </w:pPr>
    </w:p>
    <w:p w:rsidR="002D1928" w:rsidRPr="000967C5" w14:paraId="15F7782C" w14:textId="77777777">
      <w:pPr>
        <w:rPr>
          <w:rFonts w:eastAsia="宋体"/>
          <w:szCs w:val="28"/>
          <w:lang w:eastAsia="zh-CN"/>
        </w:rPr>
      </w:pPr>
    </w:p>
    <w:p w:rsidR="002D1928" w:rsidRPr="000967C5" w14:paraId="51C9E4A9" w14:textId="77777777">
      <w:pPr>
        <w:rPr>
          <w:rFonts w:eastAsia="宋体"/>
          <w:szCs w:val="28"/>
          <w:lang w:eastAsia="zh-CN"/>
        </w:rPr>
      </w:pPr>
    </w:p>
    <w:p w:rsidR="002D1928" w:rsidRPr="000967C5" w14:paraId="4955F578" w14:textId="77777777">
      <w:pPr>
        <w:rPr>
          <w:rFonts w:eastAsia="宋体"/>
          <w:szCs w:val="28"/>
          <w:lang w:eastAsia="zh-CN"/>
        </w:rPr>
      </w:pPr>
    </w:p>
    <w:p w:rsidR="002D1928" w:rsidRPr="000967C5" w14:paraId="01B6E0C7" w14:textId="77777777">
      <w:pPr>
        <w:rPr>
          <w:rFonts w:eastAsia="宋体"/>
          <w:szCs w:val="28"/>
          <w:lang w:eastAsia="zh-CN"/>
        </w:rPr>
      </w:pPr>
    </w:p>
    <w:p w:rsidR="002D1928" w:rsidRPr="000967C5" w14:paraId="5FD9E026" w14:textId="77777777">
      <w:pPr>
        <w:rPr>
          <w:rFonts w:eastAsia="宋体"/>
          <w:szCs w:val="28"/>
          <w:lang w:eastAsia="zh-CN"/>
        </w:rPr>
      </w:pPr>
    </w:p>
    <w:p w:rsidR="002D1928" w:rsidRPr="000967C5" w14:paraId="4478F1F1" w14:textId="77777777">
      <w:pPr>
        <w:rPr>
          <w:rFonts w:eastAsia="宋体"/>
          <w:szCs w:val="28"/>
          <w:lang w:eastAsia="zh-CN"/>
        </w:rPr>
      </w:pPr>
    </w:p>
    <w:p w:rsidR="002D1928" w:rsidRPr="000967C5" w14:paraId="6EE676C0" w14:textId="77777777">
      <w:pPr>
        <w:rPr>
          <w:rFonts w:eastAsia="宋体"/>
          <w:szCs w:val="28"/>
          <w:lang w:eastAsia="zh-CN"/>
        </w:rPr>
      </w:pPr>
    </w:p>
    <w:p w:rsidR="002D1928" w:rsidRPr="000967C5" w14:paraId="1A66998A" w14:textId="77777777">
      <w:pPr>
        <w:rPr>
          <w:rFonts w:eastAsia="宋体"/>
          <w:szCs w:val="28"/>
          <w:lang w:eastAsia="zh-CN"/>
        </w:rPr>
      </w:pPr>
    </w:p>
    <w:p w:rsidR="002D1928" w:rsidRPr="000967C5" w14:paraId="6D1D0B49" w14:textId="77777777">
      <w:pPr>
        <w:rPr>
          <w:rFonts w:eastAsia="宋体"/>
          <w:szCs w:val="28"/>
          <w:lang w:eastAsia="zh-CN"/>
        </w:rPr>
      </w:pPr>
    </w:p>
    <w:p w:rsidR="002D1928" w:rsidRPr="000967C5" w14:paraId="0E46ECA7" w14:textId="77777777">
      <w:pPr>
        <w:rPr>
          <w:rFonts w:eastAsia="宋体"/>
          <w:szCs w:val="28"/>
          <w:lang w:eastAsia="zh-CN"/>
        </w:rPr>
      </w:pPr>
    </w:p>
    <w:p w:rsidR="002D1928" w:rsidRPr="000967C5" w14:paraId="51F18355" w14:textId="77777777">
      <w:pPr>
        <w:rPr>
          <w:rFonts w:eastAsia="宋体"/>
          <w:sz w:val="24"/>
          <w:szCs w:val="28"/>
          <w:lang w:eastAsia="zh-CN"/>
        </w:rPr>
      </w:pPr>
    </w:p>
    <w:p w:rsidR="002D1928" w:rsidRPr="000967C5" w14:paraId="3948245A" w14:textId="77777777">
      <w:pPr>
        <w:rPr>
          <w:rFonts w:eastAsia="宋体"/>
          <w:sz w:val="24"/>
          <w:szCs w:val="28"/>
          <w:lang w:eastAsia="zh-CN"/>
        </w:rPr>
      </w:pPr>
    </w:p>
    <w:p w:rsidR="002D1928" w:rsidRPr="000967C5" w14:paraId="1FA76DAF" w14:textId="4D450F69">
      <w:pPr>
        <w:spacing w:line="360" w:lineRule="auto"/>
        <w:rPr>
          <w:rFonts w:eastAsia="宋体"/>
          <w:sz w:val="28"/>
          <w:szCs w:val="28"/>
          <w:lang w:eastAsia="zh-CN"/>
        </w:rPr>
      </w:pPr>
      <w:r w:rsidRPr="000967C5">
        <w:rPr>
          <w:rFonts w:eastAsia="宋体" w:hint="eastAsia"/>
          <w:sz w:val="28"/>
          <w:szCs w:val="28"/>
          <w:lang w:eastAsia="zh-CN"/>
        </w:rPr>
        <w:t>招标单位：</w:t>
      </w:r>
      <w:r w:rsidRPr="000967C5">
        <w:rPr>
          <w:rFonts w:eastAsia="宋体"/>
          <w:sz w:val="28"/>
          <w:szCs w:val="28"/>
          <w:lang w:eastAsia="zh-CN"/>
        </w:rPr>
        <w:tab/>
      </w:r>
      <w:r w:rsidR="00D94793">
        <w:rPr>
          <w:rFonts w:eastAsia="宋体" w:hint="eastAsia"/>
          <w:sz w:val="28"/>
          <w:szCs w:val="28"/>
          <w:lang w:eastAsia="zh-CN"/>
        </w:rPr>
        <w:t xml:space="preserve"> </w:t>
      </w:r>
    </w:p>
    <w:p w:rsidR="002D1928" w:rsidRPr="000967C5" w14:paraId="75279602" w14:textId="2CC96363">
      <w:pPr>
        <w:autoSpaceDE w:val="0"/>
        <w:autoSpaceDN w:val="0"/>
        <w:adjustRightInd w:val="0"/>
        <w:spacing w:line="360" w:lineRule="auto"/>
        <w:rPr>
          <w:rFonts w:eastAsia="宋体"/>
          <w:sz w:val="28"/>
          <w:szCs w:val="28"/>
          <w:u w:val="single"/>
          <w:lang w:eastAsia="zh-CN"/>
        </w:rPr>
        <w:sectPr>
          <w:pgSz w:w="11906" w:h="16838"/>
          <w:pgMar w:top="1814" w:right="1418" w:bottom="1418" w:left="1814" w:header="851" w:footer="992" w:gutter="0"/>
          <w:pgNumType w:start="0"/>
          <w:cols w:space="425"/>
          <w:titlePg/>
          <w:docGrid w:linePitch="312"/>
        </w:sectPr>
      </w:pPr>
      <w:r w:rsidRPr="000967C5">
        <w:rPr>
          <w:rFonts w:eastAsia="宋体" w:hint="eastAsia"/>
          <w:sz w:val="24"/>
          <w:szCs w:val="28"/>
          <w:lang w:eastAsia="zh-CN"/>
        </w:rPr>
        <w:t>日期：</w:t>
      </w:r>
      <w:r w:rsidR="00D94793">
        <w:rPr>
          <w:rFonts w:eastAsia="宋体"/>
          <w:sz w:val="24"/>
          <w:szCs w:val="28"/>
          <w:lang w:eastAsia="zh-CN"/>
        </w:rPr>
        <w:tab/>
      </w:r>
    </w:p>
    <w:p w:rsidR="002D1928" w:rsidRPr="000967C5" w14:paraId="57E59CEA" w14:textId="77777777">
      <w:pPr>
        <w:spacing w:before="60" w:after="60"/>
        <w:jc w:val="center"/>
        <w:rPr>
          <w:rStyle w:val="HR-12"/>
          <w:rFonts w:ascii="Times New Roman" w:eastAsia="宋体" w:hAnsi="Times New Roman"/>
          <w:bCs/>
          <w:caps/>
          <w:lang w:eastAsia="zh-CN"/>
        </w:rPr>
      </w:pPr>
      <w:r w:rsidRPr="000967C5">
        <w:rPr>
          <w:rStyle w:val="HR-12"/>
          <w:rFonts w:ascii="Times New Roman" w:eastAsia="宋体" w:hAnsi="Times New Roman" w:hint="eastAsia"/>
          <w:bCs/>
          <w:caps/>
          <w:lang w:eastAsia="zh-CN"/>
        </w:rPr>
        <w:t>发电机及环保工程设备及安装</w:t>
      </w:r>
    </w:p>
    <w:p w:rsidR="002D1928" w:rsidRPr="000967C5" w14:paraId="1EC195CD" w14:textId="77777777">
      <w:pPr>
        <w:spacing w:before="60" w:after="60"/>
        <w:jc w:val="center"/>
        <w:rPr>
          <w:rStyle w:val="HR-12"/>
          <w:rFonts w:ascii="Times New Roman" w:eastAsia="宋体" w:hAnsi="Times New Roman"/>
          <w:bCs/>
          <w:caps/>
          <w:lang w:eastAsia="zh-CN"/>
        </w:rPr>
      </w:pPr>
      <w:bookmarkStart w:id="0" w:name="_GoBack"/>
      <w:bookmarkEnd w:id="0"/>
    </w:p>
    <w:p w:rsidR="002D1928" w:rsidRPr="000967C5" w14:paraId="039C9652" w14:textId="77777777">
      <w:pPr>
        <w:spacing w:before="60" w:after="60"/>
        <w:jc w:val="center"/>
        <w:rPr>
          <w:rStyle w:val="HR-12"/>
          <w:rFonts w:ascii="Times New Roman" w:eastAsia="宋体" w:hAnsi="Times New Roman"/>
          <w:bCs/>
          <w:caps/>
          <w:lang w:eastAsia="zh-CN"/>
        </w:rPr>
      </w:pPr>
      <w:r w:rsidRPr="000967C5">
        <w:rPr>
          <w:rStyle w:val="HR-12"/>
          <w:rFonts w:ascii="Times New Roman" w:eastAsia="宋体" w:hAnsi="Times New Roman" w:hint="eastAsia"/>
          <w:bCs/>
          <w:caps/>
          <w:lang w:eastAsia="zh-CN"/>
        </w:rPr>
        <w:t>技术规格说明书</w:t>
      </w:r>
    </w:p>
    <w:p w:rsidR="002D1928" w:rsidRPr="000967C5" w14:paraId="293F67C9" w14:textId="77777777">
      <w:pPr>
        <w:spacing w:before="60" w:after="60"/>
        <w:jc w:val="center"/>
        <w:rPr>
          <w:rStyle w:val="HR-12"/>
          <w:rFonts w:ascii="Times New Roman" w:eastAsia="宋体" w:hAnsi="Times New Roman"/>
          <w:bCs/>
          <w:caps/>
          <w:lang w:eastAsia="zh-CN"/>
        </w:rPr>
      </w:pPr>
      <w:r w:rsidRPr="000967C5">
        <w:rPr>
          <w:rStyle w:val="HR-12"/>
          <w:rFonts w:ascii="Times New Roman" w:eastAsia="宋体" w:hAnsi="Times New Roman" w:hint="eastAsia"/>
          <w:bCs/>
          <w:caps/>
          <w:lang w:eastAsia="zh-CN"/>
        </w:rPr>
        <w:t>目录</w:t>
      </w:r>
    </w:p>
    <w:p w:rsidR="002D1928" w:rsidRPr="000967C5" w14:paraId="007D5301" w14:textId="77777777">
      <w:pPr>
        <w:tabs>
          <w:tab w:val="right" w:pos="8647"/>
        </w:tabs>
        <w:rPr>
          <w:rStyle w:val="HR-12"/>
          <w:rFonts w:asciiTheme="minorEastAsia" w:eastAsiaTheme="minorEastAsia" w:hAnsiTheme="minorEastAsia"/>
          <w:bCs/>
          <w:caps/>
          <w:lang w:eastAsia="zh-CN"/>
        </w:rPr>
      </w:pPr>
      <w:r w:rsidRPr="000967C5">
        <w:rPr>
          <w:rStyle w:val="HR-12"/>
          <w:rFonts w:asciiTheme="minorEastAsia" w:eastAsiaTheme="minorEastAsia" w:hAnsiTheme="minorEastAsia" w:hint="eastAsia"/>
          <w:bCs/>
          <w:caps/>
          <w:lang w:eastAsia="zh-CN"/>
        </w:rPr>
        <w:t>第二部分</w:t>
      </w:r>
      <w:r w:rsidRPr="000967C5">
        <w:rPr>
          <w:rStyle w:val="HR-12"/>
          <w:rFonts w:asciiTheme="minorEastAsia" w:eastAsiaTheme="minorEastAsia" w:hAnsiTheme="minorEastAsia"/>
          <w:bCs/>
          <w:caps/>
          <w:lang w:eastAsia="zh-CN"/>
        </w:rPr>
        <w:tab/>
      </w:r>
      <w:r w:rsidRPr="000967C5">
        <w:rPr>
          <w:rStyle w:val="HR-12"/>
          <w:rFonts w:asciiTheme="minorEastAsia" w:eastAsiaTheme="minorEastAsia" w:hAnsiTheme="minorEastAsia" w:hint="eastAsia"/>
          <w:bCs/>
          <w:caps/>
          <w:u w:val="single"/>
          <w:lang w:eastAsia="zh-CN"/>
        </w:rPr>
        <w:t>页数</w:t>
      </w:r>
    </w:p>
    <w:sdt>
      <w:sdtPr>
        <w:rPr>
          <w:rFonts w:asciiTheme="minorEastAsia" w:eastAsiaTheme="minorEastAsia" w:hAnsiTheme="minorEastAsia" w:cs="Times New Roman"/>
          <w:color w:val="auto"/>
          <w:sz w:val="22"/>
          <w:szCs w:val="20"/>
          <w:lang w:val="zh-CN" w:eastAsia="en-US"/>
        </w:rPr>
        <w:id w:val="1236365407"/>
        <w:docPartObj>
          <w:docPartGallery w:val="Table of Contents"/>
          <w:docPartUnique/>
        </w:docPartObj>
      </w:sdtPr>
      <w:sdtEndPr>
        <w:rPr>
          <w:b/>
          <w:bCs/>
        </w:rPr>
      </w:sdtEndPr>
      <w:sdtContent>
        <w:p w:rsidR="002D1928" w:rsidRPr="000967C5" w14:paraId="62E5FDB1" w14:textId="77777777">
          <w:pPr>
            <w:pStyle w:val="TOC10"/>
            <w:rPr>
              <w:rFonts w:asciiTheme="minorEastAsia" w:eastAsiaTheme="minorEastAsia" w:hAnsiTheme="minorEastAsia"/>
              <w:color w:val="auto"/>
              <w:sz w:val="15"/>
              <w:szCs w:val="15"/>
            </w:rPr>
          </w:pPr>
        </w:p>
        <w:p w:rsidR="002D1928" w:rsidRPr="000967C5" w14:paraId="2C424F36" w14:textId="649E2175">
          <w:pPr>
            <w:pStyle w:val="TOC1"/>
            <w:tabs>
              <w:tab w:val="right" w:leader="dot" w:pos="8674"/>
            </w:tabs>
            <w:snapToGrid w:val="0"/>
            <w:spacing w:line="360" w:lineRule="auto"/>
            <w:rPr>
              <w:noProof/>
            </w:rPr>
          </w:pPr>
          <w:r w:rsidRPr="000967C5">
            <w:rPr>
              <w:rFonts w:asciiTheme="minorEastAsia" w:eastAsiaTheme="minorEastAsia" w:hAnsiTheme="minorEastAsia"/>
              <w:b w:val="0"/>
              <w:caps w:val="0"/>
            </w:rPr>
            <w:fldChar w:fldCharType="begin"/>
          </w:r>
          <w:r w:rsidRPr="000967C5">
            <w:rPr>
              <w:rFonts w:asciiTheme="minorEastAsia" w:eastAsiaTheme="minorEastAsia" w:hAnsiTheme="minorEastAsia"/>
              <w:b w:val="0"/>
              <w:caps w:val="0"/>
            </w:rPr>
            <w:instrText xml:space="preserve"> TOC \o "1-1" \h \z \u </w:instrText>
          </w:r>
          <w:r w:rsidRPr="000967C5">
            <w:rPr>
              <w:rFonts w:asciiTheme="minorEastAsia" w:eastAsiaTheme="minorEastAsia" w:hAnsiTheme="minorEastAsia"/>
              <w:b w:val="0"/>
              <w:caps w:val="0"/>
            </w:rPr>
            <w:fldChar w:fldCharType="separate"/>
          </w:r>
          <w:hyperlink w:anchor="_Toc4570" w:history="1">
            <w:r w:rsidRPr="000967C5">
              <w:rPr>
                <w:rFonts w:ascii="Times New Roman Bold" w:hAnsi="Times New Roman Bold" w:eastAsiaTheme="minorEastAsia" w:cs="Arial"/>
                <w:noProof/>
                <w:szCs w:val="21"/>
                <w:lang w:eastAsia="zh-CN"/>
              </w:rPr>
              <w:t xml:space="preserve">1. </w:t>
            </w:r>
            <w:r w:rsidRPr="000967C5">
              <w:rPr>
                <w:rFonts w:asciiTheme="minorEastAsia" w:eastAsiaTheme="minorEastAsia" w:hAnsiTheme="minorEastAsia" w:cs="Arial"/>
                <w:noProof/>
                <w:szCs w:val="21"/>
                <w:lang w:eastAsia="zh-CN"/>
              </w:rPr>
              <w:t>柴油发电机</w:t>
            </w:r>
            <w:r w:rsidRPr="000967C5">
              <w:rPr>
                <w:rFonts w:asciiTheme="minorEastAsia" w:eastAsiaTheme="minorEastAsia" w:hAnsiTheme="minorEastAsia" w:cs="Arial" w:hint="eastAsia"/>
                <w:noProof/>
                <w:szCs w:val="21"/>
                <w:lang w:eastAsia="zh-CN"/>
              </w:rPr>
              <w:t>组</w:t>
            </w:r>
            <w:r w:rsidRPr="000967C5">
              <w:rPr>
                <w:noProof/>
              </w:rPr>
              <w:tab/>
            </w:r>
            <w:r w:rsidRPr="000967C5">
              <w:rPr>
                <w:noProof/>
              </w:rPr>
              <w:fldChar w:fldCharType="begin"/>
            </w:r>
            <w:r w:rsidRPr="000967C5">
              <w:rPr>
                <w:noProof/>
              </w:rPr>
              <w:instrText xml:space="preserve"> PAGEREF _Toc4570 \h </w:instrText>
            </w:r>
            <w:r w:rsidRPr="000967C5">
              <w:rPr>
                <w:noProof/>
              </w:rPr>
              <w:fldChar w:fldCharType="separate"/>
            </w:r>
            <w:r w:rsidR="000E3A52">
              <w:rPr>
                <w:noProof/>
              </w:rPr>
              <w:t>1</w:t>
            </w:r>
            <w:r w:rsidRPr="000967C5">
              <w:rPr>
                <w:noProof/>
              </w:rPr>
              <w:fldChar w:fldCharType="end"/>
            </w:r>
          </w:hyperlink>
        </w:p>
        <w:p w:rsidR="002D1928" w:rsidRPr="000967C5" w14:paraId="06E59CBE" w14:textId="653CBA70">
          <w:pPr>
            <w:pStyle w:val="TOC1"/>
            <w:tabs>
              <w:tab w:val="right" w:leader="dot" w:pos="8674"/>
            </w:tabs>
            <w:snapToGrid w:val="0"/>
            <w:spacing w:line="360" w:lineRule="auto"/>
            <w:rPr>
              <w:noProof/>
            </w:rPr>
          </w:pPr>
          <w:hyperlink w:anchor="_Toc20520" w:history="1">
            <w:r w:rsidRPr="000967C5" w:rsidR="00307E8E">
              <w:rPr>
                <w:rFonts w:ascii="Times New Roman Bold" w:hAnsi="Times New Roman Bold" w:eastAsiaTheme="minorEastAsia" w:cs="Arial"/>
                <w:noProof/>
                <w:szCs w:val="21"/>
                <w:lang w:val="en-US" w:eastAsia="zh-CN"/>
              </w:rPr>
              <w:t xml:space="preserve">2. </w:t>
            </w:r>
            <w:r w:rsidRPr="000967C5" w:rsidR="00307E8E">
              <w:rPr>
                <w:rFonts w:asciiTheme="minorEastAsia" w:eastAsiaTheme="minorEastAsia" w:hAnsiTheme="minorEastAsia" w:cs="Arial" w:hint="eastAsia"/>
                <w:noProof/>
                <w:szCs w:val="21"/>
                <w:lang w:val="en-US" w:eastAsia="zh-CN"/>
              </w:rPr>
              <w:t>通风管道</w:t>
            </w:r>
            <w:r w:rsidRPr="000967C5" w:rsidR="00307E8E">
              <w:rPr>
                <w:noProof/>
              </w:rPr>
              <w:tab/>
            </w:r>
            <w:r w:rsidRPr="000967C5" w:rsidR="00307E8E">
              <w:rPr>
                <w:noProof/>
              </w:rPr>
              <w:fldChar w:fldCharType="begin"/>
            </w:r>
            <w:r w:rsidRPr="000967C5" w:rsidR="00307E8E">
              <w:rPr>
                <w:noProof/>
              </w:rPr>
              <w:instrText xml:space="preserve"> PAGEREF _Toc20520 \h </w:instrText>
            </w:r>
            <w:r w:rsidRPr="000967C5" w:rsidR="00307E8E">
              <w:rPr>
                <w:noProof/>
              </w:rPr>
              <w:fldChar w:fldCharType="separate"/>
            </w:r>
            <w:r w:rsidR="000E3A52">
              <w:rPr>
                <w:noProof/>
              </w:rPr>
              <w:t>12</w:t>
            </w:r>
            <w:r w:rsidRPr="000967C5" w:rsidR="00307E8E">
              <w:rPr>
                <w:noProof/>
              </w:rPr>
              <w:fldChar w:fldCharType="end"/>
            </w:r>
          </w:hyperlink>
        </w:p>
        <w:p w:rsidR="002D1928" w:rsidRPr="000967C5" w14:paraId="31BADB7F" w14:textId="758EB294">
          <w:pPr>
            <w:pStyle w:val="TOC1"/>
            <w:tabs>
              <w:tab w:val="right" w:leader="dot" w:pos="8674"/>
            </w:tabs>
            <w:snapToGrid w:val="0"/>
            <w:spacing w:line="360" w:lineRule="auto"/>
            <w:rPr>
              <w:noProof/>
            </w:rPr>
          </w:pPr>
          <w:hyperlink w:anchor="_Toc32593" w:history="1">
            <w:r w:rsidRPr="000967C5" w:rsidR="00307E8E">
              <w:rPr>
                <w:rFonts w:ascii="Times New Roman Bold" w:hAnsi="Times New Roman Bold" w:eastAsiaTheme="minorEastAsia" w:cs="Arial"/>
                <w:noProof/>
                <w:szCs w:val="21"/>
                <w:lang w:eastAsia="zh-CN"/>
              </w:rPr>
              <w:t xml:space="preserve">3. </w:t>
            </w:r>
            <w:r w:rsidRPr="000967C5" w:rsidR="00307E8E">
              <w:rPr>
                <w:rFonts w:asciiTheme="minorEastAsia" w:eastAsiaTheme="minorEastAsia" w:hAnsiTheme="minorEastAsia" w:cs="Arial"/>
                <w:noProof/>
                <w:szCs w:val="21"/>
                <w:lang w:eastAsia="zh-CN"/>
              </w:rPr>
              <w:t>低压配电线缆</w:t>
            </w:r>
            <w:r w:rsidRPr="000967C5" w:rsidR="00307E8E">
              <w:rPr>
                <w:noProof/>
              </w:rPr>
              <w:tab/>
              <w:t>15</w:t>
            </w:r>
          </w:hyperlink>
        </w:p>
        <w:p w:rsidR="002D1928" w:rsidRPr="000967C5" w14:paraId="688372FF" w14:textId="23DEB9A2">
          <w:pPr>
            <w:pStyle w:val="TOC1"/>
            <w:tabs>
              <w:tab w:val="right" w:leader="dot" w:pos="8674"/>
            </w:tabs>
            <w:snapToGrid w:val="0"/>
            <w:spacing w:line="360" w:lineRule="auto"/>
            <w:rPr>
              <w:noProof/>
            </w:rPr>
          </w:pPr>
          <w:hyperlink w:anchor="_Toc29856" w:history="1">
            <w:r w:rsidRPr="000967C5" w:rsidR="00307E8E">
              <w:rPr>
                <w:rFonts w:ascii="Times New Roman Bold" w:hAnsi="Times New Roman Bold" w:eastAsiaTheme="minorEastAsia" w:cs="Arial"/>
                <w:noProof/>
                <w:szCs w:val="21"/>
                <w:lang w:eastAsia="zh-CN"/>
              </w:rPr>
              <w:t xml:space="preserve">4. </w:t>
            </w:r>
            <w:r w:rsidRPr="000967C5" w:rsidR="00307E8E">
              <w:rPr>
                <w:rFonts w:asciiTheme="minorEastAsia" w:eastAsiaTheme="minorEastAsia" w:hAnsiTheme="minorEastAsia" w:cs="Arial"/>
                <w:noProof/>
                <w:szCs w:val="21"/>
                <w:lang w:eastAsia="zh-CN"/>
              </w:rPr>
              <w:t>线路配件及其他电气设备</w:t>
            </w:r>
            <w:r w:rsidRPr="000967C5" w:rsidR="00307E8E">
              <w:rPr>
                <w:noProof/>
              </w:rPr>
              <w:tab/>
              <w:t>18</w:t>
            </w:r>
          </w:hyperlink>
        </w:p>
        <w:p w:rsidR="002D1928" w:rsidRPr="000967C5" w14:paraId="15DF9501" w14:textId="179952D7">
          <w:pPr>
            <w:pStyle w:val="TOC1"/>
            <w:tabs>
              <w:tab w:val="right" w:leader="dot" w:pos="8674"/>
            </w:tabs>
            <w:snapToGrid w:val="0"/>
            <w:spacing w:line="360" w:lineRule="auto"/>
            <w:rPr>
              <w:noProof/>
            </w:rPr>
          </w:pPr>
          <w:hyperlink w:anchor="_Toc30624" w:history="1">
            <w:r w:rsidRPr="000967C5" w:rsidR="00307E8E">
              <w:rPr>
                <w:rFonts w:ascii="Times New Roman Bold" w:hAnsi="Times New Roman Bold" w:eastAsiaTheme="minorEastAsia" w:cs="Arial"/>
                <w:noProof/>
                <w:szCs w:val="21"/>
                <w:lang w:eastAsia="zh-CN"/>
              </w:rPr>
              <w:t xml:space="preserve">5. </w:t>
            </w:r>
            <w:r w:rsidRPr="000967C5" w:rsidR="00307E8E">
              <w:rPr>
                <w:rFonts w:asciiTheme="minorEastAsia" w:eastAsiaTheme="minorEastAsia" w:hAnsiTheme="minorEastAsia" w:cs="Arial" w:hint="eastAsia"/>
                <w:noProof/>
                <w:szCs w:val="21"/>
                <w:lang w:eastAsia="zh-CN"/>
              </w:rPr>
              <w:t>消声措施</w:t>
            </w:r>
            <w:r w:rsidRPr="000967C5" w:rsidR="00307E8E">
              <w:rPr>
                <w:noProof/>
              </w:rPr>
              <w:tab/>
              <w:t>24</w:t>
            </w:r>
          </w:hyperlink>
        </w:p>
        <w:p w:rsidR="002D1928" w:rsidRPr="000967C5" w14:paraId="3D63FE36" w14:textId="0EF98782">
          <w:pPr>
            <w:pStyle w:val="TOC1"/>
            <w:tabs>
              <w:tab w:val="right" w:leader="dot" w:pos="8674"/>
            </w:tabs>
            <w:snapToGrid w:val="0"/>
            <w:spacing w:line="360" w:lineRule="auto"/>
            <w:rPr>
              <w:noProof/>
            </w:rPr>
          </w:pPr>
          <w:hyperlink w:anchor="_Toc14152" w:history="1">
            <w:r w:rsidRPr="000967C5" w:rsidR="00307E8E">
              <w:rPr>
                <w:rFonts w:ascii="Times New Roman Bold" w:hAnsi="Times New Roman Bold" w:eastAsiaTheme="minorEastAsia" w:cs="Arial"/>
                <w:noProof/>
                <w:szCs w:val="21"/>
                <w:lang w:val="en-US" w:eastAsia="zh-CN"/>
              </w:rPr>
              <w:t xml:space="preserve">6. </w:t>
            </w:r>
            <w:r w:rsidRPr="000967C5" w:rsidR="00307E8E">
              <w:rPr>
                <w:rFonts w:asciiTheme="minorEastAsia" w:eastAsiaTheme="minorEastAsia" w:hAnsiTheme="minorEastAsia" w:cs="Arial" w:hint="eastAsia"/>
                <w:noProof/>
                <w:szCs w:val="21"/>
                <w:lang w:val="en-US" w:eastAsia="zh-CN"/>
              </w:rPr>
              <w:t>油漆及标签</w:t>
            </w:r>
            <w:r w:rsidRPr="000967C5" w:rsidR="00307E8E">
              <w:rPr>
                <w:noProof/>
              </w:rPr>
              <w:tab/>
              <w:t>30</w:t>
            </w:r>
          </w:hyperlink>
        </w:p>
        <w:p w:rsidR="002D1928" w:rsidRPr="000967C5" w14:paraId="401C35F5" w14:textId="70370094">
          <w:pPr>
            <w:pStyle w:val="TOC1"/>
            <w:tabs>
              <w:tab w:val="right" w:leader="dot" w:pos="8674"/>
            </w:tabs>
            <w:snapToGrid w:val="0"/>
            <w:spacing w:line="360" w:lineRule="auto"/>
            <w:rPr>
              <w:noProof/>
            </w:rPr>
          </w:pPr>
          <w:hyperlink w:anchor="_Toc2571" w:history="1">
            <w:r w:rsidRPr="000967C5" w:rsidR="00307E8E">
              <w:rPr>
                <w:rFonts w:ascii="Times New Roman Bold" w:hAnsi="Times New Roman Bold" w:eastAsiaTheme="minorEastAsia" w:cs="Arial"/>
                <w:noProof/>
                <w:szCs w:val="21"/>
                <w:lang w:val="en-US" w:eastAsia="zh-CN"/>
              </w:rPr>
              <w:t xml:space="preserve">7. </w:t>
            </w:r>
            <w:r w:rsidRPr="000967C5" w:rsidR="00307E8E">
              <w:rPr>
                <w:rFonts w:asciiTheme="minorEastAsia" w:eastAsiaTheme="minorEastAsia" w:hAnsiTheme="minorEastAsia" w:cs="Arial" w:hint="eastAsia"/>
                <w:noProof/>
                <w:szCs w:val="21"/>
                <w:lang w:val="en-US" w:eastAsia="zh-CN"/>
              </w:rPr>
              <w:t>抗震支吊架</w:t>
            </w:r>
            <w:r w:rsidRPr="000967C5" w:rsidR="00307E8E">
              <w:rPr>
                <w:noProof/>
              </w:rPr>
              <w:tab/>
              <w:t>35</w:t>
            </w:r>
          </w:hyperlink>
        </w:p>
        <w:p w:rsidR="002D1928" w:rsidRPr="000967C5" w14:paraId="154ED7C4" w14:textId="627DBB61">
          <w:pPr>
            <w:pStyle w:val="TOC1"/>
            <w:tabs>
              <w:tab w:val="right" w:leader="dot" w:pos="8674"/>
            </w:tabs>
            <w:snapToGrid w:val="0"/>
            <w:spacing w:line="360" w:lineRule="auto"/>
            <w:rPr>
              <w:noProof/>
            </w:rPr>
          </w:pPr>
          <w:hyperlink w:anchor="_Toc22914" w:history="1">
            <w:r w:rsidRPr="000967C5" w:rsidR="00307E8E">
              <w:rPr>
                <w:rFonts w:ascii="Times New Roman Bold" w:hAnsi="Times New Roman Bold" w:eastAsiaTheme="minorEastAsia" w:cs="Arial"/>
                <w:noProof/>
                <w:szCs w:val="21"/>
                <w:lang w:val="en-US" w:eastAsia="zh-CN"/>
              </w:rPr>
              <w:t xml:space="preserve">8. </w:t>
            </w:r>
            <w:r w:rsidRPr="000967C5" w:rsidR="00307E8E">
              <w:rPr>
                <w:rFonts w:asciiTheme="minorEastAsia" w:eastAsiaTheme="minorEastAsia" w:hAnsiTheme="minorEastAsia" w:cs="Arial" w:hint="eastAsia"/>
                <w:noProof/>
                <w:szCs w:val="21"/>
                <w:lang w:val="en-US" w:eastAsia="zh-CN"/>
              </w:rPr>
              <w:t>防火封堵材料</w:t>
            </w:r>
            <w:r w:rsidRPr="000967C5" w:rsidR="00307E8E">
              <w:rPr>
                <w:noProof/>
              </w:rPr>
              <w:tab/>
              <w:t>3</w:t>
            </w:r>
          </w:hyperlink>
          <w:r w:rsidRPr="000967C5" w:rsidR="00307E8E">
            <w:rPr>
              <w:noProof/>
            </w:rPr>
            <w:t>9</w:t>
          </w:r>
        </w:p>
        <w:p w:rsidR="002D1928" w:rsidRPr="000967C5" w14:paraId="0CB832ED" w14:textId="3286EEE9">
          <w:pPr>
            <w:pStyle w:val="TOC1"/>
            <w:tabs>
              <w:tab w:val="right" w:leader="dot" w:pos="8674"/>
            </w:tabs>
            <w:snapToGrid w:val="0"/>
            <w:spacing w:line="360" w:lineRule="auto"/>
            <w:rPr>
              <w:noProof/>
            </w:rPr>
          </w:pPr>
          <w:hyperlink w:anchor="_Toc23818" w:history="1">
            <w:r w:rsidRPr="000967C5" w:rsidR="00307E8E">
              <w:rPr>
                <w:rFonts w:ascii="Times New Roman Bold" w:hAnsi="Times New Roman Bold" w:eastAsiaTheme="minorEastAsia"/>
                <w:noProof/>
                <w:szCs w:val="21"/>
                <w:lang w:eastAsia="zh-CN"/>
              </w:rPr>
              <w:t xml:space="preserve">9. </w:t>
            </w:r>
            <w:r w:rsidRPr="000967C5" w:rsidR="00307E8E">
              <w:rPr>
                <w:rFonts w:asciiTheme="minorEastAsia" w:eastAsiaTheme="minorEastAsia" w:hAnsiTheme="minorEastAsia"/>
                <w:noProof/>
                <w:szCs w:val="21"/>
                <w:lang w:eastAsia="zh-CN"/>
              </w:rPr>
              <w:t>检验和测试一般要求</w:t>
            </w:r>
            <w:r w:rsidRPr="000967C5" w:rsidR="00307E8E">
              <w:rPr>
                <w:noProof/>
              </w:rPr>
              <w:tab/>
              <w:t>4</w:t>
            </w:r>
          </w:hyperlink>
          <w:r w:rsidRPr="000967C5" w:rsidR="00307E8E">
            <w:rPr>
              <w:noProof/>
            </w:rPr>
            <w:t>3</w:t>
          </w:r>
        </w:p>
        <w:p w:rsidR="002D1928" w:rsidRPr="000967C5" w14:paraId="118674D5" w14:textId="6E3598D8">
          <w:pPr>
            <w:pStyle w:val="TOC1"/>
            <w:tabs>
              <w:tab w:val="right" w:leader="dot" w:pos="8674"/>
            </w:tabs>
            <w:snapToGrid w:val="0"/>
            <w:spacing w:line="360" w:lineRule="auto"/>
            <w:rPr>
              <w:noProof/>
            </w:rPr>
          </w:pPr>
          <w:hyperlink w:anchor="_Toc24856" w:history="1">
            <w:r w:rsidRPr="000967C5" w:rsidR="00307E8E">
              <w:rPr>
                <w:rFonts w:ascii="Times New Roman Bold" w:hAnsi="Times New Roman Bold" w:eastAsiaTheme="minorEastAsia"/>
                <w:noProof/>
                <w:szCs w:val="21"/>
                <w:lang w:eastAsia="zh-CN"/>
              </w:rPr>
              <w:t xml:space="preserve">10. </w:t>
            </w:r>
            <w:r w:rsidRPr="000967C5" w:rsidR="00307E8E">
              <w:rPr>
                <w:rFonts w:asciiTheme="minorEastAsia" w:eastAsiaTheme="minorEastAsia" w:hAnsiTheme="minorEastAsia"/>
                <w:noProof/>
                <w:szCs w:val="21"/>
                <w:lang w:eastAsia="zh-CN"/>
              </w:rPr>
              <w:t>测试和试运行</w:t>
            </w:r>
            <w:r w:rsidRPr="000967C5" w:rsidR="00307E8E">
              <w:rPr>
                <w:noProof/>
              </w:rPr>
              <w:tab/>
              <w:t>46</w:t>
            </w:r>
          </w:hyperlink>
        </w:p>
        <w:p w:rsidR="002D1928" w:rsidRPr="000967C5" w14:paraId="51FC735E" w14:textId="77777777">
          <w:pPr>
            <w:rPr>
              <w:rFonts w:asciiTheme="minorEastAsia" w:eastAsiaTheme="minorEastAsia" w:hAnsiTheme="minorEastAsia"/>
              <w:lang w:eastAsia="zh-CN"/>
            </w:rPr>
            <w:sectPr>
              <w:type w:val="nextPage"/>
              <w:pgSz w:w="11906" w:h="16838"/>
              <w:pgMar w:top="1814" w:right="1418" w:bottom="1418" w:left="1814" w:header="851" w:footer="992" w:gutter="0"/>
              <w:pgNumType w:start="1"/>
              <w:cols w:space="425"/>
              <w:titlePg w:val="0"/>
              <w:docGrid w:linePitch="312"/>
            </w:sectPr>
          </w:pPr>
          <w:r w:rsidRPr="000967C5">
            <w:rPr>
              <w:rFonts w:asciiTheme="minorEastAsia" w:eastAsiaTheme="minorEastAsia" w:hAnsiTheme="minorEastAsia"/>
              <w:caps/>
            </w:rPr>
            <w:fldChar w:fldCharType="end"/>
          </w:r>
        </w:p>
      </w:sdtContent>
    </w:sdt>
    <w:p w:rsidR="002D1928" w:rsidRPr="000967C5" w14:paraId="5CE2BDE1" w14:textId="77777777">
      <w:pPr>
        <w:pStyle w:val="Heading1"/>
        <w:numPr>
          <w:ilvl w:val="0"/>
          <w:numId w:val="0"/>
        </w:numPr>
        <w:spacing w:before="240" w:beforeLines="100" w:after="240" w:afterLines="100"/>
        <w:jc w:val="center"/>
        <w:rPr>
          <w:rFonts w:ascii="宋体" w:hAnsi="宋体"/>
          <w:bCs/>
          <w:sz w:val="30"/>
          <w:szCs w:val="30"/>
          <w:lang w:eastAsia="zh-CN"/>
        </w:rPr>
      </w:pPr>
      <w:bookmarkStart w:id="1" w:name="_Toc29897"/>
      <w:bookmarkStart w:id="2" w:name="_Toc40335794"/>
      <w:bookmarkStart w:id="3" w:name="_Toc502756896"/>
      <w:bookmarkStart w:id="4" w:name="_Toc502752662"/>
      <w:bookmarkStart w:id="5" w:name="_Toc502853993"/>
      <w:bookmarkStart w:id="6" w:name="_Toc505082070"/>
      <w:bookmarkStart w:id="7" w:name="_Toc502861016"/>
      <w:bookmarkStart w:id="8" w:name="_Toc502860032"/>
      <w:bookmarkStart w:id="9" w:name="_Toc502858045"/>
      <w:r w:rsidRPr="000967C5">
        <w:rPr>
          <w:rFonts w:ascii="宋体" w:hAnsi="宋体" w:hint="eastAsia"/>
          <w:bCs/>
          <w:sz w:val="30"/>
          <w:szCs w:val="30"/>
          <w:lang w:eastAsia="zh-CN"/>
        </w:rPr>
        <w:t>第二部分</w:t>
      </w:r>
      <w:bookmarkEnd w:id="1"/>
      <w:bookmarkEnd w:id="2"/>
      <w:bookmarkEnd w:id="3"/>
      <w:bookmarkEnd w:id="4"/>
    </w:p>
    <w:p w:rsidR="002D1928" w:rsidRPr="000967C5" w14:paraId="019B4DB0" w14:textId="77777777">
      <w:pPr>
        <w:pStyle w:val="ReportLevel1"/>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eastAsia="zh-CN"/>
        </w:rPr>
      </w:pPr>
      <w:bookmarkStart w:id="10" w:name="_Toc4570"/>
      <w:r w:rsidRPr="000967C5">
        <w:rPr>
          <w:rFonts w:asciiTheme="minorEastAsia" w:eastAsiaTheme="minorEastAsia" w:hAnsiTheme="minorEastAsia" w:cs="Arial"/>
          <w:sz w:val="21"/>
          <w:szCs w:val="21"/>
          <w:lang w:eastAsia="zh-CN"/>
        </w:rPr>
        <w:t>柴油发电机</w:t>
      </w:r>
      <w:bookmarkEnd w:id="5"/>
      <w:bookmarkEnd w:id="6"/>
      <w:bookmarkEnd w:id="7"/>
      <w:bookmarkEnd w:id="8"/>
      <w:bookmarkEnd w:id="9"/>
      <w:bookmarkEnd w:id="10"/>
      <w:r w:rsidRPr="000967C5">
        <w:rPr>
          <w:rFonts w:asciiTheme="minorEastAsia" w:eastAsiaTheme="minorEastAsia" w:hAnsiTheme="minorEastAsia" w:cs="Arial" w:hint="eastAsia"/>
          <w:sz w:val="21"/>
          <w:szCs w:val="21"/>
          <w:lang w:eastAsia="zh-CN"/>
        </w:rPr>
        <w:t>组</w:t>
      </w:r>
    </w:p>
    <w:p w:rsidR="002D1928" w:rsidRPr="000967C5" w14:paraId="3E001076"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11" w:name="_Toc502858046"/>
      <w:bookmarkStart w:id="12" w:name="_Toc502860033"/>
      <w:bookmarkStart w:id="13" w:name="_Toc502861017"/>
      <w:bookmarkStart w:id="14" w:name="_Toc502853994"/>
      <w:r w:rsidRPr="000967C5">
        <w:rPr>
          <w:rFonts w:asciiTheme="minorEastAsia" w:eastAsiaTheme="minorEastAsia" w:hAnsiTheme="minorEastAsia"/>
          <w:b/>
          <w:bCs/>
          <w:sz w:val="21"/>
          <w:szCs w:val="21"/>
        </w:rPr>
        <w:t>一般要求</w:t>
      </w:r>
      <w:bookmarkEnd w:id="11"/>
      <w:bookmarkEnd w:id="12"/>
      <w:bookmarkEnd w:id="13"/>
      <w:bookmarkEnd w:id="14"/>
    </w:p>
    <w:p w:rsidR="002D1928" w:rsidRPr="000967C5" w14:paraId="23844933"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5" w:name="_Toc502853996"/>
      <w:bookmarkStart w:id="16" w:name="_Toc502858048"/>
      <w:bookmarkStart w:id="17" w:name="_Toc502860035"/>
      <w:bookmarkStart w:id="18" w:name="_Toc502861019"/>
      <w:r w:rsidRPr="000967C5">
        <w:rPr>
          <w:rFonts w:asciiTheme="minorEastAsia" w:eastAsiaTheme="minorEastAsia" w:hAnsiTheme="minorEastAsia" w:hint="eastAsia"/>
          <w:sz w:val="21"/>
          <w:szCs w:val="21"/>
          <w:lang w:eastAsia="zh-CN"/>
        </w:rPr>
        <w:t>须提供满足发电机组及环保工程正常运行的所有设备及附件、机房的隔音降噪工程等。</w:t>
      </w:r>
    </w:p>
    <w:p w:rsidR="002D1928" w:rsidRPr="000967C5" w14:paraId="24F8EFAA" w14:textId="35988A4E">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为发电机组配备手动和全自动启动设施能于主电源故障或偏差超过可接受之限度时于</w:t>
      </w:r>
      <w:r w:rsidRPr="000967C5">
        <w:rPr>
          <w:rFonts w:asciiTheme="minorEastAsia" w:eastAsiaTheme="minorEastAsia" w:hAnsiTheme="minorEastAsia"/>
          <w:sz w:val="21"/>
          <w:szCs w:val="21"/>
          <w:lang w:val="en-US" w:eastAsia="zh-CN"/>
        </w:rPr>
        <w:t>15</w:t>
      </w:r>
      <w:r w:rsidRPr="000967C5">
        <w:rPr>
          <w:rFonts w:asciiTheme="minorEastAsia" w:eastAsiaTheme="minorEastAsia" w:hAnsiTheme="minorEastAsia"/>
          <w:sz w:val="21"/>
          <w:szCs w:val="21"/>
          <w:lang w:eastAsia="zh-CN"/>
        </w:rPr>
        <w:t>秒内接载设计之接用负荷。</w:t>
      </w:r>
      <w:bookmarkEnd w:id="15"/>
      <w:bookmarkEnd w:id="16"/>
      <w:bookmarkEnd w:id="17"/>
      <w:bookmarkEnd w:id="18"/>
    </w:p>
    <w:p w:rsidR="002D1928" w:rsidRPr="000967C5" w14:paraId="7D0F00D4"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9" w:name="_Toc502858049"/>
      <w:bookmarkStart w:id="20" w:name="_Toc502853997"/>
      <w:bookmarkStart w:id="21" w:name="_Toc502860036"/>
      <w:bookmarkStart w:id="22" w:name="_Toc502861020"/>
      <w:r w:rsidRPr="000967C5">
        <w:rPr>
          <w:rFonts w:asciiTheme="minorEastAsia" w:eastAsiaTheme="minorEastAsia" w:hAnsiTheme="minorEastAsia"/>
          <w:sz w:val="21"/>
          <w:szCs w:val="21"/>
          <w:lang w:eastAsia="zh-CN"/>
        </w:rPr>
        <w:t>发电设备须适合于冷态起动并有足够之容量以满足根据图上所列负荷表于最严重条件下之负荷要求。关于发电机容量之详情须报批。发电设备之容量须考虑，但不限于下列各项因子：</w:t>
      </w:r>
      <w:bookmarkEnd w:id="19"/>
      <w:bookmarkEnd w:id="20"/>
      <w:bookmarkEnd w:id="21"/>
      <w:bookmarkEnd w:id="22"/>
    </w:p>
    <w:p w:rsidR="002D1928" w:rsidRPr="000967C5" w14:paraId="439FCE6F"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降低额定输出因子（由于海拔高度，环境温度，功率因子等影响）。</w:t>
      </w:r>
    </w:p>
    <w:p w:rsidR="002D1928" w:rsidRPr="000967C5" w14:paraId="64BF5742"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rPr>
      </w:pPr>
      <w:r w:rsidRPr="000967C5">
        <w:rPr>
          <w:rFonts w:asciiTheme="minorEastAsia" w:eastAsiaTheme="minorEastAsia" w:hAnsiTheme="minorEastAsia"/>
          <w:sz w:val="21"/>
          <w:szCs w:val="21"/>
        </w:rPr>
        <w:t>冲击负荷</w:t>
      </w:r>
    </w:p>
    <w:p w:rsidR="002D1928" w:rsidRPr="000967C5" w14:paraId="1B835E23"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rPr>
      </w:pPr>
      <w:r w:rsidRPr="000967C5">
        <w:rPr>
          <w:rFonts w:asciiTheme="minorEastAsia" w:eastAsiaTheme="minorEastAsia" w:hAnsiTheme="minorEastAsia"/>
          <w:sz w:val="21"/>
          <w:szCs w:val="21"/>
        </w:rPr>
        <w:t>瞬变电压下降</w:t>
      </w:r>
    </w:p>
    <w:p w:rsidR="002D1928" w:rsidRPr="000967C5" w14:paraId="19BF326B"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rPr>
      </w:pPr>
      <w:r w:rsidRPr="000967C5">
        <w:rPr>
          <w:rFonts w:asciiTheme="minorEastAsia" w:eastAsiaTheme="minorEastAsia" w:hAnsiTheme="minorEastAsia"/>
          <w:sz w:val="21"/>
          <w:szCs w:val="21"/>
        </w:rPr>
        <w:t>暂时过负荷</w:t>
      </w:r>
    </w:p>
    <w:p w:rsidR="002D1928" w:rsidRPr="000967C5" w14:paraId="56FDF435"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rPr>
      </w:pPr>
      <w:r w:rsidRPr="000967C5">
        <w:rPr>
          <w:rFonts w:asciiTheme="minorEastAsia" w:eastAsiaTheme="minorEastAsia" w:hAnsiTheme="minorEastAsia"/>
          <w:sz w:val="21"/>
          <w:szCs w:val="21"/>
        </w:rPr>
        <w:t>再生功率</w:t>
      </w:r>
    </w:p>
    <w:p w:rsidR="002D1928" w:rsidRPr="000967C5" w14:paraId="678E7E14"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rPr>
      </w:pPr>
      <w:r w:rsidRPr="000967C5">
        <w:rPr>
          <w:rFonts w:asciiTheme="minorEastAsia" w:eastAsiaTheme="minorEastAsia" w:hAnsiTheme="minorEastAsia"/>
          <w:sz w:val="21"/>
          <w:szCs w:val="21"/>
        </w:rPr>
        <w:t>整流负荷</w:t>
      </w:r>
    </w:p>
    <w:p w:rsidR="002D1928" w:rsidRPr="000967C5" w14:paraId="6087A386"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rPr>
      </w:pPr>
      <w:r w:rsidRPr="000967C5">
        <w:rPr>
          <w:rFonts w:asciiTheme="minorEastAsia" w:eastAsiaTheme="minorEastAsia" w:hAnsiTheme="minorEastAsia"/>
          <w:sz w:val="21"/>
          <w:szCs w:val="21"/>
        </w:rPr>
        <w:t>各相负荷不平衡</w:t>
      </w:r>
    </w:p>
    <w:p w:rsidR="002D1928" w:rsidRPr="000967C5" w14:paraId="4E9938DA"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由于电压调整系统间相互影响而引起不稳定（例如发电设备之自动电压调整系统与不间断供电设备）。</w:t>
      </w:r>
    </w:p>
    <w:p w:rsidR="002D1928" w:rsidRPr="000967C5" w14:paraId="6726CF9F"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12小时连续满载运行，超过铭牌连续额定容量10%，再连续运行一小时之过负荷能力。</w:t>
      </w:r>
    </w:p>
    <w:p w:rsidR="002D1928" w:rsidRPr="000967C5" w14:paraId="56F7EB17"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除上述各因子外，发电设备</w:t>
      </w:r>
      <w:r w:rsidRPr="000967C5">
        <w:rPr>
          <w:rFonts w:asciiTheme="minorEastAsia" w:eastAsiaTheme="minorEastAsia" w:hAnsiTheme="minorEastAsia"/>
          <w:sz w:val="21"/>
          <w:szCs w:val="21"/>
          <w:lang w:eastAsia="zh-CN"/>
        </w:rPr>
        <w:t>之连续</w:t>
      </w:r>
      <w:r w:rsidRPr="000967C5">
        <w:rPr>
          <w:rFonts w:asciiTheme="minorEastAsia" w:eastAsiaTheme="minorEastAsia" w:hAnsiTheme="minorEastAsia"/>
          <w:sz w:val="21"/>
          <w:szCs w:val="21"/>
          <w:lang w:eastAsia="zh-CN"/>
        </w:rPr>
        <w:t>额定容量须不小于图中所示。</w:t>
      </w:r>
    </w:p>
    <w:tbl>
      <w:tblPr>
        <w:tblStyle w:val="TableNormal"/>
        <w:tblW w:w="6063" w:type="dxa"/>
        <w:tblInd w:w="1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63"/>
        <w:gridCol w:w="1843"/>
        <w:gridCol w:w="1957"/>
      </w:tblGrid>
      <w:tr w14:paraId="4C4677EB" w14:textId="77777777">
        <w:tblPrEx>
          <w:tblW w:w="6063" w:type="dxa"/>
          <w:tblInd w:w="1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c>
          <w:tcPr>
            <w:tcW w:w="2263" w:type="dxa"/>
            <w:tcBorders>
              <w:left w:val="single" w:sz="4" w:space="0" w:color="000000"/>
            </w:tcBorders>
          </w:tcPr>
          <w:p w:rsidR="002D1928" w:rsidRPr="000967C5" w14:paraId="0002B384" w14:textId="77777777">
            <w:pPr>
              <w:pStyle w:val="Normal4"/>
              <w:spacing w:line="360" w:lineRule="auto"/>
              <w:rPr>
                <w:rFonts w:ascii="宋体" w:hAnsi="宋体"/>
                <w:kern w:val="2"/>
                <w:sz w:val="21"/>
                <w:szCs w:val="21"/>
              </w:rPr>
            </w:pPr>
            <w:r w:rsidRPr="000967C5">
              <w:rPr>
                <w:rFonts w:ascii="宋体" w:hAnsi="宋体" w:hint="eastAsia"/>
                <w:kern w:val="2"/>
                <w:sz w:val="21"/>
                <w:szCs w:val="21"/>
              </w:rPr>
              <w:t>功率</w:t>
            </w:r>
          </w:p>
        </w:tc>
        <w:tc>
          <w:tcPr>
            <w:tcW w:w="1843" w:type="dxa"/>
          </w:tcPr>
          <w:p w:rsidR="002D1928" w:rsidRPr="000967C5" w14:paraId="02AD807C" w14:textId="77777777">
            <w:pPr>
              <w:pStyle w:val="Normal4"/>
              <w:spacing w:line="360" w:lineRule="auto"/>
              <w:rPr>
                <w:rFonts w:ascii="宋体" w:hAnsi="宋体"/>
                <w:kern w:val="2"/>
                <w:sz w:val="21"/>
                <w:szCs w:val="21"/>
              </w:rPr>
            </w:pPr>
            <w:r w:rsidRPr="000967C5">
              <w:rPr>
                <w:rFonts w:ascii="宋体" w:hAnsi="宋体" w:hint="eastAsia"/>
                <w:kern w:val="2"/>
                <w:sz w:val="21"/>
                <w:szCs w:val="21"/>
              </w:rPr>
              <w:t>标准</w:t>
            </w:r>
          </w:p>
        </w:tc>
        <w:tc>
          <w:tcPr>
            <w:tcW w:w="1957" w:type="dxa"/>
          </w:tcPr>
          <w:p w:rsidR="002D1928" w:rsidRPr="000967C5" w14:paraId="5526CAFF" w14:textId="77777777">
            <w:pPr>
              <w:pStyle w:val="Normal4"/>
              <w:spacing w:line="360" w:lineRule="auto"/>
              <w:rPr>
                <w:rFonts w:ascii="宋体" w:hAnsi="宋体"/>
                <w:kern w:val="2"/>
                <w:sz w:val="21"/>
                <w:szCs w:val="21"/>
              </w:rPr>
            </w:pPr>
            <w:r w:rsidRPr="000967C5">
              <w:rPr>
                <w:rFonts w:ascii="宋体" w:hAnsi="宋体" w:hint="eastAsia"/>
                <w:kern w:val="2"/>
                <w:sz w:val="21"/>
                <w:szCs w:val="21"/>
              </w:rPr>
              <w:t>标准值</w:t>
            </w:r>
          </w:p>
        </w:tc>
      </w:tr>
      <w:tr w14:paraId="1FA297B3" w14:textId="77777777">
        <w:tblPrEx>
          <w:tblW w:w="6063" w:type="dxa"/>
          <w:tblInd w:w="1685" w:type="dxa"/>
          <w:tblLayout w:type="fixed"/>
          <w:tblLook w:val="04A0"/>
        </w:tblPrEx>
        <w:tc>
          <w:tcPr>
            <w:tcW w:w="2263" w:type="dxa"/>
            <w:tcBorders>
              <w:left w:val="single" w:sz="4" w:space="0" w:color="000000"/>
            </w:tcBorders>
          </w:tcPr>
          <w:p w:rsidR="002D1928" w:rsidRPr="000967C5" w14:paraId="46735D98" w14:textId="77777777">
            <w:pPr>
              <w:pStyle w:val="Normal4"/>
              <w:spacing w:line="360" w:lineRule="auto"/>
              <w:rPr>
                <w:rFonts w:ascii="宋体" w:hAnsi="宋体"/>
                <w:kern w:val="2"/>
                <w:sz w:val="21"/>
                <w:szCs w:val="21"/>
              </w:rPr>
            </w:pPr>
            <w:r w:rsidRPr="000967C5">
              <w:rPr>
                <w:rFonts w:ascii="宋体" w:hAnsi="宋体" w:hint="eastAsia"/>
                <w:kern w:val="2"/>
                <w:sz w:val="21"/>
                <w:szCs w:val="21"/>
              </w:rPr>
              <w:t>连续功率</w:t>
            </w:r>
          </w:p>
        </w:tc>
        <w:tc>
          <w:tcPr>
            <w:tcW w:w="1843" w:type="dxa"/>
          </w:tcPr>
          <w:p w:rsidR="002D1928" w:rsidRPr="000967C5" w14:paraId="52DA6749" w14:textId="77777777">
            <w:pPr>
              <w:pStyle w:val="Normal4"/>
              <w:spacing w:line="360" w:lineRule="auto"/>
              <w:rPr>
                <w:rFonts w:ascii="宋体" w:hAnsi="宋体"/>
                <w:kern w:val="2"/>
                <w:sz w:val="21"/>
                <w:szCs w:val="21"/>
              </w:rPr>
            </w:pPr>
            <w:r w:rsidRPr="000967C5">
              <w:rPr>
                <w:rFonts w:ascii="宋体" w:hAnsi="宋体" w:hint="eastAsia"/>
                <w:kern w:val="2"/>
                <w:sz w:val="21"/>
                <w:szCs w:val="21"/>
              </w:rPr>
              <w:t>75%</w:t>
            </w:r>
          </w:p>
        </w:tc>
        <w:tc>
          <w:tcPr>
            <w:tcW w:w="1957" w:type="dxa"/>
          </w:tcPr>
          <w:p w:rsidR="002D1928" w:rsidRPr="000967C5" w14:paraId="1FB937E9" w14:textId="77777777">
            <w:pPr>
              <w:pStyle w:val="Normal4"/>
              <w:spacing w:line="360" w:lineRule="auto"/>
              <w:rPr>
                <w:rFonts w:ascii="宋体" w:hAnsi="宋体"/>
                <w:kern w:val="2"/>
                <w:sz w:val="21"/>
                <w:szCs w:val="21"/>
              </w:rPr>
            </w:pPr>
            <w:r w:rsidRPr="000967C5">
              <w:rPr>
                <w:rFonts w:ascii="宋体" w:hAnsi="宋体" w:hint="eastAsia"/>
                <w:kern w:val="2"/>
                <w:sz w:val="21"/>
                <w:szCs w:val="21"/>
              </w:rPr>
              <w:t>9</w:t>
            </w:r>
            <w:r w:rsidRPr="000967C5">
              <w:rPr>
                <w:rFonts w:ascii="宋体" w:hAnsi="宋体"/>
                <w:kern w:val="2"/>
                <w:sz w:val="21"/>
                <w:szCs w:val="21"/>
              </w:rPr>
              <w:t>55KW</w:t>
            </w:r>
          </w:p>
        </w:tc>
      </w:tr>
      <w:tr w14:paraId="7D1ECDFE" w14:textId="77777777">
        <w:tblPrEx>
          <w:tblW w:w="6063" w:type="dxa"/>
          <w:tblInd w:w="1685" w:type="dxa"/>
          <w:tblLayout w:type="fixed"/>
          <w:tblLook w:val="04A0"/>
        </w:tblPrEx>
        <w:tc>
          <w:tcPr>
            <w:tcW w:w="2263" w:type="dxa"/>
            <w:tcBorders>
              <w:left w:val="single" w:sz="4" w:space="0" w:color="000000"/>
            </w:tcBorders>
          </w:tcPr>
          <w:p w:rsidR="002D1928" w:rsidRPr="000967C5" w14:paraId="3BA26E64" w14:textId="77777777">
            <w:pPr>
              <w:pStyle w:val="Normal4"/>
              <w:spacing w:line="360" w:lineRule="auto"/>
              <w:rPr>
                <w:rFonts w:ascii="宋体" w:hAnsi="宋体"/>
                <w:kern w:val="2"/>
                <w:sz w:val="21"/>
                <w:szCs w:val="21"/>
              </w:rPr>
            </w:pPr>
            <w:r w:rsidRPr="000967C5">
              <w:rPr>
                <w:rFonts w:ascii="宋体" w:hAnsi="宋体" w:hint="eastAsia"/>
                <w:kern w:val="2"/>
                <w:sz w:val="21"/>
                <w:szCs w:val="21"/>
              </w:rPr>
              <w:t>基本功率</w:t>
            </w:r>
          </w:p>
        </w:tc>
        <w:tc>
          <w:tcPr>
            <w:tcW w:w="1843" w:type="dxa"/>
          </w:tcPr>
          <w:p w:rsidR="002D1928" w:rsidRPr="000967C5" w14:paraId="6171CD4A" w14:textId="77777777">
            <w:pPr>
              <w:pStyle w:val="Normal4"/>
              <w:spacing w:line="360" w:lineRule="auto"/>
              <w:rPr>
                <w:rFonts w:ascii="宋体" w:hAnsi="宋体"/>
                <w:kern w:val="2"/>
                <w:sz w:val="21"/>
                <w:szCs w:val="21"/>
              </w:rPr>
            </w:pPr>
            <w:r w:rsidRPr="000967C5">
              <w:rPr>
                <w:rFonts w:ascii="宋体" w:hAnsi="宋体" w:hint="eastAsia"/>
                <w:kern w:val="2"/>
                <w:sz w:val="21"/>
                <w:szCs w:val="21"/>
              </w:rPr>
              <w:t>100%</w:t>
            </w:r>
          </w:p>
        </w:tc>
        <w:tc>
          <w:tcPr>
            <w:tcW w:w="1957" w:type="dxa"/>
          </w:tcPr>
          <w:p w:rsidR="002D1928" w:rsidRPr="000967C5" w14:paraId="65DD7D5A" w14:textId="77777777">
            <w:pPr>
              <w:pStyle w:val="Normal4"/>
              <w:spacing w:line="360" w:lineRule="auto"/>
              <w:rPr>
                <w:rFonts w:ascii="宋体" w:hAnsi="宋体"/>
                <w:kern w:val="2"/>
                <w:sz w:val="21"/>
                <w:szCs w:val="21"/>
              </w:rPr>
            </w:pPr>
            <w:r w:rsidRPr="000967C5">
              <w:rPr>
                <w:rFonts w:ascii="宋体" w:hAnsi="宋体" w:hint="eastAsia"/>
                <w:kern w:val="2"/>
                <w:sz w:val="21"/>
                <w:szCs w:val="21"/>
              </w:rPr>
              <w:t>1</w:t>
            </w:r>
            <w:r w:rsidRPr="000967C5">
              <w:rPr>
                <w:rFonts w:ascii="宋体" w:hAnsi="宋体"/>
                <w:kern w:val="2"/>
                <w:sz w:val="21"/>
                <w:szCs w:val="21"/>
              </w:rPr>
              <w:t>273KW</w:t>
            </w:r>
          </w:p>
        </w:tc>
      </w:tr>
      <w:tr w14:paraId="20A794CE" w14:textId="77777777">
        <w:tblPrEx>
          <w:tblW w:w="6063" w:type="dxa"/>
          <w:tblInd w:w="1685" w:type="dxa"/>
          <w:tblLayout w:type="fixed"/>
          <w:tblLook w:val="04A0"/>
        </w:tblPrEx>
        <w:tc>
          <w:tcPr>
            <w:tcW w:w="2263" w:type="dxa"/>
            <w:tcBorders>
              <w:left w:val="single" w:sz="4" w:space="0" w:color="000000"/>
            </w:tcBorders>
          </w:tcPr>
          <w:p w:rsidR="002D1928" w:rsidRPr="000967C5" w14:paraId="21D1837C" w14:textId="77777777">
            <w:pPr>
              <w:pStyle w:val="Normal4"/>
              <w:spacing w:line="360" w:lineRule="auto"/>
              <w:rPr>
                <w:rFonts w:ascii="宋体" w:hAnsi="宋体"/>
                <w:kern w:val="2"/>
                <w:sz w:val="21"/>
                <w:szCs w:val="21"/>
              </w:rPr>
            </w:pPr>
            <w:r w:rsidRPr="000967C5">
              <w:rPr>
                <w:rFonts w:ascii="宋体" w:hAnsi="宋体" w:hint="eastAsia"/>
                <w:kern w:val="2"/>
                <w:sz w:val="21"/>
                <w:szCs w:val="21"/>
              </w:rPr>
              <w:t>限时运行功率</w:t>
            </w:r>
          </w:p>
        </w:tc>
        <w:tc>
          <w:tcPr>
            <w:tcW w:w="1843" w:type="dxa"/>
          </w:tcPr>
          <w:p w:rsidR="002D1928" w:rsidRPr="000967C5" w14:paraId="7DADE969" w14:textId="77777777">
            <w:pPr>
              <w:pStyle w:val="Normal4"/>
              <w:spacing w:line="360" w:lineRule="auto"/>
              <w:rPr>
                <w:rFonts w:ascii="宋体" w:hAnsi="宋体"/>
                <w:kern w:val="2"/>
                <w:sz w:val="21"/>
                <w:szCs w:val="21"/>
              </w:rPr>
            </w:pPr>
            <w:r w:rsidRPr="000967C5">
              <w:rPr>
                <w:rFonts w:ascii="宋体" w:hAnsi="宋体" w:hint="eastAsia"/>
                <w:kern w:val="2"/>
                <w:sz w:val="21"/>
                <w:szCs w:val="21"/>
              </w:rPr>
              <w:t>110%</w:t>
            </w:r>
          </w:p>
        </w:tc>
        <w:tc>
          <w:tcPr>
            <w:tcW w:w="1957" w:type="dxa"/>
          </w:tcPr>
          <w:p w:rsidR="002D1928" w:rsidRPr="000967C5" w14:paraId="13E05849" w14:textId="77777777">
            <w:pPr>
              <w:pStyle w:val="Normal4"/>
              <w:spacing w:line="360" w:lineRule="auto"/>
              <w:rPr>
                <w:rFonts w:ascii="宋体" w:hAnsi="宋体"/>
                <w:kern w:val="2"/>
                <w:sz w:val="21"/>
                <w:szCs w:val="21"/>
              </w:rPr>
            </w:pPr>
            <w:r w:rsidRPr="000967C5">
              <w:rPr>
                <w:rFonts w:ascii="宋体" w:hAnsi="宋体" w:hint="eastAsia"/>
                <w:kern w:val="2"/>
                <w:sz w:val="21"/>
                <w:szCs w:val="21"/>
              </w:rPr>
              <w:t>1</w:t>
            </w:r>
            <w:r w:rsidRPr="000967C5">
              <w:rPr>
                <w:rFonts w:ascii="宋体" w:hAnsi="宋体"/>
                <w:kern w:val="2"/>
                <w:sz w:val="21"/>
                <w:szCs w:val="21"/>
              </w:rPr>
              <w:t>400KW</w:t>
            </w:r>
          </w:p>
        </w:tc>
      </w:tr>
      <w:tr w14:paraId="23FD7F76" w14:textId="77777777">
        <w:tblPrEx>
          <w:tblW w:w="6063" w:type="dxa"/>
          <w:tblInd w:w="1685" w:type="dxa"/>
          <w:tblLayout w:type="fixed"/>
          <w:tblLook w:val="04A0"/>
        </w:tblPrEx>
        <w:tc>
          <w:tcPr>
            <w:tcW w:w="2263" w:type="dxa"/>
            <w:tcBorders>
              <w:left w:val="single" w:sz="4" w:space="0" w:color="000000"/>
            </w:tcBorders>
          </w:tcPr>
          <w:p w:rsidR="002D1928" w:rsidRPr="000967C5" w14:paraId="580463B9" w14:textId="77777777">
            <w:pPr>
              <w:pStyle w:val="Normal4"/>
              <w:spacing w:line="360" w:lineRule="auto"/>
              <w:rPr>
                <w:rFonts w:ascii="宋体" w:hAnsi="宋体"/>
                <w:kern w:val="2"/>
                <w:sz w:val="21"/>
                <w:szCs w:val="21"/>
              </w:rPr>
            </w:pPr>
            <w:r w:rsidRPr="000967C5">
              <w:rPr>
                <w:rFonts w:ascii="宋体" w:hAnsi="宋体" w:hint="eastAsia"/>
                <w:kern w:val="2"/>
                <w:sz w:val="21"/>
                <w:szCs w:val="21"/>
              </w:rPr>
              <w:t>应急备用功率</w:t>
            </w:r>
          </w:p>
        </w:tc>
        <w:tc>
          <w:tcPr>
            <w:tcW w:w="1843" w:type="dxa"/>
          </w:tcPr>
          <w:p w:rsidR="002D1928" w:rsidRPr="000967C5" w14:paraId="3B729596" w14:textId="77777777">
            <w:pPr>
              <w:pStyle w:val="Normal4"/>
              <w:spacing w:line="360" w:lineRule="auto"/>
              <w:rPr>
                <w:rFonts w:ascii="宋体" w:hAnsi="宋体"/>
                <w:kern w:val="2"/>
                <w:sz w:val="21"/>
                <w:szCs w:val="21"/>
              </w:rPr>
            </w:pPr>
            <w:r w:rsidRPr="000967C5">
              <w:rPr>
                <w:rFonts w:ascii="宋体" w:hAnsi="宋体" w:hint="eastAsia"/>
                <w:kern w:val="2"/>
                <w:sz w:val="21"/>
                <w:szCs w:val="21"/>
              </w:rPr>
              <w:t>110%</w:t>
            </w:r>
          </w:p>
        </w:tc>
        <w:tc>
          <w:tcPr>
            <w:tcW w:w="1957" w:type="dxa"/>
          </w:tcPr>
          <w:p w:rsidR="002D1928" w:rsidRPr="000967C5" w14:paraId="35E16C1E" w14:textId="77777777">
            <w:pPr>
              <w:pStyle w:val="Normal4"/>
              <w:spacing w:line="360" w:lineRule="auto"/>
              <w:rPr>
                <w:rFonts w:ascii="宋体" w:hAnsi="宋体"/>
                <w:kern w:val="2"/>
                <w:sz w:val="21"/>
                <w:szCs w:val="21"/>
              </w:rPr>
            </w:pPr>
            <w:r w:rsidRPr="000967C5">
              <w:rPr>
                <w:rFonts w:ascii="宋体" w:hAnsi="宋体" w:hint="eastAsia"/>
                <w:kern w:val="2"/>
                <w:sz w:val="21"/>
                <w:szCs w:val="21"/>
              </w:rPr>
              <w:t>1</w:t>
            </w:r>
            <w:r w:rsidRPr="000967C5">
              <w:rPr>
                <w:rFonts w:ascii="宋体" w:hAnsi="宋体"/>
                <w:kern w:val="2"/>
                <w:sz w:val="21"/>
                <w:szCs w:val="21"/>
              </w:rPr>
              <w:t>400KW</w:t>
            </w:r>
          </w:p>
        </w:tc>
      </w:tr>
    </w:tbl>
    <w:p w:rsidR="002D1928" w:rsidRPr="000967C5" w14:paraId="4F0F8D0F"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机组自动启动成功率≥99%。</w:t>
      </w:r>
    </w:p>
    <w:p w:rsidR="002D1928" w:rsidRPr="000967C5" w14:paraId="22A36552" w14:textId="77777777">
      <w:pPr>
        <w:numPr>
          <w:ilvl w:val="0"/>
          <w:numId w:val="25"/>
        </w:numPr>
        <w:tabs>
          <w:tab w:val="left" w:pos="1620"/>
          <w:tab w:val="clear" w:pos="4176"/>
        </w:tabs>
        <w:spacing w:before="120" w:beforeLines="50" w:after="120" w:afterLines="50"/>
        <w:ind w:left="1620" w:hanging="540"/>
        <w:jc w:val="both"/>
        <w:outlineLvl w:val="2"/>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机组运行冲击与震动，冲击荷载≤1.8倍。</w:t>
      </w:r>
    </w:p>
    <w:p w:rsidR="002D1928" w:rsidRPr="000967C5" w14:paraId="7172D1B4" w14:textId="77777777">
      <w:pPr>
        <w:pStyle w:val="ReportLevel2"/>
        <w:spacing w:before="240" w:beforeLines="100" w:after="240" w:afterLines="100"/>
        <w:rPr>
          <w:rFonts w:asciiTheme="minorEastAsia" w:eastAsiaTheme="minorEastAsia" w:hAnsiTheme="minorEastAsia"/>
          <w:b/>
          <w:bCs/>
          <w:sz w:val="21"/>
          <w:szCs w:val="21"/>
        </w:rPr>
      </w:pPr>
      <w:bookmarkStart w:id="23" w:name="_Toc502860037"/>
      <w:bookmarkStart w:id="24" w:name="_Toc502861021"/>
      <w:bookmarkStart w:id="25" w:name="_Toc502858050"/>
      <w:bookmarkStart w:id="26" w:name="_Toc502853998"/>
      <w:r w:rsidRPr="000967C5">
        <w:rPr>
          <w:rFonts w:asciiTheme="minorEastAsia" w:eastAsiaTheme="minorEastAsia" w:hAnsiTheme="minorEastAsia"/>
          <w:b/>
          <w:bCs/>
          <w:sz w:val="21"/>
          <w:szCs w:val="21"/>
        </w:rPr>
        <w:t>要求</w:t>
      </w:r>
      <w:bookmarkEnd w:id="23"/>
      <w:bookmarkEnd w:id="24"/>
      <w:bookmarkEnd w:id="25"/>
      <w:bookmarkEnd w:id="26"/>
    </w:p>
    <w:p w:rsidR="002D1928" w:rsidRPr="000967C5" w14:paraId="5CE3DB34"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27" w:name="_Toc502858051"/>
      <w:bookmarkStart w:id="28" w:name="_Toc502860038"/>
      <w:bookmarkStart w:id="29" w:name="_Toc502853999"/>
      <w:bookmarkStart w:id="30" w:name="_Toc502861022"/>
      <w:r w:rsidRPr="000967C5">
        <w:rPr>
          <w:rFonts w:asciiTheme="minorEastAsia" w:eastAsiaTheme="minorEastAsia" w:hAnsiTheme="minorEastAsia"/>
          <w:sz w:val="21"/>
          <w:szCs w:val="21"/>
          <w:lang w:eastAsia="zh-CN"/>
        </w:rPr>
        <w:t>各部件和附属设备须按发电机及其附属设备制造商之建议进行制造以保证其适用性。</w:t>
      </w:r>
      <w:bookmarkEnd w:id="27"/>
      <w:bookmarkEnd w:id="28"/>
      <w:bookmarkEnd w:id="29"/>
      <w:bookmarkEnd w:id="30"/>
    </w:p>
    <w:p w:rsidR="002D1928" w:rsidRPr="000967C5" w14:paraId="2C5D3AA0" w14:textId="77777777">
      <w:pPr>
        <w:pStyle w:val="ReportLevel3"/>
        <w:keepNext w:val="0"/>
        <w:spacing w:before="120" w:beforeLines="50" w:after="120" w:afterLines="50"/>
        <w:rPr>
          <w:rFonts w:asciiTheme="minorEastAsia" w:eastAsiaTheme="minorEastAsia" w:hAnsiTheme="minorEastAsia"/>
          <w:sz w:val="21"/>
          <w:szCs w:val="21"/>
          <w:lang w:eastAsia="zh-CN"/>
        </w:rPr>
        <w:sectPr>
          <w:footerReference w:type="default" r:id="rId5"/>
          <w:pgSz w:w="11906" w:h="16838"/>
          <w:pgMar w:top="1814" w:right="1418" w:bottom="1418" w:left="1814" w:header="851" w:footer="992" w:gutter="0"/>
          <w:pgNumType w:start="1"/>
          <w:cols w:space="425"/>
          <w:docGrid w:linePitch="312"/>
        </w:sectPr>
      </w:pPr>
      <w:bookmarkStart w:id="31" w:name="_Toc502858052"/>
      <w:bookmarkStart w:id="32" w:name="_Toc502860039"/>
      <w:bookmarkStart w:id="33" w:name="_Toc502861023"/>
      <w:bookmarkStart w:id="34" w:name="_Toc502854000"/>
      <w:r w:rsidRPr="000967C5">
        <w:rPr>
          <w:rFonts w:asciiTheme="minorEastAsia" w:eastAsiaTheme="minorEastAsia" w:hAnsiTheme="minorEastAsia"/>
          <w:sz w:val="21"/>
          <w:szCs w:val="21"/>
          <w:lang w:eastAsia="zh-CN"/>
        </w:rPr>
        <w:t>尽管以下及图纸上已有详细说明（含蓄的或明确的），须保证最终的装置符合消防局及其它规程的要求装置得以运行。</w:t>
      </w:r>
      <w:bookmarkEnd w:id="31"/>
      <w:bookmarkEnd w:id="32"/>
      <w:bookmarkEnd w:id="33"/>
      <w:bookmarkEnd w:id="34"/>
    </w:p>
    <w:p w:rsidR="002D1928" w:rsidRPr="000967C5" w14:paraId="0F9ED2B6"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35" w:name="_Toc502860040"/>
      <w:bookmarkStart w:id="36" w:name="_Toc502854001"/>
      <w:bookmarkStart w:id="37" w:name="_Toc502858053"/>
      <w:bookmarkStart w:id="38" w:name="_Toc502861024"/>
      <w:r w:rsidRPr="000967C5">
        <w:rPr>
          <w:rFonts w:asciiTheme="minorEastAsia" w:eastAsiaTheme="minorEastAsia" w:hAnsiTheme="minorEastAsia"/>
          <w:sz w:val="21"/>
          <w:szCs w:val="21"/>
          <w:lang w:eastAsia="zh-CN"/>
        </w:rPr>
        <w:t>发电机之安装要符合有关国家标准及</w:t>
      </w:r>
      <w:r w:rsidRPr="000967C5">
        <w:rPr>
          <w:rFonts w:asciiTheme="minorEastAsia" w:eastAsiaTheme="minorEastAsia" w:hAnsiTheme="minorEastAsia" w:hint="eastAsia"/>
          <w:sz w:val="21"/>
          <w:szCs w:val="21"/>
          <w:u w:val="single"/>
          <w:lang w:eastAsia="zh-CN"/>
        </w:rPr>
        <w:t>深圳</w:t>
      </w:r>
      <w:r w:rsidRPr="000967C5">
        <w:rPr>
          <w:rFonts w:asciiTheme="minorEastAsia" w:eastAsiaTheme="minorEastAsia" w:hAnsiTheme="minorEastAsia"/>
          <w:sz w:val="21"/>
          <w:szCs w:val="21"/>
          <w:u w:val="single"/>
          <w:lang w:eastAsia="zh-CN"/>
        </w:rPr>
        <w:t>市</w:t>
      </w:r>
      <w:r w:rsidRPr="000967C5">
        <w:rPr>
          <w:rFonts w:asciiTheme="minorEastAsia" w:eastAsiaTheme="minorEastAsia" w:hAnsiTheme="minorEastAsia"/>
          <w:sz w:val="21"/>
          <w:szCs w:val="21"/>
          <w:lang w:eastAsia="zh-CN"/>
        </w:rPr>
        <w:t>供电局要求。</w:t>
      </w:r>
      <w:bookmarkEnd w:id="35"/>
      <w:bookmarkEnd w:id="36"/>
      <w:bookmarkEnd w:id="37"/>
      <w:bookmarkEnd w:id="38"/>
    </w:p>
    <w:p w:rsidR="002D1928" w:rsidRPr="000967C5" w14:paraId="5B0647A3"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39" w:name="_Toc502860042"/>
      <w:bookmarkStart w:id="40" w:name="_Toc502858055"/>
      <w:bookmarkStart w:id="41" w:name="_Toc502854003"/>
      <w:bookmarkStart w:id="42" w:name="_Toc502861026"/>
      <w:r w:rsidRPr="000967C5">
        <w:rPr>
          <w:rFonts w:asciiTheme="minorEastAsia" w:eastAsiaTheme="minorEastAsia" w:hAnsiTheme="minorEastAsia"/>
          <w:sz w:val="21"/>
          <w:szCs w:val="21"/>
          <w:lang w:eastAsia="zh-CN"/>
        </w:rPr>
        <w:t>负责整个紧急备用电源及其配电系统之试验及试运行, 直至满足</w:t>
      </w:r>
      <w:r w:rsidRPr="000967C5">
        <w:rPr>
          <w:rFonts w:asciiTheme="minorEastAsia" w:eastAsiaTheme="minorEastAsia" w:hAnsiTheme="minorEastAsia" w:hint="eastAsia"/>
          <w:sz w:val="21"/>
          <w:szCs w:val="21"/>
          <w:lang w:val="en-US" w:eastAsia="zh-CN"/>
        </w:rPr>
        <w:t>业主</w:t>
      </w:r>
      <w:r w:rsidRPr="000967C5">
        <w:rPr>
          <w:rFonts w:asciiTheme="minorEastAsia" w:eastAsiaTheme="minorEastAsia" w:hAnsiTheme="minorEastAsia"/>
          <w:sz w:val="21"/>
          <w:szCs w:val="21"/>
          <w:lang w:eastAsia="zh-CN"/>
        </w:rPr>
        <w:t>之验收。</w:t>
      </w:r>
      <w:bookmarkEnd w:id="39"/>
      <w:bookmarkEnd w:id="40"/>
      <w:bookmarkEnd w:id="41"/>
      <w:bookmarkEnd w:id="42"/>
    </w:p>
    <w:p w:rsidR="002D1928" w:rsidRPr="000967C5" w14:paraId="1AF728E9"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柴油发电机组应设有中文显示的控制屏，LCD液晶显示，能将检测的参数通过符号、数据等方式显示以满足各种需要。机组具备自动、手动、测试、关机（急停）等状态控制。具有操作简便、功能齐全、保护可靠等优点，确保正确的启动和停止发电机组，防止误操作和误动作。</w:t>
      </w:r>
    </w:p>
    <w:p w:rsidR="002D1928" w:rsidRPr="000967C5" w14:paraId="16E92D51"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柴油发电机组应能精确检测发动机各种运行参数：如发动机机油压力、柴油压力、冷却液温度、转速、电瓶电压、机组累计运行时间、发动机冷却运行时限、故障报警、发电电压、电流、频率、无功功率、有功功率、功率因数、千瓦小时、</w:t>
      </w:r>
      <w:r w:rsidRPr="000967C5">
        <w:rPr>
          <w:rFonts w:asciiTheme="minorEastAsia" w:eastAsiaTheme="minorEastAsia" w:hAnsiTheme="minorEastAsia" w:hint="eastAsia"/>
          <w:sz w:val="21"/>
          <w:szCs w:val="21"/>
          <w:lang w:eastAsia="zh-CN"/>
        </w:rPr>
        <w:t>千伏安</w:t>
      </w:r>
      <w:r w:rsidRPr="000967C5">
        <w:rPr>
          <w:rFonts w:asciiTheme="minorEastAsia" w:eastAsiaTheme="minorEastAsia" w:hAnsiTheme="minorEastAsia" w:hint="eastAsia"/>
          <w:sz w:val="21"/>
          <w:szCs w:val="21"/>
          <w:lang w:eastAsia="zh-CN"/>
        </w:rPr>
        <w:t>小时等内容。为了便于操作直观，同时应具备发电电压、频率模拟指针表。</w:t>
      </w:r>
    </w:p>
    <w:p w:rsidR="002D1928" w:rsidRPr="000967C5" w14:paraId="0A7C3886"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柴油发电机组应具备发动机故障保护（停机或报警）功能，如：高水温、低润滑油压、高（低）电瓶电压、启动失败、超速、发电电压过高（过低）、频率过高(过低)、过电流（长延时）、短路（瞬时）等。</w:t>
      </w:r>
    </w:p>
    <w:p w:rsidR="002D1928" w:rsidRPr="000967C5" w14:paraId="5A9113B7"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柴油发电机组应装备有效的减震动装置，使其在运行时，对机组和发电机房的震动，控制在规定的范围之内，不影响周边设施，运行噪声符合规范要求。</w:t>
      </w:r>
    </w:p>
    <w:p w:rsidR="002D1928" w:rsidRPr="000967C5" w14:paraId="0AAE45AD"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发电机组配置启动蓄电池及电池充电器。</w:t>
      </w:r>
    </w:p>
    <w:p w:rsidR="002D1928" w:rsidRPr="000967C5" w14:paraId="5AB3AA6E"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发电机组输出屏配备一台开关容量与发电机额定功率匹配的塑壳或框架式断路器。应具有短路瞬时过电流和短延时、过电流长延时等定值整定功能。</w:t>
      </w:r>
    </w:p>
    <w:p w:rsidR="002D1928" w:rsidRPr="000967C5" w14:paraId="399E1AB9"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机组首次大修</w:t>
      </w:r>
      <w:r w:rsidRPr="000967C5">
        <w:rPr>
          <w:rFonts w:asciiTheme="minorEastAsia" w:eastAsiaTheme="minorEastAsia" w:hAnsiTheme="minorEastAsia" w:hint="eastAsia"/>
          <w:sz w:val="21"/>
          <w:szCs w:val="21"/>
          <w:lang w:eastAsia="zh-CN"/>
        </w:rPr>
        <w:t>期时间</w:t>
      </w:r>
      <w:r w:rsidRPr="000967C5">
        <w:rPr>
          <w:rFonts w:asciiTheme="minorEastAsia" w:eastAsiaTheme="minorEastAsia" w:hAnsiTheme="minorEastAsia" w:hint="eastAsia"/>
          <w:sz w:val="21"/>
          <w:szCs w:val="21"/>
          <w:lang w:eastAsia="zh-CN"/>
        </w:rPr>
        <w:t>应大于 20000 小时，平均故障间隔不低于 2000 小时。</w:t>
      </w:r>
    </w:p>
    <w:p w:rsidR="002D1928" w:rsidRPr="000967C5" w14:paraId="0174001B"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具备R</w:t>
      </w:r>
      <w:r w:rsidRPr="000967C5">
        <w:rPr>
          <w:rFonts w:asciiTheme="minorEastAsia" w:eastAsiaTheme="minorEastAsia" w:hAnsiTheme="minorEastAsia"/>
          <w:sz w:val="21"/>
          <w:szCs w:val="21"/>
          <w:lang w:eastAsia="zh-CN"/>
        </w:rPr>
        <w:t>S232</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RS485</w:t>
      </w:r>
      <w:r w:rsidRPr="000967C5">
        <w:rPr>
          <w:rFonts w:asciiTheme="minorEastAsia" w:eastAsiaTheme="minorEastAsia" w:hAnsiTheme="minorEastAsia" w:hint="eastAsia"/>
          <w:sz w:val="21"/>
          <w:szCs w:val="21"/>
          <w:lang w:eastAsia="zh-CN"/>
        </w:rPr>
        <w:t>通讯接口，提供标准</w:t>
      </w:r>
      <w:r w:rsidRPr="000967C5">
        <w:rPr>
          <w:rFonts w:asciiTheme="minorEastAsia" w:eastAsiaTheme="minorEastAsia" w:hAnsiTheme="minorEastAsia"/>
          <w:sz w:val="21"/>
          <w:szCs w:val="21"/>
          <w:lang w:eastAsia="zh-CN"/>
        </w:rPr>
        <w:t>Modbus</w:t>
      </w:r>
      <w:r w:rsidRPr="000967C5">
        <w:rPr>
          <w:rFonts w:asciiTheme="minorEastAsia" w:eastAsiaTheme="minorEastAsia" w:hAnsiTheme="minorEastAsia" w:hint="eastAsia"/>
          <w:sz w:val="21"/>
          <w:szCs w:val="21"/>
          <w:lang w:eastAsia="zh-CN"/>
        </w:rPr>
        <w:t>通讯协议及上位机监控软件。</w:t>
      </w:r>
    </w:p>
    <w:p w:rsidR="002D1928" w:rsidRPr="000967C5" w14:paraId="5A34B791" w14:textId="77777777">
      <w:pPr>
        <w:pStyle w:val="ReportLevel3"/>
        <w:keepNext w:val="0"/>
        <w:spacing w:before="120" w:beforeLines="50" w:after="120" w:afterLines="50"/>
        <w:rPr>
          <w:rFonts w:eastAsiaTheme="minorEastAsia"/>
          <w:lang w:val="en-US" w:eastAsia="zh-CN"/>
        </w:rPr>
      </w:pPr>
      <w:r w:rsidRPr="000967C5">
        <w:rPr>
          <w:rFonts w:asciiTheme="minorEastAsia" w:eastAsiaTheme="minorEastAsia" w:hAnsiTheme="minorEastAsia" w:hint="eastAsia"/>
          <w:sz w:val="21"/>
          <w:szCs w:val="21"/>
          <w:lang w:eastAsia="zh-CN"/>
        </w:rPr>
        <w:t>机组结构，发电机机壳与发动机飞轮壳通过法兰刚性连接，发电机单轴承转子通过柔性</w:t>
      </w:r>
      <w:r w:rsidRPr="000967C5">
        <w:rPr>
          <w:rFonts w:asciiTheme="minorEastAsia" w:eastAsiaTheme="minorEastAsia" w:hAnsiTheme="minorEastAsia" w:hint="eastAsia"/>
          <w:sz w:val="21"/>
          <w:szCs w:val="21"/>
          <w:lang w:eastAsia="zh-CN"/>
        </w:rPr>
        <w:t>驱动盘直接</w:t>
      </w:r>
      <w:r w:rsidRPr="000967C5">
        <w:rPr>
          <w:rFonts w:asciiTheme="minorEastAsia" w:eastAsiaTheme="minorEastAsia" w:hAnsiTheme="minorEastAsia" w:hint="eastAsia"/>
          <w:sz w:val="21"/>
          <w:szCs w:val="21"/>
          <w:lang w:eastAsia="zh-CN"/>
        </w:rPr>
        <w:t>用螺栓固定在发动机飞轮上，公共底座钢制坚固且设有吊装孔。</w:t>
      </w:r>
    </w:p>
    <w:p w:rsidR="002D1928" w:rsidRPr="000967C5" w14:paraId="33731284"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43" w:name="_Toc502860052"/>
      <w:bookmarkStart w:id="44" w:name="_Toc502861036"/>
      <w:bookmarkStart w:id="45" w:name="_Toc502854013"/>
      <w:bookmarkStart w:id="46" w:name="_Toc502858065"/>
      <w:r w:rsidRPr="000967C5">
        <w:rPr>
          <w:rFonts w:asciiTheme="minorEastAsia" w:eastAsiaTheme="minorEastAsia" w:hAnsiTheme="minorEastAsia"/>
          <w:b/>
          <w:bCs/>
          <w:sz w:val="21"/>
          <w:szCs w:val="21"/>
          <w:lang w:eastAsia="zh-CN"/>
        </w:rPr>
        <w:t>发电机组的设计和制造</w:t>
      </w:r>
      <w:bookmarkEnd w:id="43"/>
      <w:bookmarkEnd w:id="44"/>
      <w:bookmarkEnd w:id="45"/>
      <w:bookmarkEnd w:id="46"/>
    </w:p>
    <w:p w:rsidR="002D1928" w:rsidRPr="000967C5" w14:paraId="609A12EA"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47" w:name="_Toc502861037"/>
      <w:bookmarkStart w:id="48" w:name="_Toc502858066"/>
      <w:bookmarkStart w:id="49" w:name="_Toc502860053"/>
      <w:bookmarkStart w:id="50" w:name="_Toc502854014"/>
      <w:r w:rsidRPr="000967C5">
        <w:rPr>
          <w:rFonts w:asciiTheme="minorEastAsia" w:eastAsiaTheme="minorEastAsia" w:hAnsiTheme="minorEastAsia"/>
          <w:sz w:val="21"/>
          <w:szCs w:val="21"/>
          <w:lang w:eastAsia="zh-CN"/>
        </w:rPr>
        <w:t>发电机组须由与发电机直联并装于共同底座上的柴油机组成。</w:t>
      </w:r>
      <w:bookmarkEnd w:id="47"/>
      <w:bookmarkEnd w:id="48"/>
      <w:bookmarkEnd w:id="49"/>
      <w:bookmarkEnd w:id="50"/>
    </w:p>
    <w:p w:rsidR="002D1928" w:rsidRPr="000967C5" w14:paraId="11D4875B"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51" w:name="_Toc502854015"/>
      <w:bookmarkStart w:id="52" w:name="_Toc502861038"/>
      <w:bookmarkStart w:id="53" w:name="_Toc502858067"/>
      <w:bookmarkStart w:id="54" w:name="_Toc502860054"/>
      <w:r w:rsidRPr="000967C5">
        <w:rPr>
          <w:rFonts w:asciiTheme="minorEastAsia" w:eastAsiaTheme="minorEastAsia" w:hAnsiTheme="minorEastAsia"/>
          <w:sz w:val="21"/>
          <w:szCs w:val="21"/>
          <w:lang w:eastAsia="zh-CN"/>
        </w:rPr>
        <w:t>按BS800或国家相关标准之要求配置消除无线电干扰的装置。</w:t>
      </w:r>
      <w:bookmarkEnd w:id="51"/>
      <w:bookmarkEnd w:id="52"/>
      <w:bookmarkEnd w:id="53"/>
      <w:bookmarkEnd w:id="54"/>
    </w:p>
    <w:p w:rsidR="002D1928" w:rsidRPr="000967C5" w14:paraId="21597A90"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55" w:name="_Toc502861039"/>
      <w:bookmarkStart w:id="56" w:name="_Toc502858068"/>
      <w:bookmarkStart w:id="57" w:name="_Toc502854016"/>
      <w:bookmarkStart w:id="58" w:name="_Toc502860055"/>
      <w:r w:rsidRPr="000967C5">
        <w:rPr>
          <w:rFonts w:asciiTheme="minorEastAsia" w:eastAsiaTheme="minorEastAsia" w:hAnsiTheme="minorEastAsia"/>
          <w:sz w:val="21"/>
          <w:szCs w:val="21"/>
          <w:lang w:eastAsia="zh-CN"/>
        </w:rPr>
        <w:t>除手动操作控制件外，所有外露的动作部件须完全封闭或设有防护装置，以免工作人员意外接触。防护装置应可拆卸。</w:t>
      </w:r>
      <w:bookmarkEnd w:id="55"/>
      <w:bookmarkEnd w:id="56"/>
      <w:bookmarkEnd w:id="57"/>
      <w:bookmarkEnd w:id="58"/>
    </w:p>
    <w:p w:rsidR="002D1928" w:rsidRPr="000967C5" w14:paraId="00BFAB40"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59" w:name="_Toc502854017"/>
      <w:bookmarkStart w:id="60" w:name="_Toc502860056"/>
      <w:bookmarkStart w:id="61" w:name="_Toc502861040"/>
      <w:bookmarkStart w:id="62" w:name="_Toc502858069"/>
      <w:r w:rsidRPr="000967C5">
        <w:rPr>
          <w:rFonts w:asciiTheme="minorEastAsia" w:eastAsiaTheme="minorEastAsia" w:hAnsiTheme="minorEastAsia"/>
          <w:sz w:val="21"/>
          <w:szCs w:val="21"/>
          <w:lang w:eastAsia="zh-CN"/>
        </w:rPr>
        <w:t>发电机组、底座及其辅助设备的所有黑色金属，一律用防锈漆作底漆，面层涂以制造厂商的标准色漆。发热的表面须涂以耐650</w:t>
      </w:r>
      <w:r w:rsidRPr="000967C5">
        <w:rPr>
          <w:rFonts w:asciiTheme="minorEastAsia" w:eastAsiaTheme="minorEastAsia" w:hAnsiTheme="minorEastAsia" w:cs="宋体" w:hint="eastAsia"/>
          <w:sz w:val="21"/>
          <w:szCs w:val="21"/>
          <w:lang w:eastAsia="zh-CN"/>
        </w:rPr>
        <w:t>℃</w:t>
      </w:r>
      <w:r w:rsidRPr="000967C5">
        <w:rPr>
          <w:rFonts w:asciiTheme="minorEastAsia" w:eastAsiaTheme="minorEastAsia" w:hAnsiTheme="minorEastAsia"/>
          <w:sz w:val="21"/>
          <w:szCs w:val="21"/>
          <w:lang w:eastAsia="zh-CN"/>
        </w:rPr>
        <w:t>高温而</w:t>
      </w:r>
      <w:r w:rsidRPr="000967C5">
        <w:rPr>
          <w:rFonts w:asciiTheme="minorEastAsia" w:eastAsiaTheme="minorEastAsia" w:hAnsiTheme="minorEastAsia"/>
          <w:sz w:val="21"/>
          <w:szCs w:val="21"/>
          <w:lang w:eastAsia="zh-CN"/>
        </w:rPr>
        <w:t>不</w:t>
      </w:r>
      <w:r w:rsidRPr="000967C5">
        <w:rPr>
          <w:rFonts w:asciiTheme="minorEastAsia" w:eastAsiaTheme="minorEastAsia" w:hAnsiTheme="minorEastAsia"/>
          <w:sz w:val="21"/>
          <w:szCs w:val="21"/>
          <w:lang w:eastAsia="zh-CN"/>
        </w:rPr>
        <w:t>变质的抗高温油漆。</w:t>
      </w:r>
      <w:bookmarkEnd w:id="59"/>
      <w:bookmarkEnd w:id="60"/>
      <w:bookmarkEnd w:id="61"/>
      <w:bookmarkEnd w:id="62"/>
    </w:p>
    <w:p w:rsidR="002D1928" w:rsidRPr="000967C5" w14:paraId="54196DEC" w14:textId="77777777">
      <w:pPr>
        <w:pStyle w:val="ReportLevel2"/>
        <w:spacing w:before="240" w:beforeLines="100" w:after="240" w:afterLines="100"/>
        <w:rPr>
          <w:rFonts w:asciiTheme="minorEastAsia" w:eastAsiaTheme="minorEastAsia" w:hAnsiTheme="minorEastAsia"/>
          <w:b/>
          <w:bCs/>
          <w:sz w:val="21"/>
          <w:szCs w:val="21"/>
        </w:rPr>
      </w:pPr>
      <w:bookmarkStart w:id="63" w:name="_Toc502854018"/>
      <w:bookmarkStart w:id="64" w:name="_Toc502858070"/>
      <w:bookmarkStart w:id="65" w:name="_Toc502860057"/>
      <w:bookmarkStart w:id="66" w:name="_Toc502861041"/>
      <w:r w:rsidRPr="000967C5">
        <w:rPr>
          <w:rFonts w:asciiTheme="minorEastAsia" w:eastAsiaTheme="minorEastAsia" w:hAnsiTheme="minorEastAsia"/>
          <w:b/>
          <w:bCs/>
          <w:sz w:val="21"/>
          <w:szCs w:val="21"/>
        </w:rPr>
        <w:t>发动机</w:t>
      </w:r>
      <w:bookmarkEnd w:id="63"/>
      <w:bookmarkEnd w:id="64"/>
      <w:bookmarkEnd w:id="65"/>
      <w:bookmarkEnd w:id="66"/>
    </w:p>
    <w:p w:rsidR="002D1928" w:rsidRPr="000967C5" w14:paraId="6E9ACF00" w14:textId="346D6703">
      <w:pPr>
        <w:pStyle w:val="ReportLevel3"/>
        <w:keepNext w:val="0"/>
        <w:spacing w:before="120" w:beforeLines="50" w:after="120" w:afterLines="50"/>
        <w:rPr>
          <w:rFonts w:asciiTheme="minorEastAsia" w:eastAsiaTheme="minorEastAsia" w:hAnsiTheme="minorEastAsia"/>
          <w:sz w:val="21"/>
          <w:szCs w:val="21"/>
          <w:lang w:eastAsia="zh-CN"/>
        </w:rPr>
      </w:pPr>
      <w:bookmarkStart w:id="67" w:name="_Toc502858071"/>
      <w:bookmarkStart w:id="68" w:name="_Toc502861042"/>
      <w:bookmarkStart w:id="69" w:name="_Toc502860058"/>
      <w:bookmarkStart w:id="70" w:name="_Toc502854019"/>
      <w:r w:rsidRPr="000967C5">
        <w:rPr>
          <w:rFonts w:asciiTheme="minorEastAsia" w:eastAsiaTheme="minorEastAsia" w:hAnsiTheme="minorEastAsia"/>
          <w:sz w:val="21"/>
          <w:szCs w:val="21"/>
          <w:lang w:eastAsia="zh-CN"/>
        </w:rPr>
        <w:t>发动机须适于使用符合BS2869A1或</w:t>
      </w:r>
      <w:r w:rsidRPr="000967C5">
        <w:rPr>
          <w:rFonts w:asciiTheme="minorEastAsia" w:eastAsiaTheme="minorEastAsia" w:hAnsiTheme="minorEastAsia" w:hint="eastAsia"/>
          <w:sz w:val="21"/>
          <w:szCs w:val="21"/>
          <w:lang w:eastAsia="zh-CN"/>
        </w:rPr>
        <w:t>国标轻柴油</w:t>
      </w:r>
      <w:r w:rsidRPr="000967C5">
        <w:rPr>
          <w:rFonts w:asciiTheme="minorEastAsia" w:eastAsiaTheme="minorEastAsia" w:hAnsiTheme="minorEastAsia" w:hint="eastAsia"/>
          <w:sz w:val="21"/>
          <w:szCs w:val="21"/>
          <w:lang w:val="en-US" w:eastAsia="zh-CN"/>
        </w:rPr>
        <w:t>(</w:t>
      </w:r>
      <w:r w:rsidRPr="000967C5">
        <w:rPr>
          <w:rFonts w:asciiTheme="minorEastAsia" w:eastAsiaTheme="minorEastAsia" w:hAnsiTheme="minorEastAsia" w:hint="eastAsia"/>
          <w:sz w:val="21"/>
          <w:szCs w:val="21"/>
          <w:lang w:eastAsia="zh-CN"/>
        </w:rPr>
        <w:t>需满足深圳环境温度要求</w:t>
      </w:r>
      <w:r w:rsidRPr="000967C5">
        <w:rPr>
          <w:rFonts w:asciiTheme="minorEastAsia" w:eastAsiaTheme="minorEastAsia" w:hAnsiTheme="minorEastAsia" w:hint="eastAsia"/>
          <w:sz w:val="21"/>
          <w:szCs w:val="21"/>
          <w:lang w:val="en-US" w:eastAsia="zh-CN"/>
        </w:rPr>
        <w:t>)</w:t>
      </w:r>
      <w:r w:rsidRPr="000967C5">
        <w:rPr>
          <w:rFonts w:asciiTheme="minorEastAsia" w:eastAsiaTheme="minorEastAsia" w:hAnsiTheme="minorEastAsia"/>
          <w:sz w:val="21"/>
          <w:szCs w:val="21"/>
          <w:lang w:eastAsia="zh-CN"/>
        </w:rPr>
        <w:t>作燃料</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风冷、四冲程、</w:t>
      </w:r>
      <w:r w:rsidRPr="000967C5">
        <w:rPr>
          <w:rFonts w:asciiTheme="minorEastAsia" w:eastAsiaTheme="minorEastAsia" w:hAnsiTheme="minorEastAsia" w:hint="eastAsia"/>
          <w:sz w:val="21"/>
          <w:szCs w:val="21"/>
          <w:lang w:val="en-US" w:eastAsia="zh-CN"/>
        </w:rPr>
        <w:t>电子</w:t>
      </w:r>
      <w:r w:rsidRPr="000967C5">
        <w:rPr>
          <w:rFonts w:asciiTheme="minorEastAsia" w:eastAsiaTheme="minorEastAsia" w:hAnsiTheme="minorEastAsia"/>
          <w:sz w:val="21"/>
          <w:szCs w:val="21"/>
          <w:lang w:eastAsia="zh-CN"/>
        </w:rPr>
        <w:t>喷射，</w:t>
      </w:r>
      <w:r w:rsidRPr="000967C5">
        <w:rPr>
          <w:rFonts w:asciiTheme="minorEastAsia" w:eastAsiaTheme="minorEastAsia" w:hAnsiTheme="minorEastAsia" w:hint="eastAsia"/>
          <w:sz w:val="21"/>
          <w:szCs w:val="21"/>
          <w:lang w:eastAsia="zh-CN"/>
        </w:rPr>
        <w:t>涡轮增压</w:t>
      </w:r>
      <w:r w:rsidRPr="000967C5">
        <w:rPr>
          <w:rFonts w:asciiTheme="minorEastAsia" w:eastAsiaTheme="minorEastAsia" w:hAnsiTheme="minorEastAsia" w:hint="eastAsia"/>
          <w:sz w:val="21"/>
          <w:szCs w:val="21"/>
          <w:lang w:val="en-US" w:eastAsia="zh-CN"/>
        </w:rPr>
        <w:t>进</w:t>
      </w:r>
      <w:r w:rsidRPr="000967C5">
        <w:rPr>
          <w:rFonts w:asciiTheme="minorEastAsia" w:eastAsiaTheme="minorEastAsia" w:hAnsiTheme="minorEastAsia"/>
          <w:sz w:val="21"/>
          <w:szCs w:val="21"/>
          <w:lang w:eastAsia="zh-CN"/>
        </w:rPr>
        <w:t>气，并符合BS5514的规定。</w:t>
      </w:r>
      <w:bookmarkEnd w:id="67"/>
      <w:bookmarkEnd w:id="68"/>
      <w:bookmarkEnd w:id="69"/>
      <w:bookmarkEnd w:id="70"/>
    </w:p>
    <w:p w:rsidR="002D1928" w:rsidRPr="000967C5" w14:paraId="44041741" w14:textId="295ECF4D">
      <w:pPr>
        <w:pStyle w:val="ReportLevel3"/>
        <w:keepNext w:val="0"/>
        <w:spacing w:before="120" w:beforeLines="50" w:after="120" w:afterLines="50"/>
        <w:rPr>
          <w:rFonts w:asciiTheme="minorEastAsia" w:eastAsiaTheme="minorEastAsia" w:hAnsiTheme="minorEastAsia"/>
          <w:sz w:val="21"/>
          <w:szCs w:val="21"/>
          <w:lang w:eastAsia="zh-CN"/>
        </w:rPr>
      </w:pPr>
      <w:bookmarkStart w:id="71" w:name="_Toc502860059"/>
      <w:bookmarkStart w:id="72" w:name="_Toc502858072"/>
      <w:bookmarkStart w:id="73" w:name="_Toc502854020"/>
      <w:bookmarkStart w:id="74" w:name="_Toc502861043"/>
      <w:r w:rsidRPr="000967C5">
        <w:rPr>
          <w:rFonts w:asciiTheme="minorEastAsia" w:eastAsiaTheme="minorEastAsia" w:hAnsiTheme="minorEastAsia"/>
          <w:sz w:val="21"/>
          <w:szCs w:val="21"/>
          <w:lang w:eastAsia="zh-CN"/>
        </w:rPr>
        <w:t>发动机之额定容量须符合</w:t>
      </w:r>
      <w:r w:rsidRPr="000967C5" w:rsidR="005C2163">
        <w:rPr>
          <w:rFonts w:asciiTheme="minorEastAsia" w:eastAsiaTheme="minorEastAsia" w:hAnsiTheme="minorEastAsia" w:hint="eastAsia"/>
          <w:sz w:val="21"/>
          <w:szCs w:val="21"/>
          <w:lang w:eastAsia="zh-CN"/>
        </w:rPr>
        <w:t>国标</w:t>
      </w:r>
      <w:r w:rsidRPr="000967C5">
        <w:rPr>
          <w:rFonts w:asciiTheme="minorEastAsia" w:eastAsiaTheme="minorEastAsia" w:hAnsiTheme="minorEastAsia"/>
          <w:sz w:val="21"/>
          <w:szCs w:val="21"/>
          <w:lang w:eastAsia="zh-CN"/>
        </w:rPr>
        <w:t>连续运行之要求并与发电机持续运转的额定容量相配合，其超载能力，将在以后加以规定。</w:t>
      </w:r>
      <w:bookmarkEnd w:id="71"/>
      <w:bookmarkEnd w:id="72"/>
      <w:bookmarkEnd w:id="73"/>
      <w:bookmarkEnd w:id="74"/>
    </w:p>
    <w:p w:rsidR="002D1928" w:rsidRPr="000967C5" w14:paraId="6BFCF3F3"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75" w:name="_Toc502861044"/>
      <w:bookmarkStart w:id="76" w:name="_Toc502854021"/>
      <w:bookmarkStart w:id="77" w:name="_Toc502860060"/>
      <w:bookmarkStart w:id="78" w:name="_Toc502858073"/>
      <w:r w:rsidRPr="000967C5">
        <w:rPr>
          <w:rFonts w:asciiTheme="minorEastAsia" w:eastAsiaTheme="minorEastAsia" w:hAnsiTheme="minorEastAsia"/>
          <w:sz w:val="21"/>
          <w:szCs w:val="21"/>
          <w:lang w:eastAsia="zh-CN"/>
        </w:rPr>
        <w:t>发动机之曲轴速度不能超过1500转/分。其正常旋转方向须为逆时钟旋转。并具有±5%速度之限速器。</w:t>
      </w:r>
      <w:bookmarkEnd w:id="75"/>
      <w:bookmarkEnd w:id="76"/>
      <w:bookmarkEnd w:id="77"/>
      <w:bookmarkEnd w:id="78"/>
    </w:p>
    <w:p w:rsidR="002D1928" w:rsidRPr="000967C5" w14:paraId="62279B39" w14:textId="77777777">
      <w:pPr>
        <w:pStyle w:val="ReportLevel3"/>
        <w:keepNext w:val="0"/>
        <w:spacing w:before="120" w:beforeLines="50" w:after="120" w:afterLines="50"/>
        <w:rPr>
          <w:rFonts w:asciiTheme="minorEastAsia" w:eastAsiaTheme="minorEastAsia" w:hAnsiTheme="minorEastAsia"/>
          <w:sz w:val="21"/>
          <w:szCs w:val="21"/>
          <w:lang w:eastAsia="zh-CN"/>
        </w:rPr>
        <w:sectPr>
          <w:footerReference w:type="default" r:id="rId6"/>
          <w:type w:val="nextPage"/>
          <w:pgSz w:w="11906" w:h="16838"/>
          <w:pgMar w:top="1814" w:right="1418" w:bottom="1418" w:left="1814" w:header="851" w:footer="992" w:gutter="0"/>
          <w:pgNumType w:start="2"/>
          <w:cols w:space="425"/>
          <w:titlePg w:val="0"/>
          <w:docGrid w:linePitch="312"/>
        </w:sectPr>
      </w:pPr>
      <w:bookmarkStart w:id="79" w:name="_Toc502860061"/>
      <w:bookmarkStart w:id="80" w:name="_Toc502858074"/>
      <w:bookmarkStart w:id="81" w:name="_Toc502861045"/>
      <w:bookmarkStart w:id="82" w:name="_Toc502854022"/>
      <w:r w:rsidRPr="000967C5">
        <w:rPr>
          <w:rFonts w:asciiTheme="minorEastAsia" w:eastAsiaTheme="minorEastAsia" w:hAnsiTheme="minorEastAsia"/>
          <w:sz w:val="21"/>
          <w:szCs w:val="21"/>
          <w:lang w:eastAsia="zh-CN"/>
        </w:rPr>
        <w:t>须装设机械的超速跳闸机构，当15%超速时切断燃料供应。</w:t>
      </w:r>
      <w:bookmarkEnd w:id="79"/>
      <w:bookmarkEnd w:id="80"/>
      <w:bookmarkEnd w:id="81"/>
      <w:bookmarkEnd w:id="82"/>
    </w:p>
    <w:p w:rsidR="002D1928" w:rsidRPr="000967C5" w14:paraId="247AD3EB"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83" w:name="_Toc502858075"/>
      <w:bookmarkStart w:id="84" w:name="_Toc502861046"/>
      <w:bookmarkStart w:id="85" w:name="_Toc502854023"/>
      <w:bookmarkStart w:id="86" w:name="_Toc502860062"/>
      <w:r w:rsidRPr="000967C5">
        <w:rPr>
          <w:rFonts w:asciiTheme="minorEastAsia" w:eastAsiaTheme="minorEastAsia" w:hAnsiTheme="minorEastAsia"/>
          <w:sz w:val="21"/>
          <w:szCs w:val="21"/>
          <w:lang w:eastAsia="zh-CN"/>
        </w:rPr>
        <w:t>须具有高水温切断及低润滑油切断保护。</w:t>
      </w:r>
      <w:bookmarkEnd w:id="83"/>
      <w:bookmarkEnd w:id="84"/>
      <w:bookmarkEnd w:id="85"/>
      <w:bookmarkEnd w:id="86"/>
    </w:p>
    <w:p w:rsidR="002D1928" w:rsidRPr="000967C5" w14:paraId="17209BAA"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启动系统：12V或</w:t>
      </w:r>
      <w:r w:rsidRPr="000967C5">
        <w:rPr>
          <w:rFonts w:asciiTheme="minorEastAsia" w:eastAsiaTheme="minorEastAsia" w:hAnsiTheme="minorEastAsia"/>
          <w:sz w:val="21"/>
          <w:szCs w:val="21"/>
          <w:lang w:eastAsia="zh-CN"/>
        </w:rPr>
        <w:t>24V</w:t>
      </w:r>
      <w:r w:rsidRPr="000967C5">
        <w:rPr>
          <w:rFonts w:asciiTheme="minorEastAsia" w:eastAsiaTheme="minorEastAsia" w:hAnsiTheme="minorEastAsia" w:hint="eastAsia"/>
          <w:sz w:val="21"/>
          <w:szCs w:val="21"/>
          <w:lang w:eastAsia="zh-CN"/>
        </w:rPr>
        <w:t>直流电启动（配置蓄电池）。</w:t>
      </w:r>
    </w:p>
    <w:p w:rsidR="002D1928" w:rsidRPr="000967C5" w14:paraId="59009290"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过滤系统包含：干式空气过滤器，燃油过滤器，机油过滤器。空气过滤器上装有阻力指示器，以指导保养及更换；燃油系统加装有油水分离器。</w:t>
      </w:r>
    </w:p>
    <w:p w:rsidR="002D1928" w:rsidRPr="000967C5" w14:paraId="060374EF" w14:textId="2DCA762E">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排烟系统：自然进气，涡轮增压器，并配置排烟弯管，波纹伸缩排烟管，并配置工业用消音器。系统应配置提供排烟管道，</w:t>
      </w:r>
      <w:r w:rsidRPr="000967C5">
        <w:rPr>
          <w:rFonts w:asciiTheme="minorEastAsia" w:eastAsiaTheme="minorEastAsia" w:hAnsiTheme="minorEastAsia" w:hint="eastAsia"/>
          <w:sz w:val="21"/>
          <w:szCs w:val="21"/>
          <w:lang w:eastAsia="zh-CN"/>
        </w:rPr>
        <w:t>排烟管须由</w:t>
      </w:r>
      <w:r w:rsidRPr="000967C5">
        <w:rPr>
          <w:rFonts w:asciiTheme="minorEastAsia" w:eastAsiaTheme="minorEastAsia" w:hAnsiTheme="minorEastAsia" w:hint="eastAsia"/>
          <w:sz w:val="21"/>
          <w:szCs w:val="21"/>
          <w:lang w:eastAsia="zh-CN"/>
        </w:rPr>
        <w:t>符合国标的</w:t>
      </w:r>
      <w:r w:rsidRPr="000967C5" w:rsidR="00EA7898">
        <w:rPr>
          <w:rFonts w:asciiTheme="minorEastAsia" w:eastAsiaTheme="minorEastAsia" w:hAnsiTheme="minorEastAsia" w:hint="eastAsia"/>
          <w:sz w:val="21"/>
          <w:szCs w:val="21"/>
          <w:lang w:eastAsia="zh-CN"/>
        </w:rPr>
        <w:t>双层</w:t>
      </w:r>
      <w:r w:rsidRPr="000967C5">
        <w:rPr>
          <w:rFonts w:asciiTheme="minorEastAsia" w:eastAsiaTheme="minorEastAsia" w:hAnsiTheme="minorEastAsia" w:hint="eastAsia"/>
          <w:sz w:val="21"/>
          <w:szCs w:val="21"/>
          <w:lang w:eastAsia="zh-CN"/>
        </w:rPr>
        <w:t>不锈钢管制作；排烟管之弯头具有等于3倍管径的最小弯曲半径，以满足柴油发电机组的</w:t>
      </w:r>
      <w:r w:rsidRPr="000967C5">
        <w:rPr>
          <w:rFonts w:asciiTheme="minorEastAsia" w:eastAsiaTheme="minorEastAsia" w:hAnsiTheme="minorEastAsia" w:hint="eastAsia"/>
          <w:sz w:val="21"/>
          <w:szCs w:val="21"/>
          <w:lang w:eastAsia="zh-CN"/>
        </w:rPr>
        <w:t>背压要求</w:t>
      </w:r>
      <w:r w:rsidRPr="000967C5">
        <w:rPr>
          <w:rFonts w:asciiTheme="minorEastAsia" w:eastAsiaTheme="minorEastAsia" w:hAnsiTheme="minorEastAsia" w:hint="eastAsia"/>
          <w:sz w:val="21"/>
          <w:szCs w:val="21"/>
          <w:lang w:eastAsia="zh-CN"/>
        </w:rPr>
        <w:t>为准。</w:t>
      </w:r>
    </w:p>
    <w:p w:rsidR="002D1928" w:rsidRPr="000967C5" w14:paraId="4DA9A766"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为增强低温启动性能，应配置高品质（优质不锈钢加工而成）发动机水套加热器，须保持发动机水套中之水温达20 ℃左右，或按制造厂商建议，以保证当需要时易于起动。加热器须由恒温器控制，当发动机投入运转后即应被切断。</w:t>
      </w:r>
    </w:p>
    <w:p w:rsidR="002D1928" w:rsidRPr="000967C5" w14:paraId="0087E533"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调速系统：电子调速。</w:t>
      </w:r>
    </w:p>
    <w:p w:rsidR="002D1928" w:rsidRPr="000967C5" w14:paraId="787093A4"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全数字化电子监控管理系统技术，保证发动机控制精度高，瞬态特性好。</w:t>
      </w:r>
    </w:p>
    <w:p w:rsidR="002D1928" w:rsidRPr="000967C5" w14:paraId="11DCEAAD"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电子监控管理系统要求采用计算机控制系统。可以实现在启动、负载突变状态下迅速响应，恢复时间短，过冲小，振荡时间短的特性。</w:t>
      </w:r>
    </w:p>
    <w:p w:rsidR="002D1928" w:rsidRPr="000967C5" w14:paraId="6323A3AC" w14:textId="77777777">
      <w:pPr>
        <w:pStyle w:val="ReportLevel3"/>
        <w:keepNext w:val="0"/>
        <w:spacing w:before="120" w:beforeLines="50" w:after="120" w:afterLines="50"/>
        <w:rPr>
          <w:rFonts w:eastAsiaTheme="minorEastAsia"/>
          <w:lang w:val="en-US" w:eastAsia="zh-CN"/>
        </w:rPr>
      </w:pPr>
      <w:r w:rsidRPr="000967C5">
        <w:rPr>
          <w:rFonts w:asciiTheme="minorEastAsia" w:eastAsiaTheme="minorEastAsia" w:hAnsiTheme="minorEastAsia" w:hint="eastAsia"/>
          <w:sz w:val="21"/>
          <w:szCs w:val="21"/>
          <w:lang w:eastAsia="zh-CN"/>
        </w:rPr>
        <w:t>排放符合深圳市环保排放标准。</w:t>
      </w:r>
    </w:p>
    <w:p w:rsidR="002D1928" w:rsidRPr="000967C5" w14:paraId="694AD97E" w14:textId="77777777">
      <w:pPr>
        <w:pStyle w:val="ReportLevel2"/>
        <w:spacing w:before="240" w:beforeLines="100" w:after="240" w:afterLines="100"/>
        <w:rPr>
          <w:rFonts w:asciiTheme="minorEastAsia" w:eastAsiaTheme="minorEastAsia" w:hAnsiTheme="minorEastAsia"/>
          <w:b/>
          <w:bCs/>
          <w:sz w:val="21"/>
          <w:szCs w:val="21"/>
        </w:rPr>
      </w:pPr>
      <w:bookmarkStart w:id="87" w:name="_Toc502854024"/>
      <w:bookmarkStart w:id="88" w:name="_Toc502858076"/>
      <w:bookmarkStart w:id="89" w:name="_Toc502860063"/>
      <w:bookmarkStart w:id="90" w:name="_Toc502861047"/>
      <w:r w:rsidRPr="000967C5">
        <w:rPr>
          <w:rFonts w:asciiTheme="minorEastAsia" w:eastAsiaTheme="minorEastAsia" w:hAnsiTheme="minorEastAsia"/>
          <w:b/>
          <w:bCs/>
          <w:sz w:val="21"/>
          <w:szCs w:val="21"/>
        </w:rPr>
        <w:t>发电机</w:t>
      </w:r>
      <w:bookmarkEnd w:id="87"/>
      <w:bookmarkEnd w:id="88"/>
      <w:bookmarkEnd w:id="89"/>
      <w:bookmarkEnd w:id="90"/>
    </w:p>
    <w:p w:rsidR="002D1928" w:rsidRPr="000967C5" w14:paraId="7786B912"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91" w:name="_Toc502858078"/>
      <w:bookmarkStart w:id="92" w:name="_Toc502854026"/>
      <w:bookmarkStart w:id="93" w:name="_Toc502861049"/>
      <w:bookmarkStart w:id="94" w:name="_Toc502860065"/>
      <w:r w:rsidRPr="000967C5">
        <w:rPr>
          <w:rFonts w:asciiTheme="minorEastAsia" w:eastAsiaTheme="minorEastAsia" w:hAnsiTheme="minorEastAsia" w:hint="eastAsia"/>
          <w:sz w:val="21"/>
          <w:szCs w:val="21"/>
          <w:lang w:eastAsia="zh-CN"/>
        </w:rPr>
        <w:t>发电机的设计和制造须按国标规定进行。</w:t>
      </w:r>
    </w:p>
    <w:p w:rsidR="002D1928" w:rsidRPr="000967C5" w14:paraId="0676E2E0" w14:textId="21E15BFA">
      <w:pPr>
        <w:pStyle w:val="ReportLevel3"/>
        <w:keepNext w:val="0"/>
        <w:numPr>
          <w:ilvl w:val="0"/>
          <w:numId w:val="0"/>
        </w:numPr>
        <w:spacing w:before="120" w:beforeLines="50" w:after="120" w:afterLines="50"/>
        <w:ind w:left="1077"/>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发电机的</w:t>
      </w:r>
      <w:r w:rsidRPr="000967C5">
        <w:rPr>
          <w:rFonts w:asciiTheme="minorEastAsia" w:eastAsiaTheme="minorEastAsia" w:hAnsiTheme="minorEastAsia" w:hint="eastAsia"/>
          <w:sz w:val="21"/>
          <w:szCs w:val="21"/>
          <w:lang w:val="en-US" w:eastAsia="zh-CN"/>
        </w:rPr>
        <w:t>性能等级应不低于《</w:t>
      </w:r>
      <w:r w:rsidRPr="000967C5">
        <w:rPr>
          <w:rFonts w:asciiTheme="minorEastAsia" w:eastAsiaTheme="minorEastAsia" w:hAnsiTheme="minorEastAsia" w:hint="eastAsia"/>
          <w:sz w:val="21"/>
          <w:szCs w:val="21"/>
          <w:lang w:eastAsia="zh-CN"/>
        </w:rPr>
        <w:t>往复式内燃机驱动的交流发电机组</w:t>
      </w:r>
      <w:r w:rsidRPr="000967C5">
        <w:rPr>
          <w:rFonts w:asciiTheme="minorEastAsia" w:eastAsiaTheme="minorEastAsia" w:hAnsiTheme="minorEastAsia"/>
          <w:sz w:val="21"/>
          <w:szCs w:val="21"/>
          <w:lang w:eastAsia="zh-CN"/>
        </w:rPr>
        <w:t xml:space="preserve"> </w:t>
      </w:r>
      <w:r w:rsidRPr="000967C5">
        <w:rPr>
          <w:rFonts w:asciiTheme="minorEastAsia" w:eastAsiaTheme="minorEastAsia" w:hAnsiTheme="minorEastAsia" w:hint="eastAsia"/>
          <w:sz w:val="21"/>
          <w:szCs w:val="21"/>
          <w:lang w:eastAsia="zh-CN"/>
        </w:rPr>
        <w:t>第</w:t>
      </w:r>
      <w:r w:rsidRPr="000967C5">
        <w:rPr>
          <w:rFonts w:asciiTheme="minorEastAsia" w:eastAsiaTheme="minorEastAsia" w:hAnsiTheme="minorEastAsia"/>
          <w:sz w:val="21"/>
          <w:szCs w:val="21"/>
          <w:lang w:eastAsia="zh-CN"/>
        </w:rPr>
        <w:t>5</w:t>
      </w:r>
      <w:r w:rsidRPr="000967C5">
        <w:rPr>
          <w:rFonts w:asciiTheme="minorEastAsia" w:eastAsiaTheme="minorEastAsia" w:hAnsiTheme="minorEastAsia" w:hint="eastAsia"/>
          <w:sz w:val="21"/>
          <w:szCs w:val="21"/>
          <w:lang w:eastAsia="zh-CN"/>
        </w:rPr>
        <w:t>部分：发电机组》GBT 2820.5-200</w:t>
      </w:r>
      <w:r w:rsidRPr="000967C5">
        <w:rPr>
          <w:rFonts w:asciiTheme="minorEastAsia" w:eastAsiaTheme="minorEastAsia" w:hAnsiTheme="minorEastAsia" w:hint="eastAsia"/>
          <w:sz w:val="21"/>
          <w:szCs w:val="21"/>
          <w:lang w:val="en-US" w:eastAsia="zh-CN"/>
        </w:rPr>
        <w:t>9的G2级。</w:t>
      </w:r>
    </w:p>
    <w:p w:rsidR="002D1928" w:rsidRPr="000967C5" w14:paraId="661E8C51"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发电机须为无电刷型，其旋转磁场由交流</w:t>
      </w:r>
      <w:r w:rsidRPr="000967C5">
        <w:rPr>
          <w:rFonts w:asciiTheme="minorEastAsia" w:eastAsiaTheme="minorEastAsia" w:hAnsiTheme="minorEastAsia"/>
          <w:sz w:val="21"/>
          <w:szCs w:val="21"/>
          <w:lang w:eastAsia="zh-CN"/>
        </w:rPr>
        <w:t>激磁机</w:t>
      </w:r>
      <w:r w:rsidRPr="000967C5">
        <w:rPr>
          <w:rFonts w:asciiTheme="minorEastAsia" w:eastAsiaTheme="minorEastAsia" w:hAnsiTheme="minorEastAsia"/>
          <w:sz w:val="21"/>
          <w:szCs w:val="21"/>
          <w:lang w:eastAsia="zh-CN"/>
        </w:rPr>
        <w:t>和旋转整流装置激磁，并由以下规定之固态自动电压调节器控制励磁。</w:t>
      </w:r>
      <w:bookmarkEnd w:id="91"/>
      <w:bookmarkEnd w:id="92"/>
      <w:bookmarkEnd w:id="93"/>
      <w:bookmarkEnd w:id="94"/>
    </w:p>
    <w:p w:rsidR="002D1928" w:rsidRPr="000967C5" w14:paraId="3CF9FFEE"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95" w:name="_Toc502858079"/>
      <w:bookmarkStart w:id="96" w:name="_Toc502854027"/>
      <w:bookmarkStart w:id="97" w:name="_Toc502861050"/>
      <w:bookmarkStart w:id="98" w:name="_Toc502860066"/>
      <w:r w:rsidRPr="000967C5">
        <w:rPr>
          <w:rFonts w:asciiTheme="minorEastAsia" w:eastAsiaTheme="minorEastAsia" w:hAnsiTheme="minorEastAsia"/>
          <w:sz w:val="21"/>
          <w:szCs w:val="21"/>
          <w:lang w:eastAsia="zh-CN"/>
        </w:rPr>
        <w:t>发电机的额定值须适用于</w:t>
      </w:r>
      <w:r w:rsidRPr="000967C5">
        <w:rPr>
          <w:rFonts w:asciiTheme="minorEastAsia" w:eastAsiaTheme="minorEastAsia" w:hAnsiTheme="minorEastAsia" w:hint="eastAsia"/>
          <w:sz w:val="21"/>
          <w:szCs w:val="21"/>
          <w:u w:val="single"/>
          <w:lang w:eastAsia="zh-CN"/>
        </w:rPr>
        <w:t>深圳</w:t>
      </w:r>
      <w:r w:rsidRPr="000967C5">
        <w:rPr>
          <w:rFonts w:asciiTheme="minorEastAsia" w:eastAsiaTheme="minorEastAsia" w:hAnsiTheme="minorEastAsia"/>
          <w:sz w:val="21"/>
          <w:szCs w:val="21"/>
          <w:u w:val="single"/>
          <w:lang w:eastAsia="zh-CN"/>
        </w:rPr>
        <w:t>市</w:t>
      </w:r>
      <w:r w:rsidRPr="000967C5">
        <w:rPr>
          <w:rFonts w:asciiTheme="minorEastAsia" w:eastAsiaTheme="minorEastAsia" w:hAnsiTheme="minorEastAsia"/>
          <w:sz w:val="21"/>
          <w:szCs w:val="21"/>
          <w:lang w:eastAsia="zh-CN"/>
        </w:rPr>
        <w:t>气候条件，并加以特殊的浸渍处理以适合</w:t>
      </w:r>
      <w:r w:rsidRPr="000967C5">
        <w:rPr>
          <w:rFonts w:asciiTheme="minorEastAsia" w:eastAsiaTheme="minorEastAsia" w:hAnsiTheme="minorEastAsia"/>
          <w:sz w:val="21"/>
          <w:szCs w:val="21"/>
          <w:lang w:eastAsia="zh-CN"/>
        </w:rPr>
        <w:t>湿热带</w:t>
      </w:r>
      <w:r w:rsidRPr="000967C5">
        <w:rPr>
          <w:rFonts w:asciiTheme="minorEastAsia" w:eastAsiaTheme="minorEastAsia" w:hAnsiTheme="minorEastAsia"/>
          <w:sz w:val="21"/>
          <w:szCs w:val="21"/>
          <w:lang w:eastAsia="zh-CN"/>
        </w:rPr>
        <w:t>工作制。</w:t>
      </w:r>
      <w:bookmarkEnd w:id="95"/>
      <w:bookmarkEnd w:id="96"/>
      <w:bookmarkEnd w:id="97"/>
      <w:bookmarkEnd w:id="98"/>
    </w:p>
    <w:p w:rsidR="002D1928" w:rsidRPr="000967C5" w14:paraId="5F10C6D8" w14:textId="77777777">
      <w:pPr>
        <w:pStyle w:val="ReportLevel3"/>
        <w:spacing w:before="120" w:beforeLines="50" w:after="120" w:afterLines="50"/>
        <w:rPr>
          <w:rFonts w:ascii="宋体" w:hAnsi="宋体"/>
          <w:sz w:val="21"/>
          <w:szCs w:val="21"/>
          <w:lang w:eastAsia="zh-CN"/>
        </w:rPr>
      </w:pPr>
      <w:bookmarkStart w:id="99" w:name="_Toc502860067"/>
      <w:bookmarkStart w:id="100" w:name="_Toc502854028"/>
      <w:bookmarkStart w:id="101" w:name="_Toc502858080"/>
      <w:bookmarkStart w:id="102" w:name="_Toc502861051"/>
      <w:r w:rsidRPr="000967C5">
        <w:rPr>
          <w:rFonts w:asciiTheme="minorEastAsia" w:eastAsiaTheme="minorEastAsia" w:hAnsiTheme="minorEastAsia"/>
          <w:sz w:val="21"/>
          <w:szCs w:val="21"/>
          <w:lang w:eastAsia="zh-CN"/>
        </w:rPr>
        <w:t>转子和定子须具有F级绝缘。</w:t>
      </w:r>
      <w:bookmarkEnd w:id="99"/>
      <w:bookmarkEnd w:id="100"/>
      <w:bookmarkEnd w:id="101"/>
      <w:bookmarkEnd w:id="102"/>
    </w:p>
    <w:p w:rsidR="002D1928" w:rsidRPr="000967C5" w14:paraId="21A9428F"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03" w:name="_Toc502861052"/>
      <w:bookmarkStart w:id="104" w:name="_Toc502858081"/>
      <w:bookmarkStart w:id="105" w:name="_Toc502860068"/>
      <w:bookmarkStart w:id="106" w:name="_Toc502854029"/>
      <w:r w:rsidRPr="000967C5">
        <w:rPr>
          <w:rFonts w:asciiTheme="minorEastAsia" w:eastAsiaTheme="minorEastAsia" w:hAnsiTheme="minorEastAsia"/>
          <w:sz w:val="21"/>
          <w:szCs w:val="21"/>
          <w:lang w:eastAsia="zh-CN"/>
        </w:rPr>
        <w:t>发电机之特性必须与发动机之转矩特性相适应，以使发电机在满载时，能充分利用发动机功率而不致超载。</w:t>
      </w:r>
      <w:bookmarkEnd w:id="103"/>
      <w:bookmarkEnd w:id="104"/>
      <w:bookmarkEnd w:id="105"/>
      <w:bookmarkEnd w:id="106"/>
    </w:p>
    <w:p w:rsidR="002D1928" w:rsidRPr="000967C5" w14:paraId="756B259D"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07" w:name="_Toc502861053"/>
      <w:bookmarkStart w:id="108" w:name="_Toc502854030"/>
      <w:bookmarkStart w:id="109" w:name="_Toc502860069"/>
      <w:bookmarkStart w:id="110" w:name="_Toc502858082"/>
      <w:r w:rsidRPr="000967C5">
        <w:rPr>
          <w:rFonts w:asciiTheme="minorEastAsia" w:eastAsiaTheme="minorEastAsia" w:hAnsiTheme="minorEastAsia"/>
          <w:sz w:val="21"/>
          <w:szCs w:val="21"/>
          <w:lang w:eastAsia="zh-CN"/>
        </w:rPr>
        <w:t>发电机应能承受高于同步值20%的超速运转，并有超速自动保护停机功能。</w:t>
      </w:r>
      <w:bookmarkEnd w:id="107"/>
      <w:bookmarkEnd w:id="108"/>
      <w:bookmarkEnd w:id="109"/>
      <w:bookmarkEnd w:id="110"/>
    </w:p>
    <w:p w:rsidR="002D1928" w:rsidRPr="000967C5" w14:paraId="2A8EE4AF"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11" w:name="_Toc502860070"/>
      <w:bookmarkStart w:id="112" w:name="_Toc502854031"/>
      <w:bookmarkStart w:id="113" w:name="_Toc502858083"/>
      <w:bookmarkStart w:id="114" w:name="_Toc502861054"/>
      <w:r w:rsidRPr="000967C5">
        <w:rPr>
          <w:rFonts w:asciiTheme="minorEastAsia" w:eastAsiaTheme="minorEastAsia" w:hAnsiTheme="minorEastAsia"/>
          <w:sz w:val="21"/>
          <w:szCs w:val="21"/>
          <w:lang w:eastAsia="zh-CN"/>
        </w:rPr>
        <w:t>最大瞬间压降为20%。</w:t>
      </w:r>
      <w:bookmarkEnd w:id="111"/>
      <w:bookmarkEnd w:id="112"/>
      <w:bookmarkEnd w:id="113"/>
      <w:bookmarkEnd w:id="114"/>
    </w:p>
    <w:p w:rsidR="002D1928" w:rsidRPr="000967C5" w14:paraId="46E7CFBC"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15" w:name="_Toc502860071"/>
      <w:bookmarkStart w:id="116" w:name="_Toc502854032"/>
      <w:bookmarkStart w:id="117" w:name="_Toc502861055"/>
      <w:bookmarkStart w:id="118" w:name="_Toc502858084"/>
      <w:r w:rsidRPr="000967C5">
        <w:rPr>
          <w:rFonts w:asciiTheme="minorEastAsia" w:eastAsiaTheme="minorEastAsia" w:hAnsiTheme="minorEastAsia"/>
          <w:sz w:val="21"/>
          <w:szCs w:val="21"/>
          <w:lang w:eastAsia="zh-CN"/>
        </w:rPr>
        <w:t>发电机须能承担某一相电流大于其它</w:t>
      </w:r>
      <w:r w:rsidRPr="000967C5">
        <w:rPr>
          <w:rFonts w:asciiTheme="minorEastAsia" w:eastAsiaTheme="minorEastAsia" w:hAnsiTheme="minorEastAsia"/>
          <w:sz w:val="21"/>
          <w:szCs w:val="21"/>
          <w:lang w:eastAsia="zh-CN"/>
        </w:rPr>
        <w:t>两相达</w:t>
      </w:r>
      <w:r w:rsidRPr="000967C5">
        <w:rPr>
          <w:rFonts w:asciiTheme="minorEastAsia" w:eastAsiaTheme="minorEastAsia" w:hAnsiTheme="minorEastAsia"/>
          <w:sz w:val="21"/>
          <w:szCs w:val="21"/>
          <w:lang w:eastAsia="zh-CN"/>
        </w:rPr>
        <w:t>60%之不平衡负荷。</w:t>
      </w:r>
      <w:bookmarkEnd w:id="115"/>
      <w:bookmarkEnd w:id="116"/>
      <w:bookmarkEnd w:id="117"/>
      <w:bookmarkEnd w:id="118"/>
    </w:p>
    <w:p w:rsidR="002D1928" w:rsidRPr="000967C5" w14:paraId="4619480C" w14:textId="022E58A6">
      <w:pPr>
        <w:pStyle w:val="ReportLevel3"/>
        <w:keepNext w:val="0"/>
        <w:spacing w:before="120" w:beforeLines="50" w:after="120" w:afterLines="50"/>
        <w:rPr>
          <w:rFonts w:asciiTheme="minorEastAsia" w:eastAsiaTheme="minorEastAsia" w:hAnsiTheme="minorEastAsia"/>
          <w:sz w:val="21"/>
          <w:szCs w:val="21"/>
          <w:lang w:eastAsia="zh-CN"/>
        </w:rPr>
      </w:pPr>
      <w:bookmarkStart w:id="119" w:name="_Toc502854033"/>
      <w:bookmarkStart w:id="120" w:name="_Toc502860072"/>
      <w:bookmarkStart w:id="121" w:name="_Toc502861056"/>
      <w:bookmarkStart w:id="122" w:name="_Toc502858085"/>
      <w:r w:rsidRPr="000967C5">
        <w:rPr>
          <w:rFonts w:asciiTheme="minorEastAsia" w:eastAsiaTheme="minorEastAsia" w:hAnsiTheme="minorEastAsia"/>
          <w:sz w:val="21"/>
          <w:szCs w:val="21"/>
          <w:lang w:eastAsia="zh-CN"/>
        </w:rPr>
        <w:t>发电机须为防滴式，符合IP22</w:t>
      </w:r>
      <w:r w:rsidRPr="000967C5">
        <w:rPr>
          <w:rFonts w:asciiTheme="minorEastAsia" w:eastAsiaTheme="minorEastAsia" w:hAnsiTheme="minorEastAsia" w:hint="eastAsia"/>
          <w:sz w:val="21"/>
          <w:szCs w:val="21"/>
          <w:lang w:eastAsia="zh-CN"/>
        </w:rPr>
        <w:t>及以上</w:t>
      </w:r>
      <w:r w:rsidRPr="000967C5">
        <w:rPr>
          <w:rFonts w:asciiTheme="minorEastAsia" w:eastAsiaTheme="minorEastAsia" w:hAnsiTheme="minorEastAsia"/>
          <w:sz w:val="21"/>
          <w:szCs w:val="21"/>
          <w:lang w:eastAsia="zh-CN"/>
        </w:rPr>
        <w:t>防护等级。</w:t>
      </w:r>
      <w:bookmarkEnd w:id="119"/>
      <w:bookmarkEnd w:id="120"/>
      <w:bookmarkEnd w:id="121"/>
      <w:bookmarkEnd w:id="122"/>
    </w:p>
    <w:p w:rsidR="002D1928" w:rsidRPr="000967C5" w14:paraId="52EDCBA6"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23" w:name="_Toc502854034"/>
      <w:bookmarkStart w:id="124" w:name="_Toc502861057"/>
      <w:bookmarkStart w:id="125" w:name="_Toc502860073"/>
      <w:bookmarkStart w:id="126" w:name="_Toc502858086"/>
      <w:r w:rsidRPr="000967C5">
        <w:rPr>
          <w:rFonts w:asciiTheme="minorEastAsia" w:eastAsiaTheme="minorEastAsia" w:hAnsiTheme="minorEastAsia"/>
          <w:sz w:val="21"/>
          <w:szCs w:val="21"/>
          <w:lang w:eastAsia="zh-CN"/>
        </w:rPr>
        <w:t>发电机须内装</w:t>
      </w:r>
      <w:r w:rsidRPr="000967C5">
        <w:rPr>
          <w:rFonts w:asciiTheme="minorEastAsia" w:eastAsiaTheme="minorEastAsia" w:hAnsiTheme="minorEastAsia"/>
          <w:sz w:val="21"/>
          <w:szCs w:val="21"/>
          <w:lang w:eastAsia="zh-CN"/>
        </w:rPr>
        <w:t>由恒温器控制的加热器。由控制屏上的手动隔离开关控制。当发电机运行时须将加热器切断。</w:t>
      </w:r>
      <w:bookmarkEnd w:id="123"/>
      <w:bookmarkEnd w:id="124"/>
      <w:bookmarkEnd w:id="125"/>
      <w:bookmarkEnd w:id="126"/>
    </w:p>
    <w:p w:rsidR="002D1928" w:rsidRPr="000967C5" w14:paraId="07AA909A"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27" w:name="_Toc502854035"/>
      <w:bookmarkStart w:id="128" w:name="_Toc502861058"/>
      <w:bookmarkStart w:id="129" w:name="_Toc502858087"/>
      <w:bookmarkStart w:id="130" w:name="_Toc502860074"/>
      <w:r w:rsidRPr="000967C5">
        <w:rPr>
          <w:rFonts w:asciiTheme="minorEastAsia" w:eastAsiaTheme="minorEastAsia" w:hAnsiTheme="minorEastAsia"/>
          <w:sz w:val="21"/>
          <w:szCs w:val="21"/>
          <w:lang w:eastAsia="zh-CN"/>
        </w:rPr>
        <w:t>发电机须能承受在其输出端短路达3秒钟之短路电流而不致损坏。</w:t>
      </w:r>
      <w:bookmarkEnd w:id="127"/>
      <w:bookmarkEnd w:id="128"/>
      <w:bookmarkEnd w:id="129"/>
      <w:bookmarkEnd w:id="130"/>
    </w:p>
    <w:p w:rsidR="002D1928" w:rsidRPr="000967C5" w14:paraId="357A09A3" w14:textId="133C8277">
      <w:pPr>
        <w:pStyle w:val="ReportLevel3"/>
        <w:keepNext w:val="0"/>
        <w:spacing w:before="120" w:beforeLines="50" w:after="120" w:afterLines="50"/>
        <w:rPr>
          <w:rFonts w:asciiTheme="minorEastAsia" w:eastAsiaTheme="minorEastAsia" w:hAnsiTheme="minorEastAsia"/>
          <w:sz w:val="21"/>
          <w:szCs w:val="21"/>
          <w:lang w:eastAsia="zh-CN"/>
        </w:rPr>
      </w:pPr>
      <w:bookmarkStart w:id="131" w:name="_Toc502860075"/>
      <w:bookmarkStart w:id="132" w:name="_Toc502861059"/>
      <w:bookmarkStart w:id="133" w:name="_Toc502858088"/>
      <w:bookmarkStart w:id="134" w:name="_Toc502854036"/>
      <w:r w:rsidRPr="000967C5">
        <w:rPr>
          <w:rFonts w:asciiTheme="minorEastAsia" w:eastAsiaTheme="minorEastAsia" w:hAnsiTheme="minorEastAsia"/>
          <w:sz w:val="21"/>
          <w:szCs w:val="21"/>
          <w:lang w:eastAsia="zh-CN"/>
        </w:rPr>
        <w:t>发电机在发电机房运作时，承包商需负责使发电机房周边处量度的噪音量低至符合</w:t>
      </w:r>
      <w:r w:rsidRPr="000967C5">
        <w:rPr>
          <w:rFonts w:asciiTheme="minorEastAsia" w:eastAsiaTheme="minorEastAsia" w:hAnsiTheme="minorEastAsia" w:hint="eastAsia"/>
          <w:sz w:val="21"/>
          <w:szCs w:val="21"/>
          <w:u w:val="single"/>
          <w:lang w:eastAsia="zh-CN"/>
        </w:rPr>
        <w:t>深圳</w:t>
      </w:r>
      <w:r w:rsidRPr="000967C5">
        <w:rPr>
          <w:rFonts w:asciiTheme="minorEastAsia" w:eastAsiaTheme="minorEastAsia" w:hAnsiTheme="minorEastAsia"/>
          <w:sz w:val="21"/>
          <w:szCs w:val="21"/>
          <w:u w:val="single"/>
          <w:lang w:eastAsia="zh-CN"/>
        </w:rPr>
        <w:t>市</w:t>
      </w:r>
      <w:r w:rsidRPr="000967C5">
        <w:rPr>
          <w:rFonts w:asciiTheme="minorEastAsia" w:eastAsiaTheme="minorEastAsia" w:hAnsiTheme="minorEastAsia"/>
          <w:sz w:val="21"/>
          <w:szCs w:val="21"/>
          <w:lang w:eastAsia="zh-CN"/>
        </w:rPr>
        <w:t>环保部门的要求。</w:t>
      </w:r>
      <w:bookmarkEnd w:id="131"/>
      <w:bookmarkEnd w:id="132"/>
      <w:bookmarkEnd w:id="133"/>
      <w:bookmarkEnd w:id="134"/>
    </w:p>
    <w:p w:rsidR="00EA7898" w:rsidRPr="000967C5" w:rsidP="00EA7898" w14:paraId="1365DC69" w14:textId="77777777">
      <w:pPr>
        <w:rPr>
          <w:rFonts w:eastAsiaTheme="minorEastAsia"/>
          <w:lang w:eastAsia="zh-CN"/>
        </w:rPr>
        <w:sectPr>
          <w:footerReference w:type="default" r:id="rId7"/>
          <w:type w:val="nextPage"/>
          <w:pgSz w:w="11906" w:h="16838"/>
          <w:pgMar w:top="1814" w:right="1418" w:bottom="1418" w:left="1814" w:header="851" w:footer="992" w:gutter="0"/>
          <w:pgNumType w:start="3"/>
          <w:cols w:space="425"/>
          <w:titlePg w:val="0"/>
          <w:docGrid w:linePitch="312"/>
        </w:sectPr>
      </w:pPr>
    </w:p>
    <w:p w:rsidR="002D1928" w:rsidRPr="000967C5" w14:paraId="25D073B4" w14:textId="77777777">
      <w:pPr>
        <w:pStyle w:val="Normal4"/>
        <w:ind w:left="1077" w:firstLine="2100" w:firstLineChars="1000"/>
        <w:rPr>
          <w:rFonts w:ascii="宋体" w:hAnsi="宋体"/>
          <w:kern w:val="2"/>
          <w:sz w:val="21"/>
          <w:szCs w:val="21"/>
        </w:rPr>
      </w:pPr>
      <w:r w:rsidRPr="000967C5">
        <w:rPr>
          <w:rFonts w:ascii="宋体" w:hAnsi="宋体" w:hint="eastAsia"/>
          <w:kern w:val="2"/>
          <w:sz w:val="21"/>
          <w:szCs w:val="21"/>
        </w:rPr>
        <w:t>城市区域环境噪声标准（dBA)</w:t>
      </w:r>
    </w:p>
    <w:tbl>
      <w:tblPr>
        <w:tblStyle w:val="200"/>
        <w:tblW w:w="4173" w:type="pct"/>
        <w:tblInd w:w="1159" w:type="dxa"/>
        <w:tblLook w:val="04A0"/>
      </w:tblPr>
      <w:tblGrid>
        <w:gridCol w:w="671"/>
        <w:gridCol w:w="3127"/>
        <w:gridCol w:w="1277"/>
        <w:gridCol w:w="2156"/>
      </w:tblGrid>
      <w:tr w14:paraId="5BF8F55F" w14:textId="77777777" w:rsidTr="005F2C2B">
        <w:tblPrEx>
          <w:tblW w:w="4173" w:type="pct"/>
          <w:tblInd w:w="1159" w:type="dxa"/>
          <w:tblLook w:val="04A0"/>
        </w:tblPrEx>
        <w:tc>
          <w:tcPr>
            <w:tcW w:w="464" w:type="pct"/>
          </w:tcPr>
          <w:p w:rsidR="002D1928" w:rsidRPr="000967C5" w14:paraId="48F390CA" w14:textId="77777777">
            <w:pPr>
              <w:pStyle w:val="Normal4"/>
              <w:jc w:val="center"/>
              <w:rPr>
                <w:rFonts w:ascii="宋体" w:hAnsi="宋体"/>
                <w:b/>
                <w:szCs w:val="21"/>
              </w:rPr>
            </w:pPr>
            <w:r w:rsidRPr="000967C5">
              <w:rPr>
                <w:rFonts w:ascii="宋体" w:hAnsi="宋体" w:hint="eastAsia"/>
                <w:b/>
                <w:szCs w:val="21"/>
              </w:rPr>
              <w:t>类别</w:t>
            </w:r>
          </w:p>
        </w:tc>
        <w:tc>
          <w:tcPr>
            <w:tcW w:w="2162" w:type="pct"/>
          </w:tcPr>
          <w:p w:rsidR="002D1928" w:rsidRPr="000967C5" w14:paraId="43066B67" w14:textId="77777777">
            <w:pPr>
              <w:pStyle w:val="Normal4"/>
              <w:jc w:val="center"/>
              <w:rPr>
                <w:rFonts w:ascii="宋体" w:hAnsi="宋体"/>
                <w:b/>
                <w:szCs w:val="21"/>
              </w:rPr>
            </w:pPr>
            <w:r w:rsidRPr="000967C5">
              <w:rPr>
                <w:rFonts w:ascii="宋体" w:hAnsi="宋体" w:hint="eastAsia"/>
                <w:b/>
                <w:szCs w:val="21"/>
              </w:rPr>
              <w:t>使用区域</w:t>
            </w:r>
          </w:p>
        </w:tc>
        <w:tc>
          <w:tcPr>
            <w:tcW w:w="883" w:type="pct"/>
          </w:tcPr>
          <w:p w:rsidR="002D1928" w:rsidRPr="000967C5" w14:paraId="685315F9" w14:textId="77777777">
            <w:pPr>
              <w:pStyle w:val="Normal4"/>
              <w:jc w:val="center"/>
              <w:rPr>
                <w:rFonts w:ascii="宋体" w:hAnsi="宋体"/>
                <w:b/>
                <w:szCs w:val="21"/>
              </w:rPr>
            </w:pPr>
            <w:r w:rsidRPr="000967C5">
              <w:rPr>
                <w:rFonts w:ascii="宋体" w:hAnsi="宋体" w:hint="eastAsia"/>
                <w:b/>
                <w:szCs w:val="21"/>
              </w:rPr>
              <w:t>昼间</w:t>
            </w:r>
          </w:p>
        </w:tc>
        <w:tc>
          <w:tcPr>
            <w:tcW w:w="1491" w:type="pct"/>
          </w:tcPr>
          <w:p w:rsidR="002D1928" w:rsidRPr="000967C5" w14:paraId="567EDD34" w14:textId="77777777">
            <w:pPr>
              <w:pStyle w:val="Normal4"/>
              <w:jc w:val="center"/>
              <w:rPr>
                <w:rFonts w:ascii="宋体" w:hAnsi="宋体"/>
                <w:b/>
                <w:szCs w:val="21"/>
              </w:rPr>
            </w:pPr>
            <w:r w:rsidRPr="000967C5">
              <w:rPr>
                <w:rFonts w:ascii="宋体" w:hAnsi="宋体" w:hint="eastAsia"/>
                <w:b/>
                <w:szCs w:val="21"/>
              </w:rPr>
              <w:t>夜间</w:t>
            </w:r>
          </w:p>
        </w:tc>
      </w:tr>
      <w:tr w14:paraId="2884717A" w14:textId="77777777" w:rsidTr="005F2C2B">
        <w:tblPrEx>
          <w:tblW w:w="4173" w:type="pct"/>
          <w:tblInd w:w="1159" w:type="dxa"/>
          <w:tblLook w:val="04A0"/>
        </w:tblPrEx>
        <w:tc>
          <w:tcPr>
            <w:tcW w:w="464" w:type="pct"/>
          </w:tcPr>
          <w:p w:rsidR="002D1928" w:rsidRPr="000967C5" w14:paraId="78EA2369" w14:textId="77777777">
            <w:pPr>
              <w:pStyle w:val="Normal4"/>
              <w:jc w:val="center"/>
              <w:rPr>
                <w:rFonts w:ascii="宋体" w:hAnsi="宋体"/>
                <w:szCs w:val="21"/>
              </w:rPr>
            </w:pPr>
            <w:r w:rsidRPr="000967C5">
              <w:rPr>
                <w:rFonts w:ascii="宋体" w:hAnsi="宋体" w:hint="eastAsia"/>
                <w:szCs w:val="21"/>
              </w:rPr>
              <w:t>0</w:t>
            </w:r>
          </w:p>
        </w:tc>
        <w:tc>
          <w:tcPr>
            <w:tcW w:w="2162" w:type="pct"/>
          </w:tcPr>
          <w:p w:rsidR="002D1928" w:rsidRPr="000967C5" w14:paraId="495D748C" w14:textId="77777777">
            <w:pPr>
              <w:pStyle w:val="Normal4"/>
              <w:jc w:val="center"/>
              <w:rPr>
                <w:rFonts w:ascii="宋体" w:hAnsi="宋体"/>
                <w:szCs w:val="21"/>
              </w:rPr>
            </w:pPr>
            <w:r w:rsidRPr="000967C5">
              <w:rPr>
                <w:rFonts w:ascii="宋体" w:hAnsi="宋体" w:hint="eastAsia"/>
                <w:szCs w:val="21"/>
              </w:rPr>
              <w:t>疗养、高级别墅、高级宾馆区</w:t>
            </w:r>
          </w:p>
        </w:tc>
        <w:tc>
          <w:tcPr>
            <w:tcW w:w="883" w:type="pct"/>
          </w:tcPr>
          <w:p w:rsidR="002D1928" w:rsidRPr="000967C5" w14:paraId="214CED03" w14:textId="77777777">
            <w:pPr>
              <w:pStyle w:val="Normal4"/>
              <w:jc w:val="center"/>
              <w:rPr>
                <w:rFonts w:ascii="宋体" w:hAnsi="宋体"/>
                <w:szCs w:val="21"/>
              </w:rPr>
            </w:pPr>
            <w:r w:rsidRPr="000967C5">
              <w:rPr>
                <w:rFonts w:ascii="宋体" w:hAnsi="宋体" w:hint="eastAsia"/>
                <w:szCs w:val="21"/>
              </w:rPr>
              <w:t>50</w:t>
            </w:r>
          </w:p>
        </w:tc>
        <w:tc>
          <w:tcPr>
            <w:tcW w:w="1491" w:type="pct"/>
          </w:tcPr>
          <w:p w:rsidR="002D1928" w:rsidRPr="000967C5" w14:paraId="1F2D50E0" w14:textId="77777777">
            <w:pPr>
              <w:pStyle w:val="Normal4"/>
              <w:jc w:val="center"/>
              <w:rPr>
                <w:rFonts w:ascii="宋体" w:hAnsi="宋体"/>
                <w:szCs w:val="21"/>
              </w:rPr>
            </w:pPr>
            <w:r w:rsidRPr="000967C5">
              <w:rPr>
                <w:rFonts w:ascii="宋体" w:hAnsi="宋体" w:hint="eastAsia"/>
                <w:szCs w:val="21"/>
              </w:rPr>
              <w:t>40</w:t>
            </w:r>
          </w:p>
        </w:tc>
      </w:tr>
      <w:tr w14:paraId="0B3BBADA" w14:textId="77777777" w:rsidTr="005F2C2B">
        <w:tblPrEx>
          <w:tblW w:w="4173" w:type="pct"/>
          <w:tblInd w:w="1159" w:type="dxa"/>
          <w:tblLook w:val="04A0"/>
        </w:tblPrEx>
        <w:tc>
          <w:tcPr>
            <w:tcW w:w="464" w:type="pct"/>
          </w:tcPr>
          <w:p w:rsidR="002D1928" w:rsidRPr="000967C5" w14:paraId="7C020F76" w14:textId="77777777">
            <w:pPr>
              <w:pStyle w:val="Normal4"/>
              <w:jc w:val="center"/>
              <w:rPr>
                <w:rFonts w:ascii="宋体" w:hAnsi="宋体"/>
                <w:szCs w:val="21"/>
              </w:rPr>
            </w:pPr>
            <w:r w:rsidRPr="000967C5">
              <w:rPr>
                <w:rFonts w:ascii="宋体" w:hAnsi="宋体" w:hint="eastAsia"/>
                <w:szCs w:val="21"/>
              </w:rPr>
              <w:t>1</w:t>
            </w:r>
          </w:p>
        </w:tc>
        <w:tc>
          <w:tcPr>
            <w:tcW w:w="2162" w:type="pct"/>
          </w:tcPr>
          <w:p w:rsidR="002D1928" w:rsidRPr="000967C5" w14:paraId="76182045" w14:textId="77777777">
            <w:pPr>
              <w:pStyle w:val="Normal4"/>
              <w:jc w:val="center"/>
              <w:rPr>
                <w:rFonts w:ascii="宋体" w:hAnsi="宋体"/>
                <w:szCs w:val="21"/>
              </w:rPr>
            </w:pPr>
            <w:r w:rsidRPr="000967C5">
              <w:rPr>
                <w:rFonts w:ascii="宋体" w:hAnsi="宋体" w:hint="eastAsia"/>
                <w:szCs w:val="21"/>
              </w:rPr>
              <w:t>以居住、文教机关为主的区域</w:t>
            </w:r>
          </w:p>
        </w:tc>
        <w:tc>
          <w:tcPr>
            <w:tcW w:w="883" w:type="pct"/>
          </w:tcPr>
          <w:p w:rsidR="002D1928" w:rsidRPr="000967C5" w14:paraId="169AE164" w14:textId="77777777">
            <w:pPr>
              <w:pStyle w:val="Normal4"/>
              <w:jc w:val="center"/>
              <w:rPr>
                <w:rFonts w:ascii="宋体" w:hAnsi="宋体"/>
                <w:szCs w:val="21"/>
              </w:rPr>
            </w:pPr>
            <w:r w:rsidRPr="000967C5">
              <w:rPr>
                <w:rFonts w:ascii="宋体" w:hAnsi="宋体" w:hint="eastAsia"/>
                <w:szCs w:val="21"/>
              </w:rPr>
              <w:t>55</w:t>
            </w:r>
          </w:p>
        </w:tc>
        <w:tc>
          <w:tcPr>
            <w:tcW w:w="1491" w:type="pct"/>
          </w:tcPr>
          <w:p w:rsidR="002D1928" w:rsidRPr="000967C5" w14:paraId="4EC58993" w14:textId="77777777">
            <w:pPr>
              <w:pStyle w:val="Normal4"/>
              <w:jc w:val="center"/>
              <w:rPr>
                <w:rFonts w:ascii="宋体" w:hAnsi="宋体"/>
                <w:szCs w:val="21"/>
              </w:rPr>
            </w:pPr>
            <w:r w:rsidRPr="000967C5">
              <w:rPr>
                <w:rFonts w:ascii="宋体" w:hAnsi="宋体" w:hint="eastAsia"/>
                <w:szCs w:val="21"/>
              </w:rPr>
              <w:t>45</w:t>
            </w:r>
          </w:p>
        </w:tc>
      </w:tr>
      <w:tr w14:paraId="13A843AD" w14:textId="77777777" w:rsidTr="005F2C2B">
        <w:tblPrEx>
          <w:tblW w:w="4173" w:type="pct"/>
          <w:tblInd w:w="1159" w:type="dxa"/>
          <w:tblLook w:val="04A0"/>
        </w:tblPrEx>
        <w:tc>
          <w:tcPr>
            <w:tcW w:w="464" w:type="pct"/>
          </w:tcPr>
          <w:p w:rsidR="002D1928" w:rsidRPr="000967C5" w14:paraId="0D7BE6A2" w14:textId="77777777">
            <w:pPr>
              <w:pStyle w:val="Normal4"/>
              <w:jc w:val="center"/>
              <w:rPr>
                <w:rFonts w:ascii="宋体" w:hAnsi="宋体"/>
                <w:szCs w:val="21"/>
              </w:rPr>
            </w:pPr>
            <w:r w:rsidRPr="000967C5">
              <w:rPr>
                <w:rFonts w:ascii="宋体" w:hAnsi="宋体" w:hint="eastAsia"/>
                <w:szCs w:val="21"/>
              </w:rPr>
              <w:t>2</w:t>
            </w:r>
          </w:p>
        </w:tc>
        <w:tc>
          <w:tcPr>
            <w:tcW w:w="2162" w:type="pct"/>
          </w:tcPr>
          <w:p w:rsidR="002D1928" w:rsidRPr="000967C5" w14:paraId="654B997C" w14:textId="77777777">
            <w:pPr>
              <w:pStyle w:val="Normal4"/>
              <w:jc w:val="center"/>
              <w:rPr>
                <w:rFonts w:ascii="宋体" w:hAnsi="宋体"/>
                <w:szCs w:val="21"/>
              </w:rPr>
            </w:pPr>
            <w:r w:rsidRPr="000967C5">
              <w:rPr>
                <w:rFonts w:ascii="宋体" w:hAnsi="宋体" w:hint="eastAsia"/>
                <w:szCs w:val="21"/>
              </w:rPr>
              <w:t>居住、商业、工业混合区</w:t>
            </w:r>
          </w:p>
        </w:tc>
        <w:tc>
          <w:tcPr>
            <w:tcW w:w="883" w:type="pct"/>
          </w:tcPr>
          <w:p w:rsidR="002D1928" w:rsidRPr="000967C5" w14:paraId="204C1293" w14:textId="77777777">
            <w:pPr>
              <w:pStyle w:val="Normal4"/>
              <w:jc w:val="center"/>
              <w:rPr>
                <w:rFonts w:ascii="宋体" w:hAnsi="宋体"/>
                <w:szCs w:val="21"/>
              </w:rPr>
            </w:pPr>
            <w:r w:rsidRPr="000967C5">
              <w:rPr>
                <w:rFonts w:ascii="宋体" w:hAnsi="宋体" w:hint="eastAsia"/>
                <w:szCs w:val="21"/>
              </w:rPr>
              <w:t>60</w:t>
            </w:r>
          </w:p>
        </w:tc>
        <w:tc>
          <w:tcPr>
            <w:tcW w:w="1491" w:type="pct"/>
          </w:tcPr>
          <w:p w:rsidR="002D1928" w:rsidRPr="000967C5" w14:paraId="217153CA" w14:textId="77777777">
            <w:pPr>
              <w:pStyle w:val="Normal4"/>
              <w:jc w:val="center"/>
              <w:rPr>
                <w:rFonts w:ascii="宋体" w:hAnsi="宋体"/>
                <w:szCs w:val="21"/>
              </w:rPr>
            </w:pPr>
            <w:r w:rsidRPr="000967C5">
              <w:rPr>
                <w:rFonts w:ascii="宋体" w:hAnsi="宋体" w:hint="eastAsia"/>
                <w:szCs w:val="21"/>
              </w:rPr>
              <w:t>50</w:t>
            </w:r>
          </w:p>
        </w:tc>
      </w:tr>
      <w:tr w14:paraId="39DFF0F5" w14:textId="77777777" w:rsidTr="005F2C2B">
        <w:tblPrEx>
          <w:tblW w:w="4173" w:type="pct"/>
          <w:tblInd w:w="1159" w:type="dxa"/>
          <w:tblLook w:val="04A0"/>
        </w:tblPrEx>
        <w:tc>
          <w:tcPr>
            <w:tcW w:w="464" w:type="pct"/>
          </w:tcPr>
          <w:p w:rsidR="002D1928" w:rsidRPr="000967C5" w14:paraId="39390EC7" w14:textId="77777777">
            <w:pPr>
              <w:pStyle w:val="Normal4"/>
              <w:jc w:val="center"/>
              <w:rPr>
                <w:rFonts w:ascii="宋体" w:hAnsi="宋体"/>
                <w:szCs w:val="21"/>
              </w:rPr>
            </w:pPr>
            <w:r w:rsidRPr="000967C5">
              <w:rPr>
                <w:rFonts w:ascii="宋体" w:hAnsi="宋体" w:hint="eastAsia"/>
                <w:szCs w:val="21"/>
              </w:rPr>
              <w:t>3</w:t>
            </w:r>
          </w:p>
        </w:tc>
        <w:tc>
          <w:tcPr>
            <w:tcW w:w="2162" w:type="pct"/>
          </w:tcPr>
          <w:p w:rsidR="002D1928" w:rsidRPr="000967C5" w14:paraId="5CF8B458" w14:textId="77777777">
            <w:pPr>
              <w:pStyle w:val="Normal4"/>
              <w:jc w:val="center"/>
              <w:rPr>
                <w:rFonts w:ascii="宋体" w:hAnsi="宋体"/>
                <w:szCs w:val="21"/>
              </w:rPr>
            </w:pPr>
            <w:r w:rsidRPr="000967C5">
              <w:rPr>
                <w:rFonts w:ascii="宋体" w:hAnsi="宋体" w:hint="eastAsia"/>
                <w:szCs w:val="21"/>
              </w:rPr>
              <w:t>工业区</w:t>
            </w:r>
          </w:p>
        </w:tc>
        <w:tc>
          <w:tcPr>
            <w:tcW w:w="883" w:type="pct"/>
          </w:tcPr>
          <w:p w:rsidR="002D1928" w:rsidRPr="000967C5" w14:paraId="4C2B7BD2" w14:textId="77777777">
            <w:pPr>
              <w:pStyle w:val="Normal4"/>
              <w:jc w:val="center"/>
              <w:rPr>
                <w:rFonts w:ascii="宋体" w:hAnsi="宋体"/>
                <w:szCs w:val="21"/>
              </w:rPr>
            </w:pPr>
            <w:r w:rsidRPr="000967C5">
              <w:rPr>
                <w:rFonts w:ascii="宋体" w:hAnsi="宋体" w:hint="eastAsia"/>
                <w:szCs w:val="21"/>
              </w:rPr>
              <w:t>65</w:t>
            </w:r>
          </w:p>
        </w:tc>
        <w:tc>
          <w:tcPr>
            <w:tcW w:w="1491" w:type="pct"/>
          </w:tcPr>
          <w:p w:rsidR="002D1928" w:rsidRPr="000967C5" w14:paraId="3B39F7B0" w14:textId="77777777">
            <w:pPr>
              <w:pStyle w:val="Normal4"/>
              <w:jc w:val="center"/>
              <w:rPr>
                <w:rFonts w:ascii="宋体" w:hAnsi="宋体"/>
                <w:szCs w:val="21"/>
              </w:rPr>
            </w:pPr>
            <w:r w:rsidRPr="000967C5">
              <w:rPr>
                <w:rFonts w:ascii="宋体" w:hAnsi="宋体" w:hint="eastAsia"/>
                <w:szCs w:val="21"/>
              </w:rPr>
              <w:t>55</w:t>
            </w:r>
          </w:p>
        </w:tc>
      </w:tr>
      <w:tr w14:paraId="63566101" w14:textId="77777777" w:rsidTr="005F2C2B">
        <w:tblPrEx>
          <w:tblW w:w="4173" w:type="pct"/>
          <w:tblInd w:w="1159" w:type="dxa"/>
          <w:tblLook w:val="04A0"/>
        </w:tblPrEx>
        <w:tc>
          <w:tcPr>
            <w:tcW w:w="464" w:type="pct"/>
          </w:tcPr>
          <w:p w:rsidR="002D1928" w:rsidRPr="000967C5" w14:paraId="5F2BAE8F" w14:textId="77777777">
            <w:pPr>
              <w:pStyle w:val="Normal4"/>
              <w:jc w:val="center"/>
              <w:rPr>
                <w:rFonts w:ascii="宋体" w:hAnsi="宋体"/>
                <w:szCs w:val="21"/>
              </w:rPr>
            </w:pPr>
            <w:r w:rsidRPr="000967C5">
              <w:rPr>
                <w:rFonts w:ascii="宋体" w:hAnsi="宋体" w:hint="eastAsia"/>
                <w:szCs w:val="21"/>
              </w:rPr>
              <w:t>4</w:t>
            </w:r>
          </w:p>
        </w:tc>
        <w:tc>
          <w:tcPr>
            <w:tcW w:w="2162" w:type="pct"/>
          </w:tcPr>
          <w:p w:rsidR="002D1928" w:rsidRPr="000967C5" w14:paraId="29D48FB3" w14:textId="77777777">
            <w:pPr>
              <w:pStyle w:val="Normal4"/>
              <w:jc w:val="center"/>
              <w:rPr>
                <w:rFonts w:ascii="宋体" w:hAnsi="宋体"/>
                <w:szCs w:val="21"/>
              </w:rPr>
            </w:pPr>
            <w:r w:rsidRPr="000967C5">
              <w:rPr>
                <w:rFonts w:ascii="宋体" w:hAnsi="宋体" w:hint="eastAsia"/>
                <w:szCs w:val="21"/>
              </w:rPr>
              <w:t>城市中的道路交通干线两侧区域</w:t>
            </w:r>
          </w:p>
        </w:tc>
        <w:tc>
          <w:tcPr>
            <w:tcW w:w="883" w:type="pct"/>
          </w:tcPr>
          <w:p w:rsidR="002D1928" w:rsidRPr="000967C5" w14:paraId="5A998125" w14:textId="77777777">
            <w:pPr>
              <w:pStyle w:val="Normal4"/>
              <w:jc w:val="center"/>
              <w:rPr>
                <w:rFonts w:ascii="宋体" w:hAnsi="宋体"/>
                <w:szCs w:val="21"/>
              </w:rPr>
            </w:pPr>
            <w:r w:rsidRPr="000967C5">
              <w:rPr>
                <w:rFonts w:ascii="宋体" w:hAnsi="宋体" w:hint="eastAsia"/>
                <w:szCs w:val="21"/>
              </w:rPr>
              <w:t>70</w:t>
            </w:r>
          </w:p>
        </w:tc>
        <w:tc>
          <w:tcPr>
            <w:tcW w:w="1491" w:type="pct"/>
          </w:tcPr>
          <w:p w:rsidR="002D1928" w:rsidRPr="000967C5" w14:paraId="4DFC4E58" w14:textId="77777777">
            <w:pPr>
              <w:pStyle w:val="Normal4"/>
              <w:jc w:val="center"/>
              <w:rPr>
                <w:rFonts w:ascii="宋体" w:hAnsi="宋体"/>
                <w:szCs w:val="21"/>
              </w:rPr>
            </w:pPr>
            <w:r w:rsidRPr="000967C5">
              <w:rPr>
                <w:rFonts w:ascii="宋体" w:hAnsi="宋体" w:hint="eastAsia"/>
                <w:szCs w:val="21"/>
              </w:rPr>
              <w:t>55</w:t>
            </w:r>
          </w:p>
        </w:tc>
      </w:tr>
    </w:tbl>
    <w:p w:rsidR="002D1928" w:rsidRPr="000967C5" w14:paraId="03D457CE" w14:textId="77777777">
      <w:pPr>
        <w:rPr>
          <w:rFonts w:eastAsiaTheme="minorEastAsia"/>
          <w:lang w:eastAsia="zh-CN"/>
        </w:rPr>
      </w:pPr>
    </w:p>
    <w:p w:rsidR="002D1928" w:rsidRPr="000967C5" w14:paraId="043937A8" w14:textId="77777777">
      <w:pPr>
        <w:pStyle w:val="ReportLevel2"/>
        <w:spacing w:before="240" w:beforeLines="100" w:after="240" w:afterLines="100"/>
        <w:rPr>
          <w:rFonts w:asciiTheme="minorEastAsia" w:eastAsiaTheme="minorEastAsia" w:hAnsiTheme="minorEastAsia"/>
          <w:b/>
          <w:bCs/>
          <w:sz w:val="21"/>
          <w:szCs w:val="21"/>
        </w:rPr>
      </w:pPr>
      <w:bookmarkStart w:id="135" w:name="_Toc502860076"/>
      <w:bookmarkStart w:id="136" w:name="_Toc502861060"/>
      <w:bookmarkStart w:id="137" w:name="_Toc502858089"/>
      <w:bookmarkStart w:id="138" w:name="_Toc502854037"/>
      <w:r w:rsidRPr="000967C5">
        <w:rPr>
          <w:rFonts w:asciiTheme="minorEastAsia" w:eastAsiaTheme="minorEastAsia" w:hAnsiTheme="minorEastAsia" w:hint="eastAsia"/>
          <w:b/>
          <w:bCs/>
          <w:sz w:val="21"/>
          <w:szCs w:val="21"/>
        </w:rPr>
        <w:t>散热器</w:t>
      </w:r>
    </w:p>
    <w:p w:rsidR="002D1928" w:rsidRPr="000967C5" w14:paraId="2218D5E4"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发动机须由一相配合的重型散热器进行水冷，包括皮带传动风扇、冷却剂泵、恒温器控制的液冷排气管、中间冷却器、耐腐蚀并适用于当地条件的冷却剂过滤器。</w:t>
      </w:r>
    </w:p>
    <w:p w:rsidR="002D1928" w:rsidRPr="000967C5" w14:paraId="2DD24599"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当机组带散热器时散热器须装设在支持发电机组之底座上。否则须将散热器分装在图标位置专为之设计和经批准之支架上。</w:t>
      </w:r>
    </w:p>
    <w:p w:rsidR="002D1928" w:rsidRPr="000967C5" w14:paraId="76C4DA24"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散热器须装置通风管道的法兰盘接头使通风管道能附在散热器上。在散热器和金属百叶窗之间须装设一节带挠性连接器之风管。风管须镀锌薄钢板制作。所有风管须具有密封的接头，并符合GB</w:t>
      </w:r>
      <w:r w:rsidRPr="000967C5">
        <w:rPr>
          <w:rFonts w:asciiTheme="minorEastAsia" w:eastAsiaTheme="minorEastAsia" w:hAnsiTheme="minorEastAsia" w:hint="eastAsia"/>
          <w:sz w:val="21"/>
          <w:szCs w:val="21"/>
          <w:lang w:val="en-US" w:eastAsia="zh-CN"/>
        </w:rPr>
        <w:t xml:space="preserve"> </w:t>
      </w:r>
      <w:r w:rsidRPr="000967C5">
        <w:rPr>
          <w:rFonts w:asciiTheme="minorEastAsia" w:eastAsiaTheme="minorEastAsia" w:hAnsiTheme="minorEastAsia" w:hint="eastAsia"/>
          <w:sz w:val="21"/>
          <w:szCs w:val="21"/>
          <w:lang w:eastAsia="zh-CN"/>
        </w:rPr>
        <w:t>50243《通风与空调工程施工质量验收规范》的要求。</w:t>
      </w:r>
    </w:p>
    <w:p w:rsidR="002D1928" w:rsidRPr="000967C5" w14:paraId="78F195EE"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风扇须有足够之容量并考虑到气流经过风管和百叶窗的附加阻力。</w:t>
      </w:r>
    </w:p>
    <w:p w:rsidR="002D1928" w:rsidRPr="000967C5" w14:paraId="6711B93B"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冷却系统中须加防腐蚀剂。</w:t>
      </w:r>
    </w:p>
    <w:p w:rsidR="002D1928" w:rsidRPr="000967C5" w14:paraId="2DFBEA52" w14:textId="6B5C8CD5">
      <w:pPr>
        <w:pStyle w:val="ReportLevel3"/>
        <w:keepNext w:val="0"/>
        <w:spacing w:before="120" w:beforeLines="50" w:after="120" w:afterLines="50"/>
        <w:rPr>
          <w:rFonts w:asciiTheme="minorEastAsia" w:eastAsiaTheme="minorEastAsia" w:hAnsiTheme="minorEastAsia"/>
          <w:b/>
          <w:bCs/>
          <w:sz w:val="21"/>
          <w:szCs w:val="21"/>
          <w:lang w:eastAsia="zh-CN"/>
        </w:rPr>
      </w:pPr>
      <w:r w:rsidRPr="000967C5">
        <w:rPr>
          <w:rFonts w:asciiTheme="minorEastAsia" w:eastAsiaTheme="minorEastAsia" w:hAnsiTheme="minorEastAsia" w:hint="eastAsia"/>
          <w:sz w:val="21"/>
          <w:szCs w:val="21"/>
          <w:lang w:eastAsia="zh-CN"/>
        </w:rPr>
        <w:t>冷却系统须配备冷却剂加热器，使冷却剂的温度保持在20C以上，以保证在需要时能易于</w:t>
      </w:r>
      <w:r w:rsidRPr="000967C5" w:rsidR="005C2163">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hint="eastAsia"/>
          <w:sz w:val="21"/>
          <w:szCs w:val="21"/>
          <w:lang w:eastAsia="zh-CN"/>
        </w:rPr>
        <w:t>。</w:t>
      </w:r>
    </w:p>
    <w:p w:rsidR="002D1928" w:rsidRPr="000967C5" w14:paraId="3459161E" w14:textId="77777777">
      <w:pPr>
        <w:pStyle w:val="ReportLevel2"/>
        <w:spacing w:before="240" w:beforeLines="100" w:after="240" w:afterLines="100"/>
        <w:rPr>
          <w:rFonts w:asciiTheme="minorEastAsia" w:eastAsiaTheme="minorEastAsia" w:hAnsiTheme="minorEastAsia"/>
          <w:b/>
          <w:bCs/>
          <w:sz w:val="21"/>
          <w:szCs w:val="21"/>
        </w:rPr>
      </w:pPr>
      <w:r w:rsidRPr="000967C5">
        <w:rPr>
          <w:rFonts w:asciiTheme="minorEastAsia" w:eastAsiaTheme="minorEastAsia" w:hAnsiTheme="minorEastAsia"/>
          <w:b/>
          <w:bCs/>
          <w:sz w:val="21"/>
          <w:szCs w:val="21"/>
        </w:rPr>
        <w:t>联轴器及避震装置</w:t>
      </w:r>
      <w:bookmarkEnd w:id="135"/>
      <w:bookmarkEnd w:id="136"/>
      <w:bookmarkEnd w:id="137"/>
      <w:bookmarkEnd w:id="138"/>
    </w:p>
    <w:p w:rsidR="002D1928" w:rsidRPr="000967C5" w14:paraId="58B25DEE"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39" w:name="_Toc502858090"/>
      <w:bookmarkStart w:id="140" w:name="_Toc502860077"/>
      <w:bookmarkStart w:id="141" w:name="_Toc502861061"/>
      <w:bookmarkStart w:id="142" w:name="_Toc502854038"/>
      <w:r w:rsidRPr="000967C5">
        <w:rPr>
          <w:rFonts w:asciiTheme="minorEastAsia" w:eastAsiaTheme="minorEastAsia" w:hAnsiTheme="minorEastAsia"/>
          <w:sz w:val="21"/>
          <w:szCs w:val="21"/>
          <w:lang w:eastAsia="zh-CN"/>
        </w:rPr>
        <w:t>柴油发动机须与单轴承型发电机</w:t>
      </w:r>
      <w:r w:rsidRPr="000967C5">
        <w:rPr>
          <w:rFonts w:asciiTheme="minorEastAsia" w:eastAsiaTheme="minorEastAsia" w:hAnsiTheme="minorEastAsia"/>
          <w:sz w:val="21"/>
          <w:szCs w:val="21"/>
          <w:lang w:eastAsia="zh-CN"/>
        </w:rPr>
        <w:t>直接轴</w:t>
      </w:r>
      <w:r w:rsidRPr="000967C5">
        <w:rPr>
          <w:rFonts w:asciiTheme="minorEastAsia" w:eastAsiaTheme="minorEastAsia" w:hAnsiTheme="minorEastAsia"/>
          <w:sz w:val="21"/>
          <w:szCs w:val="21"/>
          <w:lang w:eastAsia="zh-CN"/>
        </w:rPr>
        <w:t>接。</w:t>
      </w:r>
      <w:bookmarkEnd w:id="139"/>
      <w:bookmarkEnd w:id="140"/>
      <w:bookmarkEnd w:id="141"/>
      <w:bookmarkEnd w:id="142"/>
    </w:p>
    <w:p w:rsidR="002D1928" w:rsidRPr="000967C5" w14:paraId="4DCA55EB"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43" w:name="_Toc502860078"/>
      <w:bookmarkStart w:id="144" w:name="_Toc502858091"/>
      <w:bookmarkStart w:id="145" w:name="_Toc502861062"/>
      <w:bookmarkStart w:id="146" w:name="_Toc502854039"/>
      <w:r w:rsidRPr="000967C5">
        <w:rPr>
          <w:rFonts w:asciiTheme="minorEastAsia" w:eastAsiaTheme="minorEastAsia" w:hAnsiTheme="minorEastAsia"/>
          <w:sz w:val="21"/>
          <w:szCs w:val="21"/>
          <w:lang w:eastAsia="zh-CN"/>
        </w:rPr>
        <w:t>弹簧型避震器须装于底板下，使整个装置</w:t>
      </w:r>
      <w:r w:rsidRPr="000967C5">
        <w:rPr>
          <w:rFonts w:asciiTheme="minorEastAsia" w:eastAsiaTheme="minorEastAsia" w:hAnsiTheme="minorEastAsia"/>
          <w:sz w:val="21"/>
          <w:szCs w:val="21"/>
          <w:lang w:eastAsia="zh-CN"/>
        </w:rPr>
        <w:t>座落</w:t>
      </w:r>
      <w:r w:rsidRPr="000967C5">
        <w:rPr>
          <w:rFonts w:asciiTheme="minorEastAsia" w:eastAsiaTheme="minorEastAsia" w:hAnsiTheme="minorEastAsia"/>
          <w:sz w:val="21"/>
          <w:szCs w:val="21"/>
          <w:lang w:eastAsia="zh-CN"/>
        </w:rPr>
        <w:t>在混凝土楼板上而不致将震动传至邻近的设备或建筑物之任何部分上。</w:t>
      </w:r>
      <w:bookmarkEnd w:id="143"/>
      <w:bookmarkEnd w:id="144"/>
      <w:bookmarkEnd w:id="145"/>
      <w:bookmarkEnd w:id="146"/>
    </w:p>
    <w:p w:rsidR="002D1928" w:rsidRPr="000967C5" w14:paraId="664EE5C5"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147" w:name="_Toc502858092"/>
      <w:bookmarkStart w:id="148" w:name="_Toc502854040"/>
      <w:bookmarkStart w:id="149" w:name="_Toc502861063"/>
      <w:bookmarkStart w:id="150" w:name="_Toc502860079"/>
      <w:r w:rsidRPr="000967C5">
        <w:rPr>
          <w:rFonts w:asciiTheme="minorEastAsia" w:eastAsiaTheme="minorEastAsia" w:hAnsiTheme="minorEastAsia"/>
          <w:b/>
          <w:bCs/>
          <w:sz w:val="21"/>
          <w:szCs w:val="21"/>
          <w:lang w:eastAsia="zh-CN"/>
        </w:rPr>
        <w:t>辅助设备的设计和构造</w:t>
      </w:r>
      <w:bookmarkEnd w:id="147"/>
      <w:bookmarkEnd w:id="148"/>
      <w:bookmarkEnd w:id="149"/>
      <w:bookmarkEnd w:id="150"/>
    </w:p>
    <w:p w:rsidR="002D1928" w:rsidRPr="000967C5" w14:paraId="7BD1A8C1"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51" w:name="_Toc502860080"/>
      <w:bookmarkStart w:id="152" w:name="_Toc502861064"/>
      <w:bookmarkStart w:id="153" w:name="_Toc502854041"/>
      <w:bookmarkStart w:id="154" w:name="_Toc502858093"/>
      <w:r w:rsidRPr="000967C5">
        <w:rPr>
          <w:rFonts w:asciiTheme="minorEastAsia" w:eastAsiaTheme="minorEastAsia" w:hAnsiTheme="minorEastAsia"/>
          <w:sz w:val="21"/>
          <w:szCs w:val="21"/>
          <w:lang w:eastAsia="zh-CN"/>
        </w:rPr>
        <w:t>排气管消音器和烟道</w:t>
      </w:r>
      <w:bookmarkEnd w:id="151"/>
      <w:bookmarkEnd w:id="152"/>
      <w:bookmarkEnd w:id="153"/>
      <w:bookmarkEnd w:id="154"/>
    </w:p>
    <w:p w:rsidR="002D1928" w:rsidRPr="000967C5" w14:paraId="3543ED6C" w14:textId="77777777">
      <w:pPr>
        <w:numPr>
          <w:ilvl w:val="0"/>
          <w:numId w:val="11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排烟系统由消音器，膨胀波纹管，吊杆，管道，管夹，联接法兰，抗热接头和示于图上的部件组成。</w:t>
      </w:r>
    </w:p>
    <w:p w:rsidR="002D1928" w:rsidRPr="000967C5" w14:paraId="09F82513" w14:textId="77777777">
      <w:pPr>
        <w:numPr>
          <w:ilvl w:val="0"/>
          <w:numId w:val="11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在排烟系统中的连接须使用带抗热接头的联接法兰。</w:t>
      </w:r>
    </w:p>
    <w:p w:rsidR="002D1928" w:rsidRPr="000967C5" w14:paraId="0FB2FF68" w14:textId="77777777">
      <w:pPr>
        <w:numPr>
          <w:ilvl w:val="0"/>
          <w:numId w:val="11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消音器须为箱式结构，并带除潮器，排放管。其体积要保证能正常运转，安装时无过高背压。消音器之设计须能将排气出口处之噪音减低至符合环保部门规定之要求。</w:t>
      </w:r>
    </w:p>
    <w:p w:rsidR="002D1928" w:rsidRPr="000967C5" w14:paraId="60FCE06B" w14:textId="77777777">
      <w:pPr>
        <w:numPr>
          <w:ilvl w:val="0"/>
          <w:numId w:val="11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在发动机和</w:t>
      </w:r>
      <w:r w:rsidRPr="000967C5">
        <w:rPr>
          <w:rFonts w:asciiTheme="minorEastAsia" w:eastAsiaTheme="minorEastAsia" w:hAnsiTheme="minorEastAsia"/>
          <w:sz w:val="21"/>
          <w:szCs w:val="21"/>
          <w:lang w:eastAsia="zh-CN"/>
        </w:rPr>
        <w:t>消音器间须装置</w:t>
      </w:r>
      <w:r w:rsidRPr="000967C5">
        <w:rPr>
          <w:rFonts w:asciiTheme="minorEastAsia" w:eastAsiaTheme="minorEastAsia" w:hAnsiTheme="minorEastAsia"/>
          <w:sz w:val="21"/>
          <w:szCs w:val="21"/>
          <w:lang w:eastAsia="zh-CN"/>
        </w:rPr>
        <w:t>不锈钢膨胀波纹管。其尺寸应与发动机和排气消音器相配合。</w:t>
      </w:r>
    </w:p>
    <w:p w:rsidR="002D1928" w:rsidRPr="000967C5" w14:paraId="603A4615" w14:textId="21D57BC7">
      <w:pPr>
        <w:numPr>
          <w:ilvl w:val="0"/>
          <w:numId w:val="11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在消音器后须连接不锈钢膨胀波纹管将烟气垂直向上排至图标之位置。</w:t>
      </w:r>
      <w:r w:rsidRPr="000967C5">
        <w:rPr>
          <w:rFonts w:asciiTheme="minorEastAsia" w:eastAsiaTheme="minorEastAsia" w:hAnsiTheme="minorEastAsia"/>
          <w:sz w:val="21"/>
          <w:szCs w:val="21"/>
          <w:lang w:eastAsia="zh-CN"/>
        </w:rPr>
        <w:t>排烟管须由</w:t>
      </w:r>
      <w:r w:rsidRPr="000967C5">
        <w:rPr>
          <w:rFonts w:asciiTheme="minorEastAsia" w:eastAsiaTheme="minorEastAsia" w:hAnsiTheme="minorEastAsia"/>
          <w:sz w:val="21"/>
          <w:szCs w:val="21"/>
          <w:lang w:eastAsia="zh-CN"/>
        </w:rPr>
        <w:t>符合</w:t>
      </w:r>
      <w:r w:rsidRPr="000967C5">
        <w:rPr>
          <w:rFonts w:asciiTheme="minorEastAsia" w:eastAsiaTheme="minorEastAsia" w:hAnsiTheme="minorEastAsia" w:hint="eastAsia"/>
          <w:sz w:val="21"/>
          <w:szCs w:val="21"/>
          <w:lang w:eastAsia="zh-CN"/>
        </w:rPr>
        <w:t>国标的</w:t>
      </w:r>
      <w:r w:rsidRPr="000967C5" w:rsidR="007E414C">
        <w:rPr>
          <w:rFonts w:asciiTheme="minorEastAsia" w:eastAsiaTheme="minorEastAsia" w:hAnsiTheme="minorEastAsia" w:hint="eastAsia"/>
          <w:sz w:val="21"/>
          <w:szCs w:val="21"/>
          <w:lang w:eastAsia="zh-CN"/>
        </w:rPr>
        <w:t>双层</w:t>
      </w:r>
      <w:r w:rsidRPr="000967C5">
        <w:rPr>
          <w:rFonts w:asciiTheme="minorEastAsia" w:eastAsiaTheme="minorEastAsia" w:hAnsiTheme="minorEastAsia" w:hint="eastAsia"/>
          <w:sz w:val="21"/>
          <w:szCs w:val="21"/>
          <w:lang w:eastAsia="zh-CN"/>
        </w:rPr>
        <w:t>不锈钢管制作</w:t>
      </w:r>
      <w:r w:rsidRPr="000967C5">
        <w:rPr>
          <w:rFonts w:asciiTheme="minorEastAsia" w:eastAsiaTheme="minorEastAsia" w:hAnsiTheme="minorEastAsia"/>
          <w:sz w:val="21"/>
          <w:szCs w:val="21"/>
          <w:lang w:eastAsia="zh-CN"/>
        </w:rPr>
        <w:t>。</w:t>
      </w:r>
    </w:p>
    <w:p w:rsidR="002D1928" w:rsidRPr="000967C5" w14:paraId="369F6BF8" w14:textId="77777777">
      <w:pPr>
        <w:numPr>
          <w:ilvl w:val="0"/>
          <w:numId w:val="11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sectPr>
          <w:footerReference w:type="default" r:id="rId8"/>
          <w:type w:val="nextPage"/>
          <w:pgSz w:w="11906" w:h="16838"/>
          <w:pgMar w:top="1814" w:right="1418" w:bottom="1418" w:left="1814" w:header="851" w:footer="992" w:gutter="0"/>
          <w:pgNumType w:start="4"/>
          <w:cols w:space="425"/>
          <w:titlePg w:val="0"/>
          <w:docGrid w:linePitch="312"/>
        </w:sectPr>
      </w:pPr>
      <w:r w:rsidRPr="000967C5">
        <w:rPr>
          <w:rFonts w:asciiTheme="minorEastAsia" w:eastAsiaTheme="minorEastAsia" w:hAnsiTheme="minorEastAsia"/>
          <w:sz w:val="21"/>
          <w:szCs w:val="21"/>
          <w:lang w:eastAsia="zh-CN"/>
        </w:rPr>
        <w:t>排烟管之弯头具有须等于3倍管径的最小弯曲半径。</w:t>
      </w:r>
    </w:p>
    <w:p w:rsidR="002D1928" w:rsidRPr="000967C5" w14:paraId="53DAD247" w14:textId="4316589D">
      <w:pPr>
        <w:numPr>
          <w:ilvl w:val="0"/>
          <w:numId w:val="26"/>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双层</w:t>
      </w:r>
      <w:r w:rsidRPr="000967C5" w:rsidR="00307E8E">
        <w:rPr>
          <w:rFonts w:asciiTheme="minorEastAsia" w:eastAsiaTheme="minorEastAsia" w:hAnsiTheme="minorEastAsia" w:hint="eastAsia"/>
          <w:sz w:val="21"/>
          <w:szCs w:val="21"/>
          <w:lang w:eastAsia="zh-CN"/>
        </w:rPr>
        <w:t>排烟管加保温层后外表温度应不大于</w:t>
      </w:r>
      <w:r w:rsidRPr="000967C5" w:rsidR="00307E8E">
        <w:rPr>
          <w:rFonts w:asciiTheme="minorEastAsia" w:eastAsiaTheme="minorEastAsia" w:hAnsiTheme="minorEastAsia"/>
          <w:sz w:val="21"/>
          <w:szCs w:val="21"/>
          <w:lang w:eastAsia="zh-CN"/>
        </w:rPr>
        <w:t>70</w:t>
      </w:r>
      <w:r w:rsidRPr="000967C5" w:rsidR="00307E8E">
        <w:rPr>
          <w:rFonts w:asciiTheme="minorEastAsia" w:eastAsiaTheme="minorEastAsia" w:hAnsiTheme="minorEastAsia" w:hint="eastAsia"/>
          <w:sz w:val="21"/>
          <w:szCs w:val="21"/>
          <w:lang w:eastAsia="zh-CN"/>
        </w:rPr>
        <w:t>℃。</w:t>
      </w:r>
    </w:p>
    <w:p w:rsidR="002D1928" w:rsidRPr="000967C5" w14:paraId="0CC1DAE4" w14:textId="51FAE143">
      <w:pPr>
        <w:numPr>
          <w:ilvl w:val="0"/>
          <w:numId w:val="26"/>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消音器之表面须裹以厚度不小于0.</w:t>
      </w:r>
      <w:r w:rsidRPr="000967C5">
        <w:rPr>
          <w:rFonts w:asciiTheme="minorEastAsia" w:eastAsiaTheme="minorEastAsia" w:hAnsiTheme="minorEastAsia"/>
          <w:sz w:val="21"/>
          <w:szCs w:val="21"/>
          <w:lang w:eastAsia="zh-CN"/>
        </w:rPr>
        <w:t>8毫米之铝金属</w:t>
      </w:r>
      <w:r w:rsidRPr="000967C5">
        <w:rPr>
          <w:rFonts w:asciiTheme="minorEastAsia" w:eastAsiaTheme="minorEastAsia" w:hAnsiTheme="minorEastAsia"/>
          <w:sz w:val="21"/>
          <w:szCs w:val="21"/>
          <w:lang w:eastAsia="zh-CN"/>
        </w:rPr>
        <w:t>包层。</w:t>
      </w:r>
    </w:p>
    <w:p w:rsidR="002D1928" w:rsidRPr="000967C5" w14:paraId="03F7224A" w14:textId="77777777">
      <w:pPr>
        <w:numPr>
          <w:ilvl w:val="0"/>
          <w:numId w:val="26"/>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整个系统须由弹簧吊杆悬挂。悬挂吊杆之设计须经批准。</w:t>
      </w:r>
      <w:bookmarkStart w:id="155" w:name="_Toc502861065"/>
      <w:bookmarkStart w:id="156" w:name="_Toc502858094"/>
      <w:bookmarkStart w:id="157" w:name="_Toc502854042"/>
      <w:bookmarkStart w:id="158" w:name="_Toc502860081"/>
    </w:p>
    <w:p w:rsidR="002D1928" w:rsidRPr="000967C5" w14:paraId="3AEB32F8" w14:textId="15805C16">
      <w:pPr>
        <w:numPr>
          <w:ilvl w:val="0"/>
          <w:numId w:val="26"/>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排烟废气经治理后，在废气最终排放口测定黑度，满足现行的《大气污染物排放标准》要求，林格曼黑度＜1级, 烟尘排放浓度不得高于80mg/m3，须符合当地环保部门之规定。</w:t>
      </w:r>
    </w:p>
    <w:p w:rsidR="002D1928" w:rsidRPr="000967C5" w14:paraId="6C0F35DF" w14:textId="77777777">
      <w:pPr>
        <w:numPr>
          <w:ilvl w:val="0"/>
          <w:numId w:val="26"/>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柴油发电机排放的二氧化硫、氮氧化物、一氧化碳、烃等污染气体需满足GB16297-1996之要求，如需加装尾气后处理装置的，由本承包人负责，并以当地环保要求为准。</w:t>
      </w:r>
      <w:r w:rsidRPr="000967C5">
        <w:rPr>
          <w:rFonts w:asciiTheme="minorEastAsia" w:eastAsiaTheme="minorEastAsia" w:hAnsiTheme="minorEastAsia"/>
          <w:sz w:val="21"/>
          <w:szCs w:val="21"/>
          <w:lang w:eastAsia="zh-CN"/>
        </w:rPr>
        <w:t xml:space="preserve"> </w:t>
      </w:r>
    </w:p>
    <w:p w:rsidR="002D1928" w:rsidRPr="000967C5" w14:paraId="1E92ADCA"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燃料系统</w:t>
      </w:r>
      <w:bookmarkEnd w:id="155"/>
      <w:bookmarkEnd w:id="156"/>
      <w:bookmarkEnd w:id="157"/>
      <w:bookmarkEnd w:id="158"/>
    </w:p>
    <w:p w:rsidR="002D1928" w:rsidRPr="000967C5" w14:paraId="7C21E8EF" w14:textId="7777777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须装设一套完整的燃料储存和分配系统。</w:t>
      </w:r>
    </w:p>
    <w:p w:rsidR="002D1928" w:rsidRPr="000967C5" w14:paraId="3BF20EC3" w14:textId="501D454A">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须配置至少可供</w:t>
      </w:r>
      <w:r w:rsidRPr="000967C5">
        <w:rPr>
          <w:rFonts w:asciiTheme="minorEastAsia" w:eastAsiaTheme="minorEastAsia" w:hAnsiTheme="minorEastAsia" w:hint="eastAsia"/>
          <w:sz w:val="21"/>
          <w:szCs w:val="21"/>
          <w:lang w:val="en-US" w:eastAsia="zh-CN"/>
        </w:rPr>
        <w:t>持续3</w:t>
      </w:r>
      <w:r w:rsidRPr="000967C5">
        <w:rPr>
          <w:rFonts w:asciiTheme="minorEastAsia" w:eastAsiaTheme="minorEastAsia" w:hAnsiTheme="minorEastAsia"/>
          <w:sz w:val="21"/>
          <w:szCs w:val="21"/>
          <w:lang w:eastAsia="zh-CN"/>
        </w:rPr>
        <w:t>小时耗油量之</w:t>
      </w:r>
      <w:r w:rsidRPr="000967C5">
        <w:rPr>
          <w:rFonts w:asciiTheme="minorEastAsia" w:eastAsiaTheme="minorEastAsia" w:hAnsiTheme="minorEastAsia" w:hint="eastAsia"/>
          <w:sz w:val="21"/>
          <w:szCs w:val="21"/>
          <w:lang w:val="en-US" w:eastAsia="zh-CN"/>
        </w:rPr>
        <w:t>日用</w:t>
      </w:r>
      <w:r w:rsidRPr="000967C5">
        <w:rPr>
          <w:rFonts w:asciiTheme="minorEastAsia" w:eastAsiaTheme="minorEastAsia" w:hAnsiTheme="minorEastAsia"/>
          <w:sz w:val="21"/>
          <w:szCs w:val="21"/>
          <w:lang w:eastAsia="zh-CN"/>
        </w:rPr>
        <w:t>油箱</w:t>
      </w:r>
      <w:r w:rsidRPr="000967C5">
        <w:rPr>
          <w:rFonts w:asciiTheme="minorEastAsia" w:eastAsiaTheme="minorEastAsia" w:hAnsiTheme="minorEastAsia" w:hint="eastAsia"/>
          <w:sz w:val="21"/>
          <w:szCs w:val="21"/>
          <w:lang w:eastAsia="zh-CN"/>
        </w:rPr>
        <w:t>（</w:t>
      </w:r>
      <w:r w:rsidRPr="000967C5" w:rsidR="00474ED2">
        <w:rPr>
          <w:rFonts w:asciiTheme="minorEastAsia" w:eastAsiaTheme="minorEastAsia" w:hAnsiTheme="minorEastAsia" w:hint="eastAsia"/>
          <w:sz w:val="21"/>
          <w:szCs w:val="21"/>
          <w:lang w:eastAsia="zh-CN"/>
        </w:rPr>
        <w:t>有效</w:t>
      </w:r>
      <w:r w:rsidRPr="000967C5">
        <w:rPr>
          <w:rFonts w:asciiTheme="minorEastAsia" w:eastAsiaTheme="minorEastAsia" w:hAnsiTheme="minorEastAsia" w:hint="eastAsia"/>
          <w:sz w:val="21"/>
          <w:szCs w:val="21"/>
          <w:lang w:eastAsia="zh-CN"/>
        </w:rPr>
        <w:t>容量1m</w:t>
      </w:r>
      <w:r w:rsidRPr="000967C5">
        <w:rPr>
          <w:rFonts w:asciiTheme="minorEastAsia" w:eastAsiaTheme="minorEastAsia" w:hAnsiTheme="minorEastAsia"/>
          <w:sz w:val="21"/>
          <w:szCs w:val="21"/>
          <w:vertAlign w:val="superscript"/>
          <w:lang w:eastAsia="zh-CN"/>
        </w:rPr>
        <w:t>3</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。油箱中须装置</w:t>
      </w:r>
      <w:r w:rsidRPr="000967C5" w:rsidR="0005554F">
        <w:rPr>
          <w:rFonts w:asciiTheme="minorEastAsia" w:eastAsiaTheme="minorEastAsia" w:hAnsiTheme="minorEastAsia" w:hint="eastAsia"/>
          <w:sz w:val="21"/>
          <w:szCs w:val="21"/>
          <w:lang w:eastAsia="zh-CN"/>
        </w:rPr>
        <w:t>液位计并</w:t>
      </w:r>
      <w:r w:rsidRPr="000967C5" w:rsidR="0005554F">
        <w:rPr>
          <w:rFonts w:asciiTheme="minorEastAsia" w:eastAsiaTheme="minorEastAsia" w:hAnsiTheme="minorEastAsia" w:hint="eastAsia"/>
          <w:sz w:val="21"/>
          <w:szCs w:val="21"/>
          <w:lang w:eastAsia="zh-CN"/>
        </w:rPr>
        <w:t>带上下限报警</w:t>
      </w:r>
      <w:r w:rsidRPr="000967C5">
        <w:rPr>
          <w:rFonts w:asciiTheme="minorEastAsia" w:eastAsiaTheme="minorEastAsia" w:hAnsiTheme="minorEastAsia"/>
          <w:sz w:val="21"/>
          <w:szCs w:val="21"/>
          <w:lang w:eastAsia="zh-CN"/>
        </w:rPr>
        <w:t>预告信号</w:t>
      </w:r>
      <w:r w:rsidRPr="000967C5">
        <w:rPr>
          <w:rFonts w:asciiTheme="minorEastAsia" w:eastAsiaTheme="minorEastAsia" w:hAnsiTheme="minorEastAsia" w:hint="eastAsia"/>
          <w:sz w:val="21"/>
          <w:szCs w:val="21"/>
          <w:lang w:eastAsia="zh-CN"/>
        </w:rPr>
        <w:t>；提供调试用油及验收</w:t>
      </w:r>
      <w:r w:rsidRPr="000967C5">
        <w:rPr>
          <w:rFonts w:asciiTheme="minorEastAsia" w:eastAsiaTheme="minorEastAsia" w:hAnsiTheme="minorEastAsia" w:hint="eastAsia"/>
          <w:sz w:val="21"/>
          <w:szCs w:val="21"/>
          <w:lang w:val="en-US" w:eastAsia="zh-CN"/>
        </w:rPr>
        <w:t>全部</w:t>
      </w:r>
      <w:r w:rsidRPr="000967C5">
        <w:rPr>
          <w:rFonts w:asciiTheme="minorEastAsia" w:eastAsiaTheme="minorEastAsia" w:hAnsiTheme="minorEastAsia" w:hint="eastAsia"/>
          <w:sz w:val="21"/>
          <w:szCs w:val="21"/>
          <w:lang w:eastAsia="zh-CN"/>
        </w:rPr>
        <w:t>用油。</w:t>
      </w:r>
    </w:p>
    <w:p w:rsidR="002D1928" w:rsidRPr="000967C5" w14:paraId="502D2515" w14:textId="7777777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油箱须按</w:t>
      </w:r>
      <w:r w:rsidRPr="000967C5">
        <w:rPr>
          <w:rFonts w:asciiTheme="minorEastAsia" w:eastAsiaTheme="minorEastAsia" w:hAnsiTheme="minorEastAsia" w:hint="eastAsia"/>
          <w:sz w:val="21"/>
          <w:szCs w:val="21"/>
          <w:lang w:eastAsia="zh-CN"/>
        </w:rPr>
        <w:t>国标</w:t>
      </w:r>
      <w:r w:rsidRPr="000967C5">
        <w:rPr>
          <w:rFonts w:asciiTheme="minorEastAsia" w:eastAsiaTheme="minorEastAsia" w:hAnsiTheme="minorEastAsia"/>
          <w:sz w:val="21"/>
          <w:szCs w:val="21"/>
          <w:lang w:eastAsia="zh-CN"/>
        </w:rPr>
        <w:t>之要求制造，使用4~6毫米厚优质钢板制作，端部作盘形和凸缘形，全部采用电焊。</w:t>
      </w:r>
    </w:p>
    <w:p w:rsidR="002D1928" w:rsidRPr="000967C5" w14:paraId="6EF47316" w14:textId="6248A015">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油箱须配备面盖板</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可靠油位表</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充油管密封帽</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防火器</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通风帽、滴盘、排渣管、油位开关、溢流管</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入油口</w:t>
      </w:r>
      <w:r w:rsidRPr="000967C5">
        <w:rPr>
          <w:rFonts w:asciiTheme="minorEastAsia" w:eastAsiaTheme="minorEastAsia" w:hAnsiTheme="minorEastAsia" w:hint="eastAsia"/>
          <w:sz w:val="21"/>
          <w:szCs w:val="21"/>
          <w:lang w:eastAsia="zh-CN"/>
        </w:rPr>
        <w:t>、</w:t>
      </w:r>
      <w:r w:rsidRPr="000967C5" w:rsidR="00A52E39">
        <w:rPr>
          <w:rFonts w:asciiTheme="minorEastAsia" w:eastAsiaTheme="minorEastAsia" w:hAnsiTheme="minorEastAsia" w:hint="eastAsia"/>
          <w:sz w:val="21"/>
          <w:szCs w:val="21"/>
          <w:lang w:eastAsia="zh-CN"/>
        </w:rPr>
        <w:t>液位</w:t>
      </w:r>
      <w:r w:rsidRPr="000967C5">
        <w:rPr>
          <w:rFonts w:asciiTheme="minorEastAsia" w:eastAsiaTheme="minorEastAsia" w:hAnsiTheme="minorEastAsia"/>
          <w:sz w:val="21"/>
          <w:szCs w:val="21"/>
          <w:lang w:eastAsia="zh-CN"/>
        </w:rPr>
        <w:t>计等。</w:t>
      </w:r>
      <w:r w:rsidRPr="000967C5" w:rsidR="00A52E39">
        <w:rPr>
          <w:rFonts w:asciiTheme="minorEastAsia" w:eastAsiaTheme="minorEastAsia" w:hAnsiTheme="minorEastAsia" w:hint="eastAsia"/>
          <w:sz w:val="21"/>
          <w:szCs w:val="21"/>
          <w:lang w:eastAsia="zh-CN"/>
        </w:rPr>
        <w:t>液</w:t>
      </w:r>
      <w:r w:rsidRPr="000967C5" w:rsidR="00A52E39">
        <w:rPr>
          <w:rFonts w:asciiTheme="minorEastAsia" w:eastAsiaTheme="minorEastAsia" w:hAnsiTheme="minorEastAsia" w:hint="eastAsia"/>
          <w:sz w:val="21"/>
          <w:szCs w:val="21"/>
          <w:lang w:eastAsia="zh-CN"/>
        </w:rPr>
        <w:t>位</w:t>
      </w:r>
      <w:r w:rsidRPr="000967C5">
        <w:rPr>
          <w:rFonts w:asciiTheme="minorEastAsia" w:eastAsiaTheme="minorEastAsia" w:hAnsiTheme="minorEastAsia"/>
          <w:sz w:val="21"/>
          <w:szCs w:val="21"/>
          <w:lang w:eastAsia="zh-CN"/>
        </w:rPr>
        <w:t>计必须</w:t>
      </w:r>
      <w:r w:rsidRPr="000967C5">
        <w:rPr>
          <w:rFonts w:asciiTheme="minorEastAsia" w:eastAsiaTheme="minorEastAsia" w:hAnsiTheme="minorEastAsia"/>
          <w:sz w:val="21"/>
          <w:szCs w:val="21"/>
          <w:lang w:eastAsia="zh-CN"/>
        </w:rPr>
        <w:t>为</w:t>
      </w:r>
      <w:r w:rsidRPr="000967C5" w:rsidR="00A52E39">
        <w:rPr>
          <w:rFonts w:asciiTheme="minorEastAsia" w:eastAsiaTheme="minorEastAsia" w:hAnsiTheme="minorEastAsia" w:hint="eastAsia"/>
          <w:sz w:val="21"/>
          <w:szCs w:val="21"/>
          <w:lang w:eastAsia="zh-CN"/>
        </w:rPr>
        <w:t>Y</w:t>
      </w:r>
      <w:r w:rsidRPr="000967C5" w:rsidR="00A52E39">
        <w:rPr>
          <w:rFonts w:asciiTheme="minorEastAsia" w:eastAsiaTheme="minorEastAsia" w:hAnsiTheme="minorEastAsia"/>
          <w:sz w:val="21"/>
          <w:szCs w:val="21"/>
          <w:lang w:eastAsia="zh-CN"/>
        </w:rPr>
        <w:t>1</w:t>
      </w:r>
      <w:r w:rsidRPr="000967C5">
        <w:rPr>
          <w:rFonts w:asciiTheme="minorEastAsia" w:eastAsiaTheme="minorEastAsia" w:hAnsiTheme="minorEastAsia"/>
          <w:sz w:val="21"/>
          <w:szCs w:val="21"/>
          <w:lang w:eastAsia="zh-CN"/>
        </w:rPr>
        <w:t>形具有</w:t>
      </w:r>
      <w:r w:rsidRPr="000967C5">
        <w:rPr>
          <w:rFonts w:asciiTheme="minorEastAsia" w:eastAsiaTheme="minorEastAsia" w:hAnsiTheme="minorEastAsia"/>
          <w:sz w:val="21"/>
          <w:szCs w:val="21"/>
          <w:lang w:eastAsia="zh-CN"/>
        </w:rPr>
        <w:t>相当的尺寸清楚地标以存油量，如空位</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1/4</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1/2</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3/4</w:t>
      </w:r>
      <w:r w:rsidRPr="000967C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及满位。油量计之校验须于现场示范。</w:t>
      </w:r>
    </w:p>
    <w:p w:rsidR="002D1928" w:rsidRPr="000967C5" w14:paraId="32F018BE" w14:textId="7777777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在出油路上须装置不超过120网孔</w:t>
      </w:r>
      <w:r w:rsidRPr="000967C5">
        <w:rPr>
          <w:rFonts w:asciiTheme="minorEastAsia" w:eastAsiaTheme="minorEastAsia" w:hAnsiTheme="minorEastAsia"/>
          <w:sz w:val="21"/>
          <w:szCs w:val="21"/>
          <w:lang w:eastAsia="zh-CN"/>
        </w:rPr>
        <w:t>的网形过滤器</w:t>
      </w:r>
      <w:r w:rsidRPr="000967C5">
        <w:rPr>
          <w:rFonts w:asciiTheme="minorEastAsia" w:eastAsiaTheme="minorEastAsia" w:hAnsiTheme="minorEastAsia"/>
          <w:sz w:val="21"/>
          <w:szCs w:val="21"/>
          <w:lang w:eastAsia="zh-CN"/>
        </w:rPr>
        <w:t>。</w:t>
      </w:r>
    </w:p>
    <w:p w:rsidR="002D1928" w:rsidRPr="000967C5" w14:paraId="3FF1ED57" w14:textId="7777777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如油箱的静压不足以供所选用的发动机，须提供辅助的电动输油泵及其附属管道，及相联之供电以便把油从主油箱输送到发动机。对此，雇主不承担额外费用。在施工前须将详情报批。油泵的全部电气装置，包括开关设备，电动机起动器，电缆终端均须为防爆型。</w:t>
      </w:r>
    </w:p>
    <w:p w:rsidR="002D1928" w:rsidRPr="000967C5" w14:paraId="3F2B04E9" w14:textId="7777777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在油箱和发动机供油管上须装设用拉线来操作的“关闭”阀为供事故时在机房外关机用。</w:t>
      </w:r>
    </w:p>
    <w:p w:rsidR="002D1928" w:rsidRPr="000967C5" w14:paraId="70684478" w14:textId="7CC336A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供油及油管路必须至少距温度超过200</w:t>
      </w:r>
      <w:r w:rsidRPr="000967C5">
        <w:rPr>
          <w:rFonts w:asciiTheme="minorEastAsia" w:eastAsiaTheme="minorEastAsia" w:hAnsiTheme="minorEastAsia" w:cs="宋体" w:hint="eastAsia"/>
          <w:sz w:val="21"/>
          <w:szCs w:val="21"/>
          <w:lang w:eastAsia="zh-CN"/>
        </w:rPr>
        <w:t>℃</w:t>
      </w:r>
      <w:r w:rsidRPr="000967C5">
        <w:rPr>
          <w:rFonts w:asciiTheme="minorEastAsia" w:eastAsiaTheme="minorEastAsia" w:hAnsiTheme="minorEastAsia"/>
          <w:sz w:val="21"/>
          <w:szCs w:val="21"/>
          <w:lang w:eastAsia="zh-CN"/>
        </w:rPr>
        <w:t>之表面50毫米。</w:t>
      </w:r>
    </w:p>
    <w:p w:rsidR="002D1928" w:rsidRPr="000967C5" w14:paraId="6B17AA06" w14:textId="77777777">
      <w:pPr>
        <w:numPr>
          <w:ilvl w:val="0"/>
          <w:numId w:val="27"/>
        </w:numPr>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在油箱上须装设一台半周旋转的手摇输油泵并带一根足够长度的入油软管，阀门，三通和旋塞。</w:t>
      </w:r>
    </w:p>
    <w:p w:rsidR="002D1928" w:rsidRPr="000967C5" w14:paraId="05E2A0E5"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59" w:name="_Toc502854043"/>
      <w:bookmarkStart w:id="160" w:name="_Toc502860082"/>
      <w:bookmarkStart w:id="161" w:name="_Toc502861066"/>
      <w:bookmarkStart w:id="162" w:name="_Toc502858095"/>
      <w:r w:rsidRPr="000967C5">
        <w:rPr>
          <w:rFonts w:asciiTheme="minorEastAsia" w:eastAsiaTheme="minorEastAsia" w:hAnsiTheme="minorEastAsia"/>
          <w:sz w:val="21"/>
          <w:szCs w:val="21"/>
          <w:lang w:eastAsia="zh-CN"/>
        </w:rPr>
        <w:t>直流起动系统</w:t>
      </w:r>
      <w:bookmarkEnd w:id="159"/>
      <w:bookmarkEnd w:id="160"/>
      <w:bookmarkEnd w:id="161"/>
      <w:bookmarkEnd w:id="162"/>
    </w:p>
    <w:p w:rsidR="002D1928" w:rsidRPr="000967C5" w14:paraId="62431647" w14:textId="77777777">
      <w:pPr>
        <w:numPr>
          <w:ilvl w:val="0"/>
          <w:numId w:val="28"/>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发电机组须配备一台发动机起动电动机，由</w:t>
      </w:r>
      <w:r w:rsidRPr="000967C5">
        <w:rPr>
          <w:rFonts w:asciiTheme="minorEastAsia" w:eastAsiaTheme="minorEastAsia" w:hAnsiTheme="minorEastAsia" w:hint="eastAsia"/>
          <w:sz w:val="21"/>
          <w:szCs w:val="21"/>
          <w:lang w:eastAsia="zh-CN"/>
        </w:rPr>
        <w:t>1</w:t>
      </w:r>
      <w:r w:rsidRPr="000967C5">
        <w:rPr>
          <w:rFonts w:asciiTheme="minorEastAsia" w:eastAsiaTheme="minorEastAsia" w:hAnsiTheme="minorEastAsia"/>
          <w:sz w:val="21"/>
          <w:szCs w:val="21"/>
          <w:lang w:eastAsia="zh-CN"/>
        </w:rPr>
        <w:t>2</w:t>
      </w:r>
      <w:r w:rsidRPr="000967C5">
        <w:rPr>
          <w:rFonts w:asciiTheme="minorEastAsia" w:eastAsiaTheme="minorEastAsia" w:hAnsiTheme="minorEastAsia" w:hint="eastAsia"/>
          <w:sz w:val="21"/>
          <w:szCs w:val="21"/>
          <w:lang w:eastAsia="zh-CN"/>
        </w:rPr>
        <w:t>伏或</w:t>
      </w:r>
      <w:r w:rsidRPr="000967C5">
        <w:rPr>
          <w:rFonts w:asciiTheme="minorEastAsia" w:eastAsiaTheme="minorEastAsia" w:hAnsiTheme="minorEastAsia"/>
          <w:sz w:val="21"/>
          <w:szCs w:val="21"/>
          <w:lang w:eastAsia="zh-CN"/>
        </w:rPr>
        <w:t>24伏直流运转，能手动或自动起动，并附切断开关，如本节所述。</w:t>
      </w:r>
    </w:p>
    <w:p w:rsidR="002D1928" w:rsidRPr="000967C5" w14:paraId="42BA9EA0" w14:textId="77777777">
      <w:pPr>
        <w:numPr>
          <w:ilvl w:val="0"/>
          <w:numId w:val="28"/>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发动机起动控制设备须能将供电的电池充电器切断，以避免起动时过载。</w:t>
      </w:r>
    </w:p>
    <w:p w:rsidR="002D1928" w:rsidRPr="000967C5" w14:paraId="0C642B22" w14:textId="25A136FF">
      <w:pPr>
        <w:numPr>
          <w:ilvl w:val="0"/>
          <w:numId w:val="28"/>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启</w:t>
      </w:r>
      <w:r w:rsidRPr="000967C5" w:rsidR="00307E8E">
        <w:rPr>
          <w:rFonts w:asciiTheme="minorEastAsia" w:eastAsiaTheme="minorEastAsia" w:hAnsiTheme="minorEastAsia"/>
          <w:sz w:val="21"/>
          <w:szCs w:val="21"/>
          <w:lang w:eastAsia="zh-CN"/>
        </w:rPr>
        <w:t>动电动机须具有足够的功率，且系非滞留型。在起动电动机通电运转前，其小齿轮轴向运动与发动机飞轮上的齿轮啮合。当发动机起动或电动机不通电时，小齿轮须被解脱。</w:t>
      </w:r>
    </w:p>
    <w:p w:rsidR="002D1928" w:rsidRPr="000967C5" w14:paraId="79D76401" w14:textId="71A712A1">
      <w:pPr>
        <w:numPr>
          <w:ilvl w:val="0"/>
          <w:numId w:val="28"/>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sectPr>
          <w:footerReference w:type="default" r:id="rId9"/>
          <w:type w:val="nextPage"/>
          <w:pgSz w:w="11906" w:h="16838"/>
          <w:pgMar w:top="1814" w:right="1418" w:bottom="1418" w:left="1814" w:header="851" w:footer="992" w:gutter="0"/>
          <w:pgNumType w:start="5"/>
          <w:cols w:space="425"/>
          <w:titlePg w:val="0"/>
          <w:docGrid w:linePitch="312"/>
        </w:sectPr>
      </w:pPr>
      <w:r w:rsidRPr="000967C5">
        <w:rPr>
          <w:rFonts w:asciiTheme="minorEastAsia" w:eastAsiaTheme="minorEastAsia" w:hAnsiTheme="minorEastAsia" w:hint="eastAsia"/>
          <w:sz w:val="21"/>
          <w:szCs w:val="21"/>
          <w:lang w:eastAsia="zh-CN"/>
        </w:rPr>
        <w:t>启</w:t>
      </w:r>
      <w:r w:rsidRPr="000967C5" w:rsidR="00307E8E">
        <w:rPr>
          <w:rFonts w:asciiTheme="minorEastAsia" w:eastAsiaTheme="minorEastAsia" w:hAnsiTheme="minorEastAsia"/>
          <w:sz w:val="21"/>
          <w:szCs w:val="21"/>
          <w:lang w:eastAsia="zh-CN"/>
        </w:rPr>
        <w:t>动设备须配备可自动断开起动电动机的起动失败装置。如发动机在预定时间，如12秒内不能起动时，</w:t>
      </w:r>
      <w:r w:rsidRPr="000967C5">
        <w:rPr>
          <w:rFonts w:asciiTheme="minorEastAsia" w:eastAsiaTheme="minorEastAsia" w:hAnsiTheme="minorEastAsia" w:hint="eastAsia"/>
          <w:sz w:val="21"/>
          <w:szCs w:val="21"/>
          <w:lang w:eastAsia="zh-CN"/>
        </w:rPr>
        <w:t>可自动断开，</w:t>
      </w:r>
      <w:r w:rsidRPr="000967C5" w:rsidR="00307E8E">
        <w:rPr>
          <w:rFonts w:asciiTheme="minorEastAsia" w:eastAsiaTheme="minorEastAsia" w:hAnsiTheme="minorEastAsia"/>
          <w:sz w:val="21"/>
          <w:szCs w:val="21"/>
          <w:lang w:eastAsia="zh-CN"/>
        </w:rPr>
        <w:t>以避免电池组不适当的放电。</w:t>
      </w:r>
    </w:p>
    <w:p w:rsidR="002D1928" w:rsidRPr="000967C5" w14:paraId="57248474" w14:textId="77777777">
      <w:pPr>
        <w:numPr>
          <w:ilvl w:val="0"/>
          <w:numId w:val="28"/>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在12秒内，每隔5秒总共连续三次起动发动机。此后，由起动失败装置把起动电动机断开并如下列所述发出光和音响信号。在手动使起动失败装置复位前，自动起动系统不应再次使发动机起动。</w:t>
      </w:r>
    </w:p>
    <w:p w:rsidR="002D1928" w:rsidRPr="000967C5" w14:paraId="2EFA4D5A"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63" w:name="_Toc502854044"/>
      <w:bookmarkStart w:id="164" w:name="_Toc502858096"/>
      <w:bookmarkStart w:id="165" w:name="_Toc502861067"/>
      <w:bookmarkStart w:id="166" w:name="_Toc502860083"/>
      <w:r w:rsidRPr="000967C5">
        <w:rPr>
          <w:rFonts w:asciiTheme="minorEastAsia" w:eastAsiaTheme="minorEastAsia" w:hAnsiTheme="minorEastAsia"/>
          <w:sz w:val="21"/>
          <w:szCs w:val="21"/>
          <w:lang w:eastAsia="zh-CN"/>
        </w:rPr>
        <w:t>起动电池和充电器</w:t>
      </w:r>
      <w:bookmarkEnd w:id="163"/>
      <w:bookmarkEnd w:id="164"/>
      <w:bookmarkEnd w:id="165"/>
      <w:bookmarkEnd w:id="166"/>
    </w:p>
    <w:p w:rsidR="002D1928" w:rsidRPr="000967C5" w14:paraId="53764F29" w14:textId="52AA599F">
      <w:pPr>
        <w:numPr>
          <w:ilvl w:val="0"/>
          <w:numId w:val="29"/>
        </w:numPr>
        <w:tabs>
          <w:tab w:val="left" w:pos="1701"/>
        </w:tabs>
        <w:spacing w:before="120" w:beforeLines="50" w:after="120" w:afterLines="50"/>
        <w:ind w:left="1655" w:hanging="578"/>
        <w:jc w:val="both"/>
        <w:outlineLvl w:val="3"/>
        <w:rPr>
          <w:rFonts w:asciiTheme="minorEastAsia" w:eastAsiaTheme="minorEastAsia" w:hAnsiTheme="minorEastAsia"/>
          <w:sz w:val="21"/>
          <w:szCs w:val="21"/>
        </w:rPr>
      </w:pPr>
      <w:r w:rsidRPr="000967C5">
        <w:rPr>
          <w:rFonts w:asciiTheme="minorEastAsia" w:eastAsiaTheme="minorEastAsia" w:hAnsiTheme="minorEastAsia"/>
          <w:sz w:val="21"/>
          <w:szCs w:val="21"/>
          <w:lang w:eastAsia="zh-CN"/>
        </w:rPr>
        <w:t>须配备一套具有足够的安培一小时容量和放电率，直流发动机起动用24</w:t>
      </w:r>
      <w:r w:rsidRPr="000967C5" w:rsidR="00755716">
        <w:rPr>
          <w:rFonts w:asciiTheme="minorEastAsia" w:eastAsiaTheme="minorEastAsia" w:hAnsiTheme="minorEastAsia"/>
          <w:sz w:val="21"/>
          <w:szCs w:val="21"/>
          <w:lang w:eastAsia="zh-CN"/>
        </w:rPr>
        <w:t>伏镍氢电池组，安装在邻近发动机底座处。电池组须</w:t>
      </w:r>
      <w:r w:rsidRPr="000967C5" w:rsidR="00755716">
        <w:rPr>
          <w:rFonts w:asciiTheme="minorEastAsia" w:eastAsiaTheme="minorEastAsia" w:hAnsiTheme="minorEastAsia" w:hint="eastAsia"/>
          <w:sz w:val="21"/>
          <w:szCs w:val="21"/>
          <w:lang w:eastAsia="zh-CN"/>
        </w:rPr>
        <w:t>符合国家标准</w:t>
      </w:r>
      <w:r w:rsidRPr="000967C5">
        <w:rPr>
          <w:rFonts w:asciiTheme="minorEastAsia" w:eastAsiaTheme="minorEastAsia" w:hAnsiTheme="minorEastAsia"/>
          <w:sz w:val="21"/>
          <w:szCs w:val="21"/>
          <w:lang w:eastAsia="zh-CN"/>
        </w:rPr>
        <w:t>。起动电池和充电器须在12秒内提供</w:t>
      </w:r>
      <w:r w:rsidRPr="000967C5" w:rsidR="00755716">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sz w:val="21"/>
          <w:szCs w:val="21"/>
          <w:lang w:eastAsia="zh-CN"/>
        </w:rPr>
        <w:t>，如</w:t>
      </w:r>
      <w:r w:rsidRPr="000967C5" w:rsidR="00755716">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sz w:val="21"/>
          <w:szCs w:val="21"/>
          <w:lang w:eastAsia="zh-CN"/>
        </w:rPr>
        <w:t>失败须能在失败后5秒，再提供</w:t>
      </w:r>
      <w:r w:rsidRPr="000967C5" w:rsidR="00755716">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sz w:val="21"/>
          <w:szCs w:val="21"/>
          <w:lang w:eastAsia="zh-CN"/>
        </w:rPr>
        <w:t>，须能提供连续六次的</w:t>
      </w:r>
      <w:r w:rsidRPr="000967C5" w:rsidR="00755716">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sz w:val="21"/>
          <w:szCs w:val="21"/>
          <w:lang w:eastAsia="zh-CN"/>
        </w:rPr>
        <w:t>，而不会达到按制造厂商规定损坏电池的程度。</w:t>
      </w:r>
      <w:r w:rsidRPr="000967C5">
        <w:rPr>
          <w:rFonts w:asciiTheme="minorEastAsia" w:eastAsiaTheme="minorEastAsia" w:hAnsiTheme="minorEastAsia"/>
          <w:sz w:val="21"/>
          <w:szCs w:val="21"/>
        </w:rPr>
        <w:t>电池须放置在</w:t>
      </w:r>
      <w:r w:rsidRPr="000967C5">
        <w:rPr>
          <w:rFonts w:asciiTheme="minorEastAsia" w:eastAsiaTheme="minorEastAsia" w:hAnsiTheme="minorEastAsia" w:hint="eastAsia"/>
          <w:sz w:val="21"/>
          <w:szCs w:val="21"/>
          <w:lang w:eastAsia="zh-CN"/>
        </w:rPr>
        <w:t>电池架上</w:t>
      </w:r>
      <w:r w:rsidRPr="000967C5">
        <w:rPr>
          <w:rFonts w:asciiTheme="minorEastAsia" w:eastAsiaTheme="minorEastAsia" w:hAnsiTheme="minorEastAsia"/>
          <w:sz w:val="21"/>
          <w:szCs w:val="21"/>
        </w:rPr>
        <w:t>。</w:t>
      </w:r>
    </w:p>
    <w:p w:rsidR="002D1928" w:rsidRPr="000967C5" w14:paraId="7CC7AD16" w14:textId="77777777">
      <w:pPr>
        <w:numPr>
          <w:ilvl w:val="0"/>
          <w:numId w:val="29"/>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电池充电器必须是恒电压型，附带直流电压和电流计，冲击波抑制器、控制器、浮充和快速再充电选择器，电池放电指示、过量充电保护和指示、充电器故障警报信号装置。所有控制器和感应器须接至装在机组上控制屏内。</w:t>
      </w:r>
    </w:p>
    <w:p w:rsidR="002D1928" w:rsidRPr="000967C5" w14:paraId="134812FD"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67" w:name="_Toc502854045"/>
      <w:bookmarkStart w:id="168" w:name="_Toc502860084"/>
      <w:bookmarkStart w:id="169" w:name="_Toc502858097"/>
      <w:bookmarkStart w:id="170" w:name="_Toc502861068"/>
      <w:r w:rsidRPr="000967C5">
        <w:rPr>
          <w:rFonts w:asciiTheme="minorEastAsia" w:eastAsiaTheme="minorEastAsia" w:hAnsiTheme="minorEastAsia"/>
          <w:sz w:val="21"/>
          <w:szCs w:val="21"/>
          <w:lang w:eastAsia="zh-CN"/>
        </w:rPr>
        <w:t>发动机加热器</w:t>
      </w:r>
      <w:bookmarkEnd w:id="167"/>
      <w:bookmarkEnd w:id="168"/>
      <w:bookmarkEnd w:id="169"/>
      <w:bookmarkEnd w:id="170"/>
    </w:p>
    <w:p w:rsidR="002D1928" w:rsidRPr="000967C5" w14:paraId="4F0D4043" w14:textId="77777777">
      <w:pPr>
        <w:numPr>
          <w:ilvl w:val="0"/>
          <w:numId w:val="3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所配置的水套加热装置须保持发动机水套中之水温达20</w:t>
      </w:r>
      <w:r w:rsidRPr="000967C5">
        <w:rPr>
          <w:rFonts w:asciiTheme="minorEastAsia" w:eastAsiaTheme="minorEastAsia" w:hAnsiTheme="minorEastAsia" w:cs="宋体" w:hint="eastAsia"/>
          <w:sz w:val="21"/>
          <w:szCs w:val="21"/>
          <w:lang w:eastAsia="zh-CN"/>
        </w:rPr>
        <w:t>℃</w:t>
      </w:r>
      <w:r w:rsidRPr="000967C5">
        <w:rPr>
          <w:rFonts w:asciiTheme="minorEastAsia" w:eastAsiaTheme="minorEastAsia" w:hAnsiTheme="minorEastAsia"/>
          <w:sz w:val="21"/>
          <w:szCs w:val="21"/>
          <w:lang w:eastAsia="zh-CN"/>
        </w:rPr>
        <w:t>左右，或按制造厂商建议，以保证当需要时易于起动。</w:t>
      </w:r>
    </w:p>
    <w:p w:rsidR="002D1928" w:rsidRPr="000967C5" w14:paraId="4A6727B3" w14:textId="77777777">
      <w:pPr>
        <w:numPr>
          <w:ilvl w:val="0"/>
          <w:numId w:val="30"/>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加热器须由恒温器</w:t>
      </w:r>
      <w:r w:rsidRPr="000967C5">
        <w:rPr>
          <w:rFonts w:asciiTheme="minorEastAsia" w:eastAsiaTheme="minorEastAsia" w:hAnsiTheme="minorEastAsia" w:hint="eastAsia"/>
          <w:sz w:val="21"/>
          <w:szCs w:val="21"/>
          <w:lang w:eastAsia="zh-CN"/>
        </w:rPr>
        <w:t>采用手动/自动</w:t>
      </w:r>
      <w:r w:rsidRPr="000967C5">
        <w:rPr>
          <w:rFonts w:ascii="宋体" w:hAnsi="宋体"/>
          <w:sz w:val="21"/>
          <w:szCs w:val="21"/>
          <w:lang w:eastAsia="zh-CN"/>
        </w:rPr>
        <w:t>控</w:t>
      </w:r>
      <w:r w:rsidRPr="000967C5">
        <w:rPr>
          <w:rFonts w:asciiTheme="minorEastAsia" w:eastAsiaTheme="minorEastAsia" w:hAnsiTheme="minorEastAsia"/>
          <w:sz w:val="21"/>
          <w:szCs w:val="21"/>
          <w:lang w:eastAsia="zh-CN"/>
        </w:rPr>
        <w:t>制。</w:t>
      </w:r>
      <w:r w:rsidRPr="000967C5">
        <w:rPr>
          <w:rFonts w:asciiTheme="minorEastAsia" w:eastAsiaTheme="minorEastAsia" w:hAnsiTheme="minorEastAsia" w:hint="eastAsia"/>
          <w:sz w:val="21"/>
          <w:szCs w:val="21"/>
          <w:lang w:eastAsia="zh-CN"/>
        </w:rPr>
        <w:t>平时为自动控制，检修时为手动控制。</w:t>
      </w:r>
      <w:r w:rsidRPr="000967C5">
        <w:rPr>
          <w:rFonts w:asciiTheme="minorEastAsia" w:eastAsiaTheme="minorEastAsia" w:hAnsiTheme="minorEastAsia"/>
          <w:sz w:val="21"/>
          <w:szCs w:val="21"/>
          <w:lang w:eastAsia="zh-CN"/>
        </w:rPr>
        <w:t>每当发动机投入运转后即应被断开。</w:t>
      </w:r>
    </w:p>
    <w:p w:rsidR="002D1928" w:rsidRPr="000967C5" w14:paraId="726AE44D"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71" w:name="_Toc502858098"/>
      <w:bookmarkStart w:id="172" w:name="_Toc502854046"/>
      <w:bookmarkStart w:id="173" w:name="_Toc502861069"/>
      <w:bookmarkStart w:id="174" w:name="_Toc502860085"/>
      <w:r w:rsidRPr="000967C5">
        <w:rPr>
          <w:rFonts w:asciiTheme="minorEastAsia" w:eastAsiaTheme="minorEastAsia" w:hAnsiTheme="minorEastAsia"/>
          <w:sz w:val="21"/>
          <w:szCs w:val="21"/>
          <w:lang w:eastAsia="zh-CN"/>
        </w:rPr>
        <w:t>燃油喷射系统</w:t>
      </w:r>
      <w:bookmarkEnd w:id="171"/>
      <w:bookmarkEnd w:id="172"/>
      <w:bookmarkEnd w:id="173"/>
      <w:bookmarkEnd w:id="174"/>
    </w:p>
    <w:p w:rsidR="002D1928" w:rsidRPr="000967C5" w14:paraId="09C55BDB" w14:textId="5FB1783F">
      <w:pPr>
        <w:tabs>
          <w:tab w:val="left" w:pos="1620"/>
        </w:tabs>
        <w:spacing w:before="120" w:beforeLines="50" w:after="120" w:afterLines="50"/>
        <w:ind w:left="1077"/>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燃油喷射系统</w:t>
      </w:r>
      <w:r w:rsidRPr="000967C5">
        <w:rPr>
          <w:rFonts w:asciiTheme="minorEastAsia" w:eastAsiaTheme="minorEastAsia" w:hAnsiTheme="minorEastAsia" w:hint="eastAsia"/>
          <w:sz w:val="21"/>
          <w:szCs w:val="21"/>
          <w:lang w:eastAsia="zh-CN"/>
        </w:rPr>
        <w:t>需采用电脑调速电子喷油系统，</w:t>
      </w:r>
      <w:r w:rsidRPr="000967C5">
        <w:rPr>
          <w:rFonts w:asciiTheme="minorEastAsia" w:eastAsiaTheme="minorEastAsia" w:hAnsiTheme="minorEastAsia"/>
          <w:sz w:val="21"/>
          <w:szCs w:val="21"/>
          <w:lang w:eastAsia="zh-CN"/>
        </w:rPr>
        <w:t>须配有一次和二次燃油过滤器，其组件应可更换；一台由发动机驱动的正位移油泵，上述装置均安装在发动机上。</w:t>
      </w:r>
    </w:p>
    <w:p w:rsidR="002D1928" w:rsidRPr="000967C5" w14:paraId="025EE499"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75" w:name="_Toc502858099"/>
      <w:bookmarkStart w:id="176" w:name="_Toc502854047"/>
      <w:bookmarkStart w:id="177" w:name="_Toc502861070"/>
      <w:bookmarkStart w:id="178" w:name="_Toc502860086"/>
      <w:r w:rsidRPr="000967C5">
        <w:rPr>
          <w:rFonts w:asciiTheme="minorEastAsia" w:eastAsiaTheme="minorEastAsia" w:hAnsiTheme="minorEastAsia"/>
          <w:sz w:val="21"/>
          <w:szCs w:val="21"/>
          <w:lang w:eastAsia="zh-CN"/>
        </w:rPr>
        <w:t>润滑系统</w:t>
      </w:r>
      <w:bookmarkEnd w:id="175"/>
      <w:bookmarkEnd w:id="176"/>
      <w:bookmarkEnd w:id="177"/>
      <w:bookmarkEnd w:id="178"/>
    </w:p>
    <w:p w:rsidR="002D1928" w:rsidRPr="000967C5" w14:paraId="0D748459" w14:textId="77777777">
      <w:pPr>
        <w:tabs>
          <w:tab w:val="left" w:pos="1620"/>
        </w:tabs>
        <w:spacing w:before="120" w:beforeLines="50" w:after="120" w:afterLines="50"/>
        <w:ind w:left="1077"/>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封闭式压力供给润滑系统须配有正位移机械润滑油泵、润滑油冷却器，过滤器和油位指示器。</w:t>
      </w:r>
    </w:p>
    <w:p w:rsidR="002D1928" w:rsidRPr="000967C5" w14:paraId="4A05F7BE"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79" w:name="_Toc502860087"/>
      <w:bookmarkStart w:id="180" w:name="_Toc502854048"/>
      <w:bookmarkStart w:id="181" w:name="_Toc502861071"/>
      <w:bookmarkStart w:id="182" w:name="_Toc502858100"/>
      <w:r w:rsidRPr="000967C5">
        <w:rPr>
          <w:rFonts w:asciiTheme="minorEastAsia" w:eastAsiaTheme="minorEastAsia" w:hAnsiTheme="minorEastAsia"/>
          <w:sz w:val="21"/>
          <w:szCs w:val="21"/>
          <w:lang w:eastAsia="zh-CN"/>
        </w:rPr>
        <w:t>空气过滤器</w:t>
      </w:r>
      <w:bookmarkEnd w:id="179"/>
      <w:bookmarkEnd w:id="180"/>
      <w:bookmarkEnd w:id="181"/>
      <w:bookmarkEnd w:id="182"/>
    </w:p>
    <w:p w:rsidR="002D1928" w:rsidRPr="000967C5" w14:paraId="61FE0159" w14:textId="77777777">
      <w:pPr>
        <w:tabs>
          <w:tab w:val="left" w:pos="1620"/>
        </w:tabs>
        <w:spacing w:before="120" w:beforeLines="50" w:after="120" w:afterLines="50"/>
        <w:ind w:left="1077"/>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能替换的干式空气过滤器</w:t>
      </w:r>
      <w:r w:rsidRPr="000967C5">
        <w:rPr>
          <w:rFonts w:asciiTheme="minorEastAsia" w:eastAsiaTheme="minorEastAsia" w:hAnsiTheme="minorEastAsia"/>
          <w:sz w:val="21"/>
          <w:szCs w:val="21"/>
          <w:lang w:eastAsia="zh-CN"/>
        </w:rPr>
        <w:t>须包括</w:t>
      </w:r>
      <w:r w:rsidRPr="000967C5">
        <w:rPr>
          <w:rFonts w:asciiTheme="minorEastAsia" w:eastAsiaTheme="minorEastAsia" w:hAnsiTheme="minorEastAsia"/>
          <w:sz w:val="21"/>
          <w:szCs w:val="21"/>
          <w:lang w:eastAsia="zh-CN"/>
        </w:rPr>
        <w:t>自动报警装置，当过滤器堵塞时，能自动报警。</w:t>
      </w:r>
    </w:p>
    <w:p w:rsidR="002D1928" w:rsidRPr="000967C5" w14:paraId="68869E8D"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183" w:name="_Toc502858101"/>
      <w:bookmarkStart w:id="184" w:name="_Toc502860088"/>
      <w:bookmarkStart w:id="185" w:name="_Toc502861072"/>
      <w:bookmarkStart w:id="186" w:name="_Toc502854049"/>
      <w:r w:rsidRPr="000967C5">
        <w:rPr>
          <w:rFonts w:asciiTheme="minorEastAsia" w:eastAsiaTheme="minorEastAsia" w:hAnsiTheme="minorEastAsia"/>
          <w:b/>
          <w:bCs/>
          <w:sz w:val="21"/>
          <w:szCs w:val="21"/>
          <w:lang w:eastAsia="zh-CN"/>
        </w:rPr>
        <w:t>发电机组的控制和保护及其附属设备</w:t>
      </w:r>
      <w:bookmarkEnd w:id="183"/>
      <w:bookmarkEnd w:id="184"/>
      <w:bookmarkEnd w:id="185"/>
      <w:bookmarkEnd w:id="186"/>
    </w:p>
    <w:p w:rsidR="002D1928" w:rsidRPr="000967C5" w14:paraId="0F7D84A8"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87" w:name="_Toc502860089"/>
      <w:bookmarkStart w:id="188" w:name="_Toc502858102"/>
      <w:bookmarkStart w:id="189" w:name="_Toc502854050"/>
      <w:bookmarkStart w:id="190" w:name="_Toc502861073"/>
      <w:r w:rsidRPr="000967C5">
        <w:rPr>
          <w:rFonts w:asciiTheme="minorEastAsia" w:eastAsiaTheme="minorEastAsia" w:hAnsiTheme="minorEastAsia"/>
          <w:sz w:val="21"/>
          <w:szCs w:val="21"/>
          <w:lang w:eastAsia="zh-CN"/>
        </w:rPr>
        <w:t>控制和调节装置的放置位置</w:t>
      </w:r>
      <w:bookmarkEnd w:id="187"/>
      <w:bookmarkEnd w:id="188"/>
      <w:bookmarkEnd w:id="189"/>
      <w:bookmarkEnd w:id="190"/>
    </w:p>
    <w:p w:rsidR="002D1928" w:rsidRPr="000967C5" w14:paraId="5D56D70E" w14:textId="77777777">
      <w:pPr>
        <w:numPr>
          <w:ilvl w:val="0"/>
          <w:numId w:val="31"/>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所有</w:t>
      </w:r>
      <w:r w:rsidRPr="000967C5">
        <w:rPr>
          <w:rFonts w:asciiTheme="minorEastAsia" w:eastAsiaTheme="minorEastAsia" w:hAnsiTheme="minorEastAsia"/>
          <w:sz w:val="21"/>
          <w:szCs w:val="21"/>
          <w:lang w:eastAsia="zh-CN"/>
        </w:rPr>
        <w:t>供操作</w:t>
      </w:r>
      <w:r w:rsidRPr="000967C5">
        <w:rPr>
          <w:rFonts w:asciiTheme="minorEastAsia" w:eastAsiaTheme="minorEastAsia" w:hAnsiTheme="minorEastAsia"/>
          <w:sz w:val="21"/>
          <w:szCs w:val="21"/>
          <w:lang w:eastAsia="zh-CN"/>
        </w:rPr>
        <w:t>用的控制器须集中装在随时可供使用，伸手可及的合理位置。</w:t>
      </w:r>
    </w:p>
    <w:p w:rsidR="002D1928" w:rsidRPr="000967C5" w14:paraId="67850C80" w14:textId="77777777">
      <w:pPr>
        <w:numPr>
          <w:ilvl w:val="0"/>
          <w:numId w:val="31"/>
        </w:numPr>
        <w:tabs>
          <w:tab w:val="left" w:pos="1701"/>
        </w:tabs>
        <w:spacing w:before="120" w:beforeLines="50" w:after="120" w:afterLines="50"/>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调节用的装置必须分开放置，以防止未经许可，擅自调整。</w:t>
      </w:r>
    </w:p>
    <w:p w:rsidR="002D1928" w:rsidRPr="000967C5" w14:paraId="763D7139"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91" w:name="_Toc502861074"/>
      <w:bookmarkStart w:id="192" w:name="_Toc502854051"/>
      <w:bookmarkStart w:id="193" w:name="_Toc502860090"/>
      <w:bookmarkStart w:id="194" w:name="_Toc502858103"/>
      <w:r w:rsidRPr="000967C5">
        <w:rPr>
          <w:rFonts w:asciiTheme="minorEastAsia" w:eastAsiaTheme="minorEastAsia" w:hAnsiTheme="minorEastAsia"/>
          <w:sz w:val="21"/>
          <w:szCs w:val="21"/>
          <w:lang w:eastAsia="zh-CN"/>
        </w:rPr>
        <w:t>发动机状态指示</w:t>
      </w:r>
      <w:bookmarkEnd w:id="191"/>
      <w:bookmarkEnd w:id="192"/>
      <w:bookmarkEnd w:id="193"/>
      <w:bookmarkEnd w:id="194"/>
    </w:p>
    <w:p w:rsidR="002D1928" w:rsidRPr="000967C5" w14:paraId="2E2D9909" w14:textId="77777777">
      <w:pPr>
        <w:tabs>
          <w:tab w:val="left" w:pos="1620"/>
        </w:tabs>
        <w:spacing w:before="120" w:beforeLines="50" w:after="120" w:afterLines="50"/>
        <w:ind w:left="1077"/>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发动机须具备以下最低限度的状态指示：</w:t>
      </w:r>
    </w:p>
    <w:p w:rsidR="002D1928" w:rsidRPr="000967C5" w14:paraId="2654B587"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油压</w:t>
      </w:r>
    </w:p>
    <w:p w:rsidR="002D1928" w:rsidRPr="000967C5" w14:paraId="1AC4CBEB"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油温</w:t>
      </w:r>
    </w:p>
    <w:p w:rsidR="002D1928" w:rsidRPr="000967C5" w14:paraId="0ACFC1FA"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发动机温度</w:t>
      </w:r>
    </w:p>
    <w:p w:rsidR="002D1928" w:rsidRPr="000967C5" w14:paraId="5F5151DC"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运行时数</w:t>
      </w:r>
    </w:p>
    <w:p w:rsidR="002D1928" w:rsidRPr="000967C5" w14:paraId="4DBE4E0C"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转速表</w:t>
      </w:r>
    </w:p>
    <w:p w:rsidR="002D1928" w:rsidRPr="000967C5" w14:paraId="18C4F622" w14:textId="14316276">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电池充电器电流表</w:t>
      </w:r>
    </w:p>
    <w:p w:rsidR="00755716" w:rsidRPr="000967C5" w14:paraId="459B0316" w14:textId="02F1DB42">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冷却水温度</w:t>
      </w:r>
    </w:p>
    <w:p w:rsidR="002D1928" w:rsidRPr="000967C5" w14:paraId="57232CAC"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sectPr>
          <w:footerReference w:type="default" r:id="rId10"/>
          <w:type w:val="nextPage"/>
          <w:pgSz w:w="11906" w:h="16838"/>
          <w:pgMar w:top="1814" w:right="1418" w:bottom="1418" w:left="1814" w:header="851" w:footer="992" w:gutter="0"/>
          <w:pgNumType w:start="6"/>
          <w:cols w:space="425"/>
          <w:titlePg w:val="0"/>
          <w:docGrid w:linePitch="312"/>
        </w:sectPr>
      </w:pPr>
      <w:r w:rsidRPr="000967C5">
        <w:rPr>
          <w:rFonts w:asciiTheme="minorEastAsia" w:eastAsiaTheme="minorEastAsia" w:hAnsiTheme="minorEastAsia"/>
          <w:sz w:val="21"/>
          <w:szCs w:val="21"/>
          <w:lang w:eastAsia="zh-CN"/>
        </w:rPr>
        <w:t>蓄电池电压</w:t>
      </w:r>
    </w:p>
    <w:p w:rsidR="002D1928" w:rsidRPr="000967C5" w14:paraId="7B75B6C5" w14:textId="77777777">
      <w:pPr>
        <w:numPr>
          <w:ilvl w:val="0"/>
          <w:numId w:val="32"/>
        </w:numPr>
        <w:tabs>
          <w:tab w:val="left" w:pos="1701"/>
        </w:tabs>
        <w:ind w:left="1655" w:hanging="578"/>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启动次数</w:t>
      </w:r>
    </w:p>
    <w:p w:rsidR="002D1928" w:rsidRPr="000967C5" w14:paraId="6DF1A02B" w14:textId="77777777">
      <w:pPr>
        <w:pStyle w:val="ReportLevel3"/>
        <w:spacing w:before="120" w:beforeLines="50" w:after="120" w:afterLines="50"/>
        <w:rPr>
          <w:rFonts w:asciiTheme="minorEastAsia" w:eastAsiaTheme="minorEastAsia" w:hAnsiTheme="minorEastAsia"/>
          <w:sz w:val="21"/>
          <w:szCs w:val="21"/>
          <w:lang w:eastAsia="zh-CN"/>
        </w:rPr>
      </w:pPr>
      <w:bookmarkStart w:id="195" w:name="_Toc502854052"/>
      <w:bookmarkStart w:id="196" w:name="_Toc502861075"/>
      <w:bookmarkStart w:id="197" w:name="_Toc502858104"/>
      <w:bookmarkStart w:id="198" w:name="_Toc502860091"/>
      <w:r w:rsidRPr="000967C5">
        <w:rPr>
          <w:rFonts w:asciiTheme="minorEastAsia" w:eastAsiaTheme="minorEastAsia" w:hAnsiTheme="minorEastAsia"/>
          <w:sz w:val="21"/>
          <w:szCs w:val="21"/>
          <w:lang w:eastAsia="zh-CN"/>
        </w:rPr>
        <w:t>发动机保护</w:t>
      </w:r>
      <w:bookmarkEnd w:id="195"/>
      <w:bookmarkEnd w:id="196"/>
      <w:bookmarkEnd w:id="197"/>
      <w:bookmarkEnd w:id="198"/>
    </w:p>
    <w:p w:rsidR="002D1928" w:rsidRPr="000967C5" w14:paraId="699A9485" w14:textId="77777777">
      <w:pPr>
        <w:numPr>
          <w:ilvl w:val="0"/>
          <w:numId w:val="33"/>
        </w:numPr>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发动机须配备下列最低限度的保护和控制装置，以便发生下列情况时尽早发出警告信号和/或停机：</w:t>
      </w:r>
    </w:p>
    <w:p w:rsidR="002D1928" w:rsidRPr="000967C5" w14:paraId="6A4098BE" w14:textId="77777777">
      <w:pPr>
        <w:pStyle w:val="ListParagraph"/>
        <w:numPr>
          <w:ilvl w:val="0"/>
          <w:numId w:val="3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润滑油压过低</w:t>
      </w:r>
    </w:p>
    <w:p w:rsidR="002D1928" w:rsidRPr="000967C5" w14:paraId="4B30967A" w14:textId="77777777">
      <w:pPr>
        <w:pStyle w:val="ListParagraph"/>
        <w:numPr>
          <w:ilvl w:val="0"/>
          <w:numId w:val="3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发动机冷却剂温度过高</w:t>
      </w:r>
    </w:p>
    <w:p w:rsidR="002D1928" w:rsidRPr="000967C5" w14:paraId="22099DEA" w14:textId="77777777">
      <w:pPr>
        <w:pStyle w:val="ListParagraph"/>
        <w:numPr>
          <w:ilvl w:val="0"/>
          <w:numId w:val="3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发动机超速</w:t>
      </w:r>
    </w:p>
    <w:p w:rsidR="002D1928" w:rsidRPr="000967C5" w14:paraId="65FBDA72" w14:textId="77777777">
      <w:pPr>
        <w:pStyle w:val="ListParagraph"/>
        <w:numPr>
          <w:ilvl w:val="0"/>
          <w:numId w:val="3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启动失败</w:t>
      </w:r>
    </w:p>
    <w:p w:rsidR="002D1928" w:rsidRPr="000967C5" w14:paraId="09F82959" w14:textId="77777777">
      <w:pPr>
        <w:numPr>
          <w:ilvl w:val="0"/>
          <w:numId w:val="33"/>
        </w:numPr>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上述发动机保护</w:t>
      </w:r>
      <w:r w:rsidRPr="000967C5">
        <w:rPr>
          <w:rFonts w:asciiTheme="minorEastAsia" w:eastAsiaTheme="minorEastAsia" w:hAnsiTheme="minorEastAsia"/>
          <w:sz w:val="21"/>
          <w:szCs w:val="21"/>
          <w:lang w:eastAsia="zh-CN"/>
        </w:rPr>
        <w:t>须分为</w:t>
      </w:r>
      <w:r w:rsidRPr="000967C5">
        <w:rPr>
          <w:rFonts w:asciiTheme="minorEastAsia" w:eastAsiaTheme="minorEastAsia" w:hAnsiTheme="minorEastAsia"/>
          <w:sz w:val="21"/>
          <w:szCs w:val="21"/>
          <w:lang w:eastAsia="zh-CN"/>
        </w:rPr>
        <w:t>两阶段：在初始阶段发出光和音响警告信号；当发动机处于预定的危险阶段时必须停机。</w:t>
      </w:r>
    </w:p>
    <w:p w:rsidR="002D1928" w:rsidRPr="000967C5" w14:paraId="1056FE52" w14:textId="77777777">
      <w:pPr>
        <w:numPr>
          <w:ilvl w:val="0"/>
          <w:numId w:val="33"/>
        </w:numPr>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所有光和音响警告信号和解除信号开关必须接至控制屏上。</w:t>
      </w:r>
    </w:p>
    <w:p w:rsidR="002D1928" w:rsidRPr="000967C5" w14:paraId="74675219" w14:textId="77777777">
      <w:pPr>
        <w:numPr>
          <w:ilvl w:val="0"/>
          <w:numId w:val="33"/>
        </w:numPr>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发电机组必须配有钥匙操作的保护装置越位开关。当此开关合上后不管发电机组发生任何故障，都必须持续运转，直至发动机不能再运转为止。此钥匙须由</w:t>
      </w:r>
      <w:r w:rsidRPr="000967C5">
        <w:rPr>
          <w:rFonts w:asciiTheme="minorEastAsia" w:eastAsiaTheme="minorEastAsia" w:hAnsiTheme="minorEastAsia" w:hint="eastAsia"/>
          <w:sz w:val="21"/>
          <w:szCs w:val="21"/>
          <w:lang w:eastAsia="zh-CN"/>
        </w:rPr>
        <w:t>业主单位保管，承包单位应在设备移交及运行人员培训中做出重点强调和提示。</w:t>
      </w:r>
    </w:p>
    <w:p w:rsidR="002D1928" w:rsidRPr="000967C5" w14:paraId="3AC57FC5"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199" w:name="_Toc502854053"/>
      <w:bookmarkStart w:id="200" w:name="_Toc502861076"/>
      <w:bookmarkStart w:id="201" w:name="_Toc502860092"/>
      <w:bookmarkStart w:id="202" w:name="_Toc502858105"/>
      <w:r w:rsidRPr="000967C5">
        <w:rPr>
          <w:rFonts w:asciiTheme="minorEastAsia" w:eastAsiaTheme="minorEastAsia" w:hAnsiTheme="minorEastAsia"/>
          <w:sz w:val="21"/>
          <w:szCs w:val="21"/>
          <w:lang w:eastAsia="zh-CN"/>
        </w:rPr>
        <w:t>发动机速度控制和速度调节</w:t>
      </w:r>
      <w:bookmarkEnd w:id="199"/>
      <w:bookmarkEnd w:id="200"/>
      <w:bookmarkEnd w:id="201"/>
      <w:bookmarkEnd w:id="202"/>
    </w:p>
    <w:p w:rsidR="002D1928" w:rsidRPr="000967C5" w14:paraId="45C3779E" w14:textId="77777777">
      <w:pPr>
        <w:numPr>
          <w:ilvl w:val="0"/>
          <w:numId w:val="35"/>
        </w:numPr>
        <w:tabs>
          <w:tab w:val="left" w:pos="1620"/>
        </w:tabs>
        <w:spacing w:before="120" w:beforeLines="50" w:after="120" w:afterLines="50"/>
        <w:jc w:val="both"/>
        <w:outlineLvl w:val="3"/>
        <w:rPr>
          <w:rFonts w:asciiTheme="minorEastAsia" w:eastAsiaTheme="minorEastAsia" w:hAnsiTheme="minorEastAsia"/>
          <w:sz w:val="21"/>
          <w:szCs w:val="21"/>
        </w:rPr>
      </w:pPr>
      <w:r w:rsidRPr="000967C5">
        <w:rPr>
          <w:rFonts w:asciiTheme="minorEastAsia" w:eastAsiaTheme="minorEastAsia" w:hAnsiTheme="minorEastAsia"/>
          <w:sz w:val="21"/>
          <w:szCs w:val="21"/>
        </w:rPr>
        <w:t>速度控制</w:t>
      </w:r>
    </w:p>
    <w:p w:rsidR="002D1928" w:rsidRPr="000967C5" w14:paraId="76D0B413"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须配备电子速度传感速控器。</w:t>
      </w:r>
    </w:p>
    <w:p w:rsidR="002D1928" w:rsidRPr="000967C5" w14:paraId="3F992846"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速控器须传感发动机的实际转速。</w:t>
      </w:r>
    </w:p>
    <w:p w:rsidR="002D1928" w:rsidRPr="000967C5" w14:paraId="71AAEA81"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速度控制须</w:t>
      </w:r>
      <w:r w:rsidRPr="000967C5">
        <w:rPr>
          <w:rFonts w:asciiTheme="minorEastAsia" w:eastAsiaTheme="minorEastAsia" w:hAnsiTheme="minorEastAsia" w:hint="eastAsia"/>
          <w:sz w:val="21"/>
          <w:szCs w:val="21"/>
          <w:lang w:eastAsia="zh-CN"/>
        </w:rPr>
        <w:t>满足国标要求</w:t>
      </w:r>
      <w:r w:rsidRPr="000967C5">
        <w:rPr>
          <w:rFonts w:asciiTheme="minorEastAsia" w:eastAsiaTheme="minorEastAsia" w:hAnsiTheme="minorEastAsia"/>
          <w:sz w:val="21"/>
          <w:szCs w:val="21"/>
          <w:lang w:eastAsia="zh-CN"/>
        </w:rPr>
        <w:t>。</w:t>
      </w:r>
    </w:p>
    <w:p w:rsidR="002D1928" w:rsidRPr="000967C5" w14:paraId="44F35857" w14:textId="77777777">
      <w:pPr>
        <w:numPr>
          <w:ilvl w:val="0"/>
          <w:numId w:val="35"/>
        </w:numPr>
        <w:tabs>
          <w:tab w:val="left" w:pos="1620"/>
        </w:tabs>
        <w:spacing w:before="120" w:beforeLines="50" w:after="120" w:afterLines="50"/>
        <w:jc w:val="both"/>
        <w:outlineLvl w:val="3"/>
        <w:rPr>
          <w:rFonts w:asciiTheme="minorEastAsia" w:eastAsiaTheme="minorEastAsia" w:hAnsiTheme="minorEastAsia"/>
          <w:sz w:val="21"/>
          <w:szCs w:val="21"/>
        </w:rPr>
      </w:pPr>
      <w:r w:rsidRPr="000967C5">
        <w:rPr>
          <w:rFonts w:asciiTheme="minorEastAsia" w:eastAsiaTheme="minorEastAsia" w:hAnsiTheme="minorEastAsia"/>
          <w:sz w:val="21"/>
          <w:szCs w:val="21"/>
        </w:rPr>
        <w:t>速度调节</w:t>
      </w:r>
    </w:p>
    <w:p w:rsidR="002D1928" w:rsidRPr="000967C5" w14:paraId="4690D6A6"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速度须预先调整好，以保证在满载时的额定频率。</w:t>
      </w:r>
    </w:p>
    <w:p w:rsidR="002D1928" w:rsidRPr="000967C5" w14:paraId="3D877E5D"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在各种负载情况下，须有手动调节速度的装置可在±5%的范围内进行调速。</w:t>
      </w:r>
    </w:p>
    <w:p w:rsidR="002D1928" w:rsidRPr="000967C5" w14:paraId="12078A62"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203" w:name="_Toc502854054"/>
      <w:bookmarkStart w:id="204" w:name="_Toc502861077"/>
      <w:bookmarkStart w:id="205" w:name="_Toc502858106"/>
      <w:bookmarkStart w:id="206" w:name="_Toc502860093"/>
      <w:r w:rsidRPr="000967C5">
        <w:rPr>
          <w:rFonts w:asciiTheme="minorEastAsia" w:eastAsiaTheme="minorEastAsia" w:hAnsiTheme="minorEastAsia"/>
          <w:sz w:val="21"/>
          <w:szCs w:val="21"/>
          <w:lang w:eastAsia="zh-CN"/>
        </w:rPr>
        <w:t>电压调整和调节</w:t>
      </w:r>
      <w:bookmarkEnd w:id="203"/>
      <w:bookmarkEnd w:id="204"/>
      <w:bookmarkEnd w:id="205"/>
      <w:bookmarkEnd w:id="206"/>
    </w:p>
    <w:p w:rsidR="002D1928" w:rsidRPr="000967C5" w14:paraId="465487D9" w14:textId="77777777">
      <w:pPr>
        <w:numPr>
          <w:ilvl w:val="0"/>
          <w:numId w:val="36"/>
        </w:numPr>
        <w:tabs>
          <w:tab w:val="left" w:pos="1620"/>
        </w:tabs>
        <w:spacing w:before="120" w:beforeLines="50" w:after="120" w:afterLines="50"/>
        <w:jc w:val="both"/>
        <w:outlineLvl w:val="3"/>
        <w:rPr>
          <w:rFonts w:asciiTheme="minorEastAsia" w:eastAsiaTheme="minorEastAsia" w:hAnsiTheme="minorEastAsia"/>
          <w:sz w:val="21"/>
          <w:szCs w:val="21"/>
        </w:rPr>
      </w:pPr>
      <w:r w:rsidRPr="000967C5">
        <w:rPr>
          <w:rFonts w:asciiTheme="minorEastAsia" w:eastAsiaTheme="minorEastAsia" w:hAnsiTheme="minorEastAsia"/>
          <w:sz w:val="21"/>
          <w:szCs w:val="21"/>
        </w:rPr>
        <w:t>电压调整</w:t>
      </w:r>
    </w:p>
    <w:p w:rsidR="002D1928" w:rsidRPr="000967C5" w14:paraId="33EC7D27"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安装—自动电压调整系统，用于使发电机接线端的输出电压稳定在稳态电流条件下从空载到满载都保持在其额定值的±2.5％以内。</w:t>
      </w:r>
    </w:p>
    <w:p w:rsidR="002D1928" w:rsidRPr="000967C5" w14:paraId="128A1B89"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发电机电压调整系统之工作性能须</w:t>
      </w:r>
      <w:r w:rsidRPr="000967C5">
        <w:rPr>
          <w:rFonts w:asciiTheme="minorEastAsia" w:eastAsiaTheme="minorEastAsia" w:hAnsiTheme="minorEastAsia" w:hint="eastAsia"/>
          <w:sz w:val="21"/>
          <w:szCs w:val="21"/>
          <w:lang w:eastAsia="zh-CN"/>
        </w:rPr>
        <w:t>满足国家标准</w:t>
      </w:r>
      <w:r w:rsidRPr="000967C5">
        <w:rPr>
          <w:rFonts w:asciiTheme="minorEastAsia" w:eastAsiaTheme="minorEastAsia" w:hAnsiTheme="minorEastAsia"/>
          <w:sz w:val="21"/>
          <w:szCs w:val="21"/>
          <w:lang w:eastAsia="zh-CN"/>
        </w:rPr>
        <w:t>。</w:t>
      </w:r>
    </w:p>
    <w:p w:rsidR="002D1928" w:rsidRPr="000967C5" w14:paraId="574F0C7E" w14:textId="77777777">
      <w:pPr>
        <w:numPr>
          <w:ilvl w:val="0"/>
          <w:numId w:val="36"/>
        </w:numPr>
        <w:tabs>
          <w:tab w:val="left" w:pos="1620"/>
        </w:tabs>
        <w:spacing w:before="120" w:beforeLines="50" w:after="120" w:afterLines="50"/>
        <w:jc w:val="both"/>
        <w:outlineLvl w:val="3"/>
        <w:rPr>
          <w:rFonts w:asciiTheme="minorEastAsia" w:eastAsiaTheme="minorEastAsia" w:hAnsiTheme="minorEastAsia"/>
          <w:sz w:val="21"/>
          <w:szCs w:val="21"/>
        </w:rPr>
      </w:pPr>
      <w:r w:rsidRPr="000967C5">
        <w:rPr>
          <w:rFonts w:asciiTheme="minorEastAsia" w:eastAsiaTheme="minorEastAsia" w:hAnsiTheme="minorEastAsia"/>
          <w:sz w:val="21"/>
          <w:szCs w:val="21"/>
        </w:rPr>
        <w:t>电压调节</w:t>
      </w:r>
    </w:p>
    <w:p w:rsidR="002D1928" w:rsidRPr="000967C5" w14:paraId="0E9F20AF" w14:textId="77777777">
      <w:pPr>
        <w:spacing w:before="120" w:beforeLines="50" w:after="120" w:afterLines="50"/>
        <w:ind w:left="1701" w:leftChars="77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提供一套输出电压调节装置以便于将输出电压调节至设计参数范围内之任何水平上。</w:t>
      </w:r>
    </w:p>
    <w:p w:rsidR="002D1928" w:rsidRPr="000967C5" w14:paraId="09B58410" w14:textId="67F9C762">
      <w:pPr>
        <w:pStyle w:val="ReportLevel2"/>
        <w:spacing w:before="240" w:beforeLines="100" w:after="240" w:afterLines="100"/>
        <w:rPr>
          <w:rFonts w:asciiTheme="minorEastAsia" w:eastAsiaTheme="minorEastAsia" w:hAnsiTheme="minorEastAsia"/>
          <w:b/>
          <w:bCs/>
          <w:sz w:val="21"/>
          <w:szCs w:val="21"/>
        </w:rPr>
      </w:pPr>
      <w:bookmarkStart w:id="207" w:name="_Toc502854055"/>
      <w:bookmarkStart w:id="208" w:name="_Toc502860094"/>
      <w:bookmarkStart w:id="209" w:name="_Toc502858107"/>
      <w:bookmarkStart w:id="210" w:name="_Toc502861078"/>
      <w:r w:rsidRPr="000967C5">
        <w:rPr>
          <w:rFonts w:asciiTheme="minorEastAsia" w:eastAsiaTheme="minorEastAsia" w:hAnsiTheme="minorEastAsia"/>
          <w:b/>
          <w:bCs/>
          <w:sz w:val="21"/>
          <w:szCs w:val="21"/>
        </w:rPr>
        <w:t>控制</w:t>
      </w:r>
      <w:r w:rsidRPr="000967C5">
        <w:rPr>
          <w:rFonts w:asciiTheme="minorEastAsia" w:eastAsiaTheme="minorEastAsia" w:hAnsiTheme="minorEastAsia" w:hint="eastAsia"/>
          <w:b/>
          <w:bCs/>
          <w:sz w:val="21"/>
          <w:szCs w:val="21"/>
          <w:lang w:eastAsia="zh-CN"/>
        </w:rPr>
        <w:t>柜（</w:t>
      </w:r>
      <w:r w:rsidRPr="000967C5" w:rsidR="00275FA6">
        <w:rPr>
          <w:rFonts w:asciiTheme="minorEastAsia" w:eastAsiaTheme="minorEastAsia" w:hAnsiTheme="minorEastAsia" w:hint="eastAsia"/>
          <w:b/>
          <w:bCs/>
          <w:sz w:val="21"/>
          <w:szCs w:val="21"/>
          <w:lang w:eastAsia="zh-CN"/>
        </w:rPr>
        <w:t>启动柜</w:t>
      </w:r>
      <w:r w:rsidRPr="000967C5">
        <w:rPr>
          <w:rFonts w:asciiTheme="minorEastAsia" w:eastAsiaTheme="minorEastAsia" w:hAnsiTheme="minorEastAsia" w:hint="eastAsia"/>
          <w:b/>
          <w:bCs/>
          <w:sz w:val="21"/>
          <w:szCs w:val="21"/>
          <w:lang w:eastAsia="zh-CN"/>
        </w:rPr>
        <w:t>）</w:t>
      </w:r>
      <w:bookmarkEnd w:id="207"/>
      <w:bookmarkEnd w:id="208"/>
      <w:bookmarkEnd w:id="209"/>
      <w:bookmarkEnd w:id="210"/>
    </w:p>
    <w:p w:rsidR="002D1928" w:rsidRPr="000967C5" w14:paraId="13980CEB" w14:textId="77777777">
      <w:pPr>
        <w:pStyle w:val="ReportLevel3"/>
        <w:spacing w:before="120" w:beforeLines="50" w:after="120" w:afterLines="50"/>
        <w:rPr>
          <w:rFonts w:asciiTheme="minorEastAsia" w:eastAsiaTheme="minorEastAsia" w:hAnsiTheme="minorEastAsia"/>
          <w:sz w:val="21"/>
          <w:szCs w:val="21"/>
          <w:lang w:eastAsia="zh-CN"/>
        </w:rPr>
      </w:pPr>
      <w:bookmarkStart w:id="211" w:name="_Toc502858108"/>
      <w:bookmarkStart w:id="212" w:name="_Toc502861079"/>
      <w:bookmarkStart w:id="213" w:name="_Toc502854056"/>
      <w:bookmarkStart w:id="214" w:name="_Toc502860095"/>
      <w:r w:rsidRPr="000967C5">
        <w:rPr>
          <w:rFonts w:asciiTheme="minorEastAsia" w:eastAsiaTheme="minorEastAsia" w:hAnsiTheme="minorEastAsia"/>
          <w:sz w:val="21"/>
          <w:szCs w:val="21"/>
          <w:lang w:eastAsia="zh-CN"/>
        </w:rPr>
        <w:t>发电机组控制屏应</w:t>
      </w:r>
      <w:r w:rsidRPr="000967C5">
        <w:rPr>
          <w:rFonts w:asciiTheme="minorEastAsia" w:eastAsiaTheme="minorEastAsia" w:hAnsiTheme="minorEastAsia" w:hint="eastAsia"/>
          <w:sz w:val="21"/>
          <w:szCs w:val="21"/>
          <w:lang w:eastAsia="zh-CN"/>
        </w:rPr>
        <w:t>发电机组自带成套产品</w:t>
      </w:r>
      <w:r w:rsidRPr="000967C5">
        <w:rPr>
          <w:rFonts w:asciiTheme="minorEastAsia" w:eastAsiaTheme="minorEastAsia" w:hAnsiTheme="minorEastAsia"/>
          <w:sz w:val="21"/>
          <w:szCs w:val="21"/>
          <w:lang w:eastAsia="zh-CN"/>
        </w:rPr>
        <w:t>。</w:t>
      </w:r>
      <w:bookmarkEnd w:id="211"/>
      <w:bookmarkEnd w:id="212"/>
      <w:bookmarkEnd w:id="213"/>
      <w:bookmarkEnd w:id="214"/>
    </w:p>
    <w:p w:rsidR="002D1928" w:rsidRPr="000967C5" w:rsidP="00275FA6" w14:paraId="4B344233" w14:textId="77777777">
      <w:pPr>
        <w:pStyle w:val="ReportText"/>
        <w:numPr>
          <w:ilvl w:val="0"/>
          <w:numId w:val="37"/>
        </w:numPr>
        <w:spacing w:before="120" w:beforeLines="50" w:after="120" w:afterLines="50"/>
        <w:outlineLvl w:val="3"/>
        <w:rPr>
          <w:rFonts w:ascii="宋体" w:hAnsi="宋体"/>
          <w:sz w:val="21"/>
          <w:szCs w:val="21"/>
          <w:lang w:eastAsia="zh-CN"/>
        </w:rPr>
        <w:sectPr>
          <w:footerReference w:type="default" r:id="rId11"/>
          <w:type w:val="nextPage"/>
          <w:pgSz w:w="11906" w:h="16838"/>
          <w:pgMar w:top="1814" w:right="1418" w:bottom="1418" w:left="1814" w:header="851" w:footer="992" w:gutter="0"/>
          <w:pgNumType w:start="7"/>
          <w:cols w:space="425"/>
          <w:titlePg w:val="0"/>
          <w:docGrid w:linePitch="312"/>
        </w:sectPr>
      </w:pPr>
      <w:r w:rsidRPr="000967C5">
        <w:rPr>
          <w:rFonts w:asciiTheme="minorEastAsia" w:eastAsiaTheme="minorEastAsia" w:hAnsiTheme="minorEastAsia"/>
          <w:sz w:val="21"/>
          <w:szCs w:val="21"/>
          <w:lang w:eastAsia="zh-CN"/>
        </w:rPr>
        <w:t>控制屏</w:t>
      </w:r>
      <w:r w:rsidRPr="000967C5">
        <w:rPr>
          <w:rFonts w:asciiTheme="minorEastAsia" w:eastAsiaTheme="minorEastAsia" w:hAnsiTheme="minorEastAsia" w:hint="eastAsia"/>
          <w:sz w:val="21"/>
          <w:szCs w:val="21"/>
          <w:lang w:eastAsia="zh-CN"/>
        </w:rPr>
        <w:t>为微电脑控制，带液晶数字显示屏，</w:t>
      </w:r>
      <w:r w:rsidRPr="000967C5">
        <w:rPr>
          <w:rFonts w:asciiTheme="minorEastAsia" w:eastAsiaTheme="minorEastAsia" w:hAnsiTheme="minorEastAsia"/>
          <w:sz w:val="21"/>
          <w:szCs w:val="21"/>
          <w:lang w:eastAsia="zh-CN"/>
        </w:rPr>
        <w:t>应能承受机械、电气、震动、电和热应力及在正常运行情况下可能遭受的湿度影响。</w:t>
      </w:r>
      <w:r w:rsidRPr="000967C5">
        <w:rPr>
          <w:rFonts w:ascii="宋体" w:hAnsi="宋体" w:hint="eastAsia"/>
          <w:sz w:val="21"/>
          <w:szCs w:val="21"/>
          <w:lang w:eastAsia="zh-CN"/>
        </w:rPr>
        <w:t>且须具有防电磁波干拢、具有故障储存、实时报警和系统自诊断功能。</w:t>
      </w:r>
    </w:p>
    <w:p w:rsidR="002D1928" w:rsidRPr="000967C5" w14:paraId="2EDC8C86" w14:textId="77777777">
      <w:pPr>
        <w:pStyle w:val="ReportText"/>
        <w:numPr>
          <w:ilvl w:val="0"/>
          <w:numId w:val="37"/>
        </w:numPr>
        <w:spacing w:before="120" w:beforeLines="50" w:after="120" w:afterLines="50"/>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配有保护装置以避免控制电路短路所引起的后果。</w:t>
      </w:r>
    </w:p>
    <w:p w:rsidR="002D1928" w:rsidRPr="000967C5" w14:paraId="5E07BD08" w14:textId="77777777">
      <w:pPr>
        <w:pStyle w:val="ReportText"/>
        <w:numPr>
          <w:ilvl w:val="0"/>
          <w:numId w:val="37"/>
        </w:numPr>
        <w:spacing w:before="120" w:beforeLines="50" w:after="120" w:afterLines="50"/>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当有电气装置装在面板或门上，须采取措施如以一条适当截面的接地体以保证接地保护电路的连续性。</w:t>
      </w:r>
    </w:p>
    <w:p w:rsidR="002D1928" w:rsidRPr="000967C5" w14:paraId="69EBB944" w14:textId="77777777">
      <w:pPr>
        <w:pStyle w:val="ReportText"/>
        <w:numPr>
          <w:ilvl w:val="0"/>
          <w:numId w:val="37"/>
        </w:numPr>
        <w:spacing w:before="120" w:beforeLines="50" w:after="120" w:afterLines="50"/>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为面板或门上的电气装置和测量仪表布线时，必须做到当面板或门移动时不会引起机械性的操作。</w:t>
      </w:r>
    </w:p>
    <w:p w:rsidR="002D1928" w:rsidRPr="000967C5" w14:paraId="132F4BFC" w14:textId="77777777">
      <w:pPr>
        <w:pStyle w:val="ReportText"/>
        <w:numPr>
          <w:ilvl w:val="0"/>
          <w:numId w:val="37"/>
        </w:numPr>
        <w:spacing w:before="120" w:beforeLines="50" w:after="120" w:afterLines="50"/>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不需每天使用的调节装置应布置在控制屏内以达到安全运行。</w:t>
      </w:r>
    </w:p>
    <w:p w:rsidR="002D1928" w:rsidRPr="000967C5" w14:paraId="1882B3B4" w14:textId="77777777">
      <w:pPr>
        <w:pStyle w:val="ReportText"/>
        <w:numPr>
          <w:ilvl w:val="0"/>
          <w:numId w:val="37"/>
        </w:numPr>
        <w:spacing w:before="120" w:beforeLines="50" w:after="120" w:afterLines="50"/>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控制屏须包括，但不局限于以下项目：</w:t>
      </w:r>
    </w:p>
    <w:p w:rsidR="002D1928" w:rsidRPr="000967C5" w14:paraId="6934B9DC" w14:textId="77777777">
      <w:pPr>
        <w:pStyle w:val="Heading5"/>
        <w:numPr>
          <w:ilvl w:val="0"/>
          <w:numId w:val="38"/>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按图规定，装设四级ACB/MCCB，带有可调节的发电机过电流装置、接地保护和</w:t>
      </w:r>
      <w:r w:rsidRPr="000967C5">
        <w:rPr>
          <w:rFonts w:asciiTheme="minorEastAsia" w:eastAsiaTheme="minorEastAsia" w:hAnsiTheme="minorEastAsia"/>
          <w:sz w:val="21"/>
          <w:szCs w:val="21"/>
          <w:lang w:eastAsia="zh-CN"/>
        </w:rPr>
        <w:t>逆功率继电器</w:t>
      </w:r>
      <w:r w:rsidRPr="000967C5">
        <w:rPr>
          <w:rFonts w:asciiTheme="minorEastAsia" w:eastAsiaTheme="minorEastAsia" w:hAnsiTheme="minorEastAsia"/>
          <w:sz w:val="21"/>
          <w:szCs w:val="21"/>
          <w:lang w:eastAsia="zh-CN"/>
        </w:rPr>
        <w:t>、控制和指示器。ACB/MCCB之额定电流和断路容量须与发电机容量相配合。</w:t>
      </w:r>
    </w:p>
    <w:p w:rsidR="002D1928" w:rsidRPr="000967C5" w14:paraId="26CB12FA" w14:textId="77777777">
      <w:pPr>
        <w:pStyle w:val="Heading5"/>
        <w:numPr>
          <w:ilvl w:val="0"/>
          <w:numId w:val="38"/>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lang w:eastAsia="zh-CN"/>
        </w:rPr>
        <w:t>仪表</w:t>
      </w:r>
    </w:p>
    <w:p w:rsidR="002D1928" w:rsidRPr="000967C5" w14:paraId="57A3C36E" w14:textId="77777777">
      <w:pPr>
        <w:pStyle w:val="ListParagraph"/>
        <w:numPr>
          <w:ilvl w:val="0"/>
          <w:numId w:val="39"/>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电度表</w:t>
      </w:r>
    </w:p>
    <w:p w:rsidR="002D1928" w:rsidRPr="000967C5" w14:paraId="408D3F28" w14:textId="77777777">
      <w:pPr>
        <w:pStyle w:val="ListParagraph"/>
        <w:numPr>
          <w:ilvl w:val="0"/>
          <w:numId w:val="39"/>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频率表（范围</w:t>
      </w:r>
      <w:r w:rsidRPr="000967C5">
        <w:rPr>
          <w:rFonts w:asciiTheme="minorEastAsia" w:eastAsiaTheme="minorEastAsia" w:hAnsiTheme="minorEastAsia"/>
          <w:sz w:val="21"/>
          <w:szCs w:val="21"/>
        </w:rPr>
        <w:t>：45至55赫）</w:t>
      </w:r>
    </w:p>
    <w:p w:rsidR="002D1928" w:rsidRPr="000967C5" w14:paraId="05BCC677" w14:textId="77777777">
      <w:pPr>
        <w:pStyle w:val="ListParagraph"/>
        <w:numPr>
          <w:ilvl w:val="0"/>
          <w:numId w:val="39"/>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功率因数表</w:t>
      </w:r>
    </w:p>
    <w:p w:rsidR="002D1928" w:rsidRPr="000967C5" w14:paraId="36166A0B"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运行小时计（范围：9999小时）</w:t>
      </w:r>
    </w:p>
    <w:p w:rsidR="002D1928" w:rsidRPr="000967C5" w14:paraId="14EF0549"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带有</w:t>
      </w:r>
      <w:r w:rsidRPr="000967C5">
        <w:rPr>
          <w:rFonts w:asciiTheme="minorEastAsia" w:eastAsiaTheme="minorEastAsia" w:hAnsiTheme="minorEastAsia"/>
          <w:sz w:val="21"/>
          <w:szCs w:val="21"/>
          <w:lang w:eastAsia="zh-CN"/>
        </w:rPr>
        <w:t>相选选择</w:t>
      </w:r>
      <w:r w:rsidRPr="000967C5">
        <w:rPr>
          <w:rFonts w:asciiTheme="minorEastAsia" w:eastAsiaTheme="minorEastAsia" w:hAnsiTheme="minorEastAsia"/>
          <w:sz w:val="21"/>
          <w:szCs w:val="21"/>
          <w:lang w:eastAsia="zh-CN"/>
        </w:rPr>
        <w:t>开关的交流电压表，用以监视发电机之输出电压</w:t>
      </w:r>
    </w:p>
    <w:p w:rsidR="002D1928" w:rsidRPr="000967C5" w14:paraId="30AA7A77"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带有</w:t>
      </w:r>
      <w:r w:rsidRPr="000967C5">
        <w:rPr>
          <w:rFonts w:asciiTheme="minorEastAsia" w:eastAsiaTheme="minorEastAsia" w:hAnsiTheme="minorEastAsia"/>
          <w:sz w:val="21"/>
          <w:szCs w:val="21"/>
          <w:lang w:eastAsia="zh-CN"/>
        </w:rPr>
        <w:t>相选择</w:t>
      </w:r>
      <w:r w:rsidRPr="000967C5">
        <w:rPr>
          <w:rFonts w:asciiTheme="minorEastAsia" w:eastAsiaTheme="minorEastAsia" w:hAnsiTheme="minorEastAsia"/>
          <w:sz w:val="21"/>
          <w:szCs w:val="21"/>
          <w:lang w:eastAsia="zh-CN"/>
        </w:rPr>
        <w:t>开关的交流电流表和电流互感器，用以监视发电机之输出电流</w:t>
      </w:r>
    </w:p>
    <w:p w:rsidR="002D1928" w:rsidRPr="000967C5" w14:paraId="172902DF"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直流电压表，用以监视电池电压</w:t>
      </w:r>
    </w:p>
    <w:p w:rsidR="002D1928" w:rsidRPr="000967C5" w14:paraId="1B5FDE1C"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直流电流表，用以监视充电电流</w:t>
      </w:r>
    </w:p>
    <w:p w:rsidR="002D1928" w:rsidRPr="000967C5" w14:paraId="47D89B62"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不可复归的计数器以记录起动次数</w:t>
      </w:r>
    </w:p>
    <w:p w:rsidR="002D1928" w:rsidRPr="000967C5" w14:paraId="5BCDD5D1" w14:textId="77777777">
      <w:pPr>
        <w:pStyle w:val="ListParagraph"/>
        <w:numPr>
          <w:ilvl w:val="0"/>
          <w:numId w:val="39"/>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不可复归的计数器以记录起动失败次数</w:t>
      </w:r>
    </w:p>
    <w:p w:rsidR="002D1928" w:rsidRPr="000967C5" w14:paraId="02909D41" w14:textId="77777777">
      <w:pPr>
        <w:pStyle w:val="Heading5"/>
        <w:numPr>
          <w:ilvl w:val="0"/>
          <w:numId w:val="38"/>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lang w:eastAsia="zh-CN"/>
        </w:rPr>
        <w:t>按钮</w:t>
      </w:r>
    </w:p>
    <w:p w:rsidR="002D1928" w:rsidRPr="000967C5" w14:paraId="00ED706D" w14:textId="77777777">
      <w:pPr>
        <w:pStyle w:val="ListParagraph"/>
        <w:numPr>
          <w:ilvl w:val="0"/>
          <w:numId w:val="40"/>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发动机起动按钮</w:t>
      </w:r>
    </w:p>
    <w:p w:rsidR="002D1928" w:rsidRPr="000967C5" w14:paraId="2FFEC6B7" w14:textId="77777777">
      <w:pPr>
        <w:pStyle w:val="ListParagraph"/>
        <w:numPr>
          <w:ilvl w:val="0"/>
          <w:numId w:val="40"/>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发动机停止按钮</w:t>
      </w:r>
    </w:p>
    <w:p w:rsidR="002D1928" w:rsidRPr="000967C5" w14:paraId="5C1A1F08" w14:textId="77777777">
      <w:pPr>
        <w:pStyle w:val="ListParagraph"/>
        <w:numPr>
          <w:ilvl w:val="0"/>
          <w:numId w:val="40"/>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系统复位按钮</w:t>
      </w:r>
    </w:p>
    <w:p w:rsidR="002D1928" w:rsidRPr="000967C5" w14:paraId="71256AAE" w14:textId="77777777">
      <w:pPr>
        <w:pStyle w:val="ListParagraph"/>
        <w:numPr>
          <w:ilvl w:val="0"/>
          <w:numId w:val="40"/>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用以模拟主电源故障的按钮</w:t>
      </w:r>
    </w:p>
    <w:p w:rsidR="002D1928" w:rsidRPr="000967C5" w14:paraId="437A859A" w14:textId="77777777">
      <w:pPr>
        <w:pStyle w:val="ListParagraph"/>
        <w:numPr>
          <w:ilvl w:val="0"/>
          <w:numId w:val="40"/>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紧急停机按钮</w:t>
      </w:r>
    </w:p>
    <w:p w:rsidR="002D1928" w:rsidRPr="000967C5" w14:paraId="4E645078" w14:textId="77777777">
      <w:pPr>
        <w:pStyle w:val="Heading5"/>
        <w:numPr>
          <w:ilvl w:val="0"/>
          <w:numId w:val="38"/>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带红色指示灯及音响警报信号</w:t>
      </w:r>
    </w:p>
    <w:p w:rsidR="002D1928" w:rsidRPr="000967C5" w14:paraId="796FD82B" w14:textId="77777777">
      <w:pPr>
        <w:pStyle w:val="ListParagraph"/>
        <w:numPr>
          <w:ilvl w:val="0"/>
          <w:numId w:val="41"/>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ACB/MCCB</w:t>
      </w:r>
      <w:r w:rsidRPr="000967C5">
        <w:rPr>
          <w:rFonts w:asciiTheme="minorEastAsia" w:eastAsiaTheme="minorEastAsia" w:hAnsiTheme="minorEastAsia"/>
          <w:sz w:val="21"/>
          <w:szCs w:val="21"/>
        </w:rPr>
        <w:t>事故跳闸</w:t>
      </w:r>
    </w:p>
    <w:p w:rsidR="002D1928" w:rsidRPr="000967C5" w14:paraId="2757DAC0" w14:textId="77777777">
      <w:pPr>
        <w:pStyle w:val="ListParagraph"/>
        <w:numPr>
          <w:ilvl w:val="0"/>
          <w:numId w:val="41"/>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发动机超速停机（两阶段）</w:t>
      </w:r>
    </w:p>
    <w:p w:rsidR="002D1928" w:rsidRPr="000967C5" w14:paraId="706FC8E5" w14:textId="77777777">
      <w:pPr>
        <w:pStyle w:val="ListParagraph"/>
        <w:numPr>
          <w:ilvl w:val="0"/>
          <w:numId w:val="41"/>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发动机起动失败</w:t>
      </w:r>
    </w:p>
    <w:p w:rsidR="002D1928" w:rsidRPr="000967C5" w14:paraId="0B7AEE88" w14:textId="77777777">
      <w:pPr>
        <w:pStyle w:val="ListParagraph"/>
        <w:numPr>
          <w:ilvl w:val="0"/>
          <w:numId w:val="41"/>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低油位（两阶段</w:t>
      </w:r>
      <w:r w:rsidRPr="000967C5">
        <w:rPr>
          <w:rFonts w:asciiTheme="minorEastAsia" w:eastAsiaTheme="minorEastAsia" w:hAnsiTheme="minorEastAsia"/>
          <w:sz w:val="21"/>
          <w:szCs w:val="21"/>
        </w:rPr>
        <w:t>）</w:t>
      </w:r>
    </w:p>
    <w:p w:rsidR="002D1928" w:rsidRPr="000967C5" w14:paraId="061D9C45" w14:textId="77777777">
      <w:pPr>
        <w:pStyle w:val="ListParagraph"/>
        <w:numPr>
          <w:ilvl w:val="0"/>
          <w:numId w:val="41"/>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润滑油压力偏低（两阶段）</w:t>
      </w:r>
    </w:p>
    <w:p w:rsidR="002D1928" w:rsidRPr="000967C5" w14:paraId="3900B3C5" w14:textId="77777777">
      <w:pPr>
        <w:pStyle w:val="ListParagraph"/>
        <w:numPr>
          <w:ilvl w:val="0"/>
          <w:numId w:val="41"/>
        </w:numPr>
        <w:spacing w:before="120" w:beforeLines="50" w:after="120" w:afterLines="50"/>
        <w:rPr>
          <w:rFonts w:asciiTheme="minorEastAsia" w:eastAsiaTheme="minorEastAsia" w:hAnsiTheme="minorEastAsia"/>
          <w:sz w:val="21"/>
          <w:szCs w:val="21"/>
          <w:lang w:eastAsia="zh-CN"/>
        </w:rPr>
        <w:sectPr>
          <w:footerReference w:type="default" r:id="rId12"/>
          <w:type w:val="nextPage"/>
          <w:pgSz w:w="11906" w:h="16838"/>
          <w:pgMar w:top="1814" w:right="1418" w:bottom="1418" w:left="1814" w:header="851" w:footer="992" w:gutter="0"/>
          <w:pgNumType w:start="8"/>
          <w:cols w:space="425"/>
          <w:titlePg w:val="0"/>
          <w:docGrid w:linePitch="312"/>
        </w:sectPr>
      </w:pPr>
      <w:r w:rsidRPr="000967C5">
        <w:rPr>
          <w:rFonts w:asciiTheme="minorEastAsia" w:eastAsiaTheme="minorEastAsia" w:hAnsiTheme="minorEastAsia"/>
          <w:sz w:val="21"/>
          <w:szCs w:val="21"/>
          <w:lang w:eastAsia="zh-CN"/>
        </w:rPr>
        <w:t>润滑油温度偏高（两阶段）</w:t>
      </w:r>
    </w:p>
    <w:p w:rsidR="002D1928" w:rsidRPr="000967C5" w14:paraId="6AFD68F3" w14:textId="77777777">
      <w:pPr>
        <w:pStyle w:val="ListParagraph"/>
        <w:numPr>
          <w:ilvl w:val="0"/>
          <w:numId w:val="41"/>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电池系统故障</w:t>
      </w:r>
    </w:p>
    <w:p w:rsidR="002D1928" w:rsidRPr="000967C5" w14:paraId="16B0310F" w14:textId="77777777">
      <w:pPr>
        <w:pStyle w:val="Heading5"/>
        <w:numPr>
          <w:ilvl w:val="0"/>
          <w:numId w:val="38"/>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带指示灯但不带音响警报信号</w:t>
      </w:r>
    </w:p>
    <w:p w:rsidR="002D1928" w:rsidRPr="000967C5" w14:paraId="0056CCD1" w14:textId="77777777">
      <w:pPr>
        <w:pStyle w:val="Heading5"/>
        <w:numPr>
          <w:ilvl w:val="0"/>
          <w:numId w:val="38"/>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红灯</w:t>
      </w:r>
    </w:p>
    <w:p w:rsidR="002D1928" w:rsidRPr="000967C5" w14:paraId="1CFC2287" w14:textId="77777777">
      <w:pPr>
        <w:pStyle w:val="ListParagraph"/>
        <w:numPr>
          <w:ilvl w:val="0"/>
          <w:numId w:val="42"/>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ACB/MCCB</w:t>
      </w:r>
      <w:r w:rsidRPr="000967C5">
        <w:rPr>
          <w:rFonts w:asciiTheme="minorEastAsia" w:eastAsiaTheme="minorEastAsia" w:hAnsiTheme="minorEastAsia"/>
          <w:sz w:val="21"/>
          <w:szCs w:val="21"/>
        </w:rPr>
        <w:t>闭合</w:t>
      </w:r>
    </w:p>
    <w:p w:rsidR="002D1928" w:rsidRPr="000967C5" w14:paraId="0FC55C28" w14:textId="77777777">
      <w:pPr>
        <w:pStyle w:val="ListParagraph"/>
        <w:numPr>
          <w:ilvl w:val="0"/>
          <w:numId w:val="42"/>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发动机自动控制运行</w:t>
      </w:r>
    </w:p>
    <w:p w:rsidR="002D1928" w:rsidRPr="000967C5" w14:paraId="216D147E" w14:textId="77777777">
      <w:pPr>
        <w:pStyle w:val="ListParagraph"/>
        <w:numPr>
          <w:ilvl w:val="0"/>
          <w:numId w:val="42"/>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电池放电</w:t>
      </w:r>
    </w:p>
    <w:p w:rsidR="002D1928" w:rsidRPr="000967C5" w14:paraId="70B7F4D2" w14:textId="77777777">
      <w:pPr>
        <w:pStyle w:val="Heading5"/>
        <w:numPr>
          <w:ilvl w:val="0"/>
          <w:numId w:val="38"/>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绿灯</w:t>
      </w:r>
    </w:p>
    <w:p w:rsidR="002D1928" w:rsidRPr="000967C5" w14:paraId="5C380E54" w14:textId="77777777">
      <w:pPr>
        <w:pStyle w:val="ListParagraph"/>
        <w:numPr>
          <w:ilvl w:val="0"/>
          <w:numId w:val="43"/>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ACB/MCCB</w:t>
      </w:r>
      <w:r w:rsidRPr="000967C5">
        <w:rPr>
          <w:rFonts w:asciiTheme="minorEastAsia" w:eastAsiaTheme="minorEastAsia" w:hAnsiTheme="minorEastAsia"/>
          <w:sz w:val="21"/>
          <w:szCs w:val="21"/>
        </w:rPr>
        <w:t>断开</w:t>
      </w:r>
    </w:p>
    <w:p w:rsidR="002D1928" w:rsidRPr="000967C5" w14:paraId="6D8A9809" w14:textId="77777777">
      <w:pPr>
        <w:pStyle w:val="ListParagraph"/>
        <w:numPr>
          <w:ilvl w:val="0"/>
          <w:numId w:val="43"/>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发动机手动控制运行</w:t>
      </w:r>
    </w:p>
    <w:p w:rsidR="002D1928" w:rsidRPr="000967C5" w14:paraId="78F78435" w14:textId="77777777">
      <w:pPr>
        <w:pStyle w:val="ListParagraph"/>
        <w:numPr>
          <w:ilvl w:val="0"/>
          <w:numId w:val="43"/>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发动机带负载运行</w:t>
      </w:r>
    </w:p>
    <w:p w:rsidR="002D1928" w:rsidRPr="000967C5" w14:paraId="4A97D7AB" w14:textId="77777777">
      <w:pPr>
        <w:pStyle w:val="ListParagraph"/>
        <w:numPr>
          <w:ilvl w:val="0"/>
          <w:numId w:val="43"/>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主电源供电正常</w:t>
      </w:r>
    </w:p>
    <w:p w:rsidR="002D1928" w:rsidRPr="000967C5" w14:paraId="3E39A30C" w14:textId="77777777">
      <w:pPr>
        <w:pStyle w:val="Heading5"/>
        <w:numPr>
          <w:ilvl w:val="0"/>
          <w:numId w:val="38"/>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琥珀色灯</w:t>
      </w:r>
    </w:p>
    <w:p w:rsidR="002D1928" w:rsidRPr="000967C5" w14:paraId="4430DABA"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ACB/MCCB</w:t>
      </w:r>
      <w:r w:rsidRPr="000967C5">
        <w:rPr>
          <w:rFonts w:asciiTheme="minorEastAsia" w:eastAsiaTheme="minorEastAsia" w:hAnsiTheme="minorEastAsia"/>
          <w:sz w:val="21"/>
          <w:szCs w:val="21"/>
        </w:rPr>
        <w:t>跳闸回路正常</w:t>
      </w:r>
    </w:p>
    <w:p w:rsidR="002D1928" w:rsidRPr="000967C5" w14:paraId="2143E378"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其它控制设备</w:t>
      </w:r>
    </w:p>
    <w:p w:rsidR="002D1928" w:rsidRPr="000967C5" w14:paraId="447A3A86"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指示灯试验按钮</w:t>
      </w:r>
    </w:p>
    <w:p w:rsidR="002D1928" w:rsidRPr="000967C5" w14:paraId="20240EE8"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频率预调装置</w:t>
      </w:r>
    </w:p>
    <w:p w:rsidR="002D1928" w:rsidRPr="000967C5" w14:paraId="225CA729"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电压预调装置</w:t>
      </w:r>
    </w:p>
    <w:p w:rsidR="002D1928" w:rsidRPr="000967C5" w14:paraId="5785914E"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发动机起动控制</w:t>
      </w:r>
    </w:p>
    <w:p w:rsidR="002D1928" w:rsidRPr="000967C5" w14:paraId="3A244D21" w14:textId="77777777">
      <w:pPr>
        <w:pStyle w:val="ListParagraph"/>
        <w:numPr>
          <w:ilvl w:val="0"/>
          <w:numId w:val="44"/>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电池充电器及其附属装置</w:t>
      </w:r>
    </w:p>
    <w:p w:rsidR="002D1928" w:rsidRPr="000967C5" w14:paraId="1DAFC521"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发动机加热器控制</w:t>
      </w:r>
    </w:p>
    <w:p w:rsidR="002D1928" w:rsidRPr="000967C5" w14:paraId="7B2A4A2B"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电子同步调节器</w:t>
      </w:r>
    </w:p>
    <w:p w:rsidR="002D1928" w:rsidRPr="000967C5" w14:paraId="206C42E4" w14:textId="77777777">
      <w:pPr>
        <w:pStyle w:val="ListParagraph"/>
        <w:numPr>
          <w:ilvl w:val="0"/>
          <w:numId w:val="44"/>
        </w:numPr>
        <w:spacing w:before="120" w:beforeLines="50" w:after="120" w:afterLines="50"/>
        <w:rPr>
          <w:rFonts w:asciiTheme="minorEastAsia" w:eastAsiaTheme="minorEastAsia" w:hAnsiTheme="minorEastAsia"/>
          <w:sz w:val="21"/>
          <w:szCs w:val="21"/>
        </w:rPr>
      </w:pPr>
      <w:r w:rsidRPr="000967C5">
        <w:rPr>
          <w:rFonts w:asciiTheme="minorEastAsia" w:eastAsiaTheme="minorEastAsia" w:hAnsiTheme="minorEastAsia"/>
          <w:sz w:val="21"/>
          <w:szCs w:val="21"/>
        </w:rPr>
        <w:t>固态自动电压调整器</w:t>
      </w:r>
    </w:p>
    <w:p w:rsidR="002D1928" w:rsidRPr="000967C5" w14:paraId="744EF4A0" w14:textId="77777777">
      <w:pPr>
        <w:pStyle w:val="ListParagraph"/>
        <w:numPr>
          <w:ilvl w:val="0"/>
          <w:numId w:val="44"/>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“手动—自动”旋转控制开关</w:t>
      </w:r>
    </w:p>
    <w:p w:rsidR="002D1928" w:rsidRPr="000967C5" w14:paraId="140B8920" w14:textId="77777777">
      <w:pPr>
        <w:pStyle w:val="ListParagraph"/>
        <w:numPr>
          <w:ilvl w:val="0"/>
          <w:numId w:val="44"/>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警报信号和信号解除开闭</w:t>
      </w:r>
    </w:p>
    <w:p w:rsidR="002D1928" w:rsidRPr="000967C5" w14:paraId="199852CA" w14:textId="77777777">
      <w:pPr>
        <w:pStyle w:val="ListParagraph"/>
        <w:numPr>
          <w:ilvl w:val="0"/>
          <w:numId w:val="44"/>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带手动隔离开关，由恒温器控制的控制屏防冷凝加热器</w:t>
      </w:r>
    </w:p>
    <w:p w:rsidR="002D1928" w:rsidRPr="000967C5" w14:paraId="03ACD1C6" w14:textId="77777777">
      <w:pPr>
        <w:pStyle w:val="ListParagraph"/>
        <w:numPr>
          <w:ilvl w:val="0"/>
          <w:numId w:val="44"/>
        </w:numPr>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按以下规定为遥控指示，发动机起动和停机，发电机保护等必需的继电器和干接点。</w:t>
      </w:r>
    </w:p>
    <w:p w:rsidR="002D1928" w:rsidRPr="000967C5" w14:paraId="17F849DC" w14:textId="77777777">
      <w:pPr>
        <w:pStyle w:val="ReportLevel3"/>
        <w:spacing w:before="120" w:beforeLines="50" w:after="120" w:afterLines="50"/>
        <w:rPr>
          <w:rFonts w:asciiTheme="minorEastAsia" w:eastAsiaTheme="minorEastAsia" w:hAnsiTheme="minorEastAsia"/>
          <w:sz w:val="21"/>
          <w:szCs w:val="21"/>
          <w:lang w:eastAsia="zh-CN"/>
        </w:rPr>
      </w:pPr>
      <w:bookmarkStart w:id="215" w:name="_Toc502854057"/>
      <w:bookmarkStart w:id="216" w:name="_Toc502861080"/>
      <w:bookmarkStart w:id="217" w:name="_Toc502860096"/>
      <w:bookmarkStart w:id="218" w:name="_Toc502858109"/>
      <w:r w:rsidRPr="000967C5">
        <w:rPr>
          <w:rFonts w:asciiTheme="minorEastAsia" w:eastAsiaTheme="minorEastAsia" w:hAnsiTheme="minorEastAsia"/>
          <w:sz w:val="21"/>
          <w:szCs w:val="21"/>
          <w:lang w:eastAsia="zh-CN"/>
        </w:rPr>
        <w:t>控制屏监控信号</w:t>
      </w:r>
      <w:bookmarkEnd w:id="215"/>
      <w:bookmarkEnd w:id="216"/>
      <w:bookmarkEnd w:id="217"/>
      <w:bookmarkEnd w:id="218"/>
      <w:r w:rsidRPr="000967C5">
        <w:rPr>
          <w:rFonts w:asciiTheme="minorEastAsia" w:eastAsiaTheme="minorEastAsia" w:hAnsiTheme="minorEastAsia"/>
          <w:sz w:val="21"/>
          <w:szCs w:val="21"/>
          <w:lang w:eastAsia="zh-CN"/>
        </w:rPr>
        <w:t xml:space="preserve"> </w:t>
      </w:r>
    </w:p>
    <w:p w:rsidR="006779B5" w:rsidRPr="000967C5" w:rsidP="006779B5" w14:paraId="58A09CEF" w14:textId="1AF886BA">
      <w:pPr>
        <w:spacing w:before="120" w:beforeLines="50" w:after="120" w:afterLines="50"/>
        <w:ind w:left="1069" w:leftChars="486"/>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须</w:t>
      </w:r>
      <w:r w:rsidRPr="000967C5">
        <w:rPr>
          <w:rFonts w:asciiTheme="minorEastAsia" w:eastAsiaTheme="minorEastAsia" w:hAnsiTheme="minorEastAsia" w:hint="eastAsia"/>
          <w:sz w:val="21"/>
          <w:szCs w:val="21"/>
          <w:lang w:eastAsia="zh-CN"/>
        </w:rPr>
        <w:t>带有B</w:t>
      </w:r>
      <w:r w:rsidRPr="000967C5">
        <w:rPr>
          <w:rFonts w:asciiTheme="minorEastAsia" w:eastAsiaTheme="minorEastAsia" w:hAnsiTheme="minorEastAsia"/>
          <w:sz w:val="21"/>
          <w:szCs w:val="21"/>
          <w:lang w:eastAsia="zh-CN"/>
        </w:rPr>
        <w:t>A</w:t>
      </w:r>
      <w:r w:rsidRPr="000967C5">
        <w:rPr>
          <w:rFonts w:asciiTheme="minorEastAsia" w:eastAsiaTheme="minorEastAsia" w:hAnsiTheme="minorEastAsia" w:hint="eastAsia"/>
          <w:sz w:val="21"/>
          <w:szCs w:val="21"/>
          <w:lang w:eastAsia="zh-CN"/>
        </w:rPr>
        <w:t>通讯接口，</w:t>
      </w:r>
      <w:r w:rsidRPr="000967C5" w:rsidR="00307E8E">
        <w:rPr>
          <w:rFonts w:asciiTheme="minorEastAsia" w:eastAsiaTheme="minorEastAsia" w:hAnsiTheme="minorEastAsia"/>
          <w:sz w:val="21"/>
          <w:szCs w:val="21"/>
          <w:lang w:eastAsia="zh-CN"/>
        </w:rPr>
        <w:t>所有监控信号，但不包括油位及油泵等参数，</w:t>
      </w:r>
      <w:r w:rsidRPr="000967C5">
        <w:rPr>
          <w:rFonts w:asciiTheme="minorEastAsia" w:eastAsiaTheme="minorEastAsia" w:hAnsiTheme="minorEastAsia" w:hint="eastAsia"/>
          <w:sz w:val="21"/>
          <w:szCs w:val="21"/>
          <w:lang w:eastAsia="zh-CN"/>
        </w:rPr>
        <w:t>可通过接口接入B</w:t>
      </w:r>
      <w:r w:rsidRPr="000967C5">
        <w:rPr>
          <w:rFonts w:asciiTheme="minorEastAsia" w:eastAsiaTheme="minorEastAsia" w:hAnsiTheme="minorEastAsia"/>
          <w:sz w:val="21"/>
          <w:szCs w:val="21"/>
          <w:lang w:eastAsia="zh-CN"/>
        </w:rPr>
        <w:t>A</w:t>
      </w:r>
      <w:r w:rsidRPr="000967C5">
        <w:rPr>
          <w:rFonts w:asciiTheme="minorEastAsia" w:eastAsiaTheme="minorEastAsia" w:hAnsiTheme="minorEastAsia" w:hint="eastAsia"/>
          <w:sz w:val="21"/>
          <w:szCs w:val="21"/>
          <w:lang w:eastAsia="zh-CN"/>
        </w:rPr>
        <w:t>系统。</w:t>
      </w:r>
      <w:bookmarkStart w:id="219" w:name="_Toc502860098"/>
      <w:bookmarkStart w:id="220" w:name="_Toc502854059"/>
      <w:bookmarkStart w:id="221" w:name="_Toc502861082"/>
      <w:bookmarkStart w:id="222" w:name="_Toc502858111"/>
    </w:p>
    <w:p w:rsidR="002D1928" w:rsidRPr="000967C5" w:rsidP="006779B5" w14:paraId="5C6F423F" w14:textId="270DD492">
      <w:pPr>
        <w:spacing w:before="120" w:beforeLines="50" w:after="120" w:afterLines="50"/>
        <w:ind w:left="1069" w:leftChars="486"/>
        <w:rPr>
          <w:rFonts w:asciiTheme="minorEastAsia" w:eastAsiaTheme="minorEastAsia" w:hAnsiTheme="minorEastAsia"/>
          <w:b/>
          <w:bCs/>
          <w:sz w:val="21"/>
          <w:szCs w:val="21"/>
        </w:rPr>
      </w:pPr>
      <w:r w:rsidRPr="000967C5">
        <w:rPr>
          <w:rFonts w:asciiTheme="minorEastAsia" w:eastAsiaTheme="minorEastAsia" w:hAnsiTheme="minorEastAsia"/>
          <w:b/>
          <w:bCs/>
          <w:sz w:val="21"/>
          <w:szCs w:val="21"/>
        </w:rPr>
        <w:t>系统操作和运行特性</w:t>
      </w:r>
      <w:bookmarkEnd w:id="219"/>
      <w:bookmarkEnd w:id="220"/>
      <w:bookmarkEnd w:id="221"/>
      <w:bookmarkEnd w:id="222"/>
    </w:p>
    <w:p w:rsidR="002D1928" w:rsidRPr="000967C5" w14:paraId="334D52BD"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223" w:name="_Toc502854060"/>
      <w:bookmarkStart w:id="224" w:name="_Toc502858112"/>
      <w:bookmarkStart w:id="225" w:name="_Toc502860099"/>
      <w:bookmarkStart w:id="226" w:name="_Toc502861083"/>
      <w:r w:rsidRPr="000967C5">
        <w:rPr>
          <w:rFonts w:asciiTheme="minorEastAsia" w:eastAsiaTheme="minorEastAsia" w:hAnsiTheme="minorEastAsia"/>
          <w:sz w:val="21"/>
          <w:szCs w:val="21"/>
          <w:lang w:eastAsia="zh-CN"/>
        </w:rPr>
        <w:t>自动操作</w:t>
      </w:r>
      <w:bookmarkEnd w:id="223"/>
      <w:bookmarkEnd w:id="224"/>
      <w:bookmarkEnd w:id="225"/>
      <w:bookmarkEnd w:id="226"/>
    </w:p>
    <w:p w:rsidR="002D1928" w:rsidRPr="000967C5" w14:paraId="386BED0F" w14:textId="4F465329">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sectPr>
          <w:footerReference w:type="default" r:id="rId13"/>
          <w:type w:val="nextPage"/>
          <w:pgSz w:w="11906" w:h="16838"/>
          <w:pgMar w:top="1814" w:right="1418" w:bottom="1418" w:left="1814" w:header="851" w:footer="992" w:gutter="0"/>
          <w:pgNumType w:start="9"/>
          <w:cols w:space="425"/>
          <w:titlePg w:val="0"/>
          <w:docGrid w:linePitch="312"/>
        </w:sectPr>
      </w:pPr>
      <w:r w:rsidRPr="000967C5">
        <w:rPr>
          <w:rFonts w:asciiTheme="minorEastAsia" w:eastAsiaTheme="minorEastAsia" w:hAnsiTheme="minorEastAsia"/>
          <w:sz w:val="21"/>
          <w:szCs w:val="21"/>
          <w:lang w:eastAsia="zh-CN"/>
        </w:rPr>
        <w:t>在主电源故障时，在指定的低压配电屏内由</w:t>
      </w:r>
      <w:r w:rsidRPr="000967C5" w:rsidR="00693C75">
        <w:rPr>
          <w:rFonts w:asciiTheme="minorEastAsia" w:eastAsiaTheme="minorEastAsia" w:hAnsiTheme="minorEastAsia" w:hint="eastAsia"/>
          <w:sz w:val="21"/>
          <w:szCs w:val="21"/>
          <w:lang w:eastAsia="zh-CN"/>
        </w:rPr>
        <w:t>双电源切换开关市电侧断路器的辅助接点取发电机启动信号至发电机，经</w:t>
      </w:r>
      <w:r w:rsidRPr="000967C5">
        <w:rPr>
          <w:rFonts w:asciiTheme="minorEastAsia" w:eastAsiaTheme="minorEastAsia" w:hAnsiTheme="minorEastAsia"/>
          <w:sz w:val="21"/>
          <w:szCs w:val="21"/>
          <w:lang w:eastAsia="zh-CN"/>
        </w:rPr>
        <w:t>0至</w:t>
      </w:r>
      <w:r w:rsidRPr="000967C5" w:rsidR="00693C75">
        <w:rPr>
          <w:rFonts w:asciiTheme="minorEastAsia" w:eastAsiaTheme="minorEastAsia" w:hAnsiTheme="minorEastAsia"/>
          <w:sz w:val="21"/>
          <w:szCs w:val="21"/>
          <w:lang w:eastAsia="zh-CN"/>
        </w:rPr>
        <w:t>10</w:t>
      </w:r>
      <w:r w:rsidRPr="000967C5">
        <w:rPr>
          <w:rFonts w:asciiTheme="minorEastAsia" w:eastAsiaTheme="minorEastAsia" w:hAnsiTheme="minorEastAsia"/>
          <w:sz w:val="21"/>
          <w:szCs w:val="21"/>
          <w:lang w:eastAsia="zh-CN"/>
        </w:rPr>
        <w:t>秒</w:t>
      </w:r>
      <w:r w:rsidRPr="000967C5" w:rsidR="007477D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可调</w:t>
      </w:r>
      <w:r w:rsidRPr="000967C5" w:rsidR="007477D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延时</w:t>
      </w:r>
      <w:r w:rsidRPr="000967C5" w:rsidR="00693C75">
        <w:rPr>
          <w:rFonts w:asciiTheme="minorEastAsia" w:eastAsiaTheme="minorEastAsia" w:hAnsiTheme="minorEastAsia" w:hint="eastAsia"/>
          <w:sz w:val="21"/>
          <w:szCs w:val="21"/>
          <w:lang w:eastAsia="zh-CN"/>
        </w:rPr>
        <w:t>后，发电机启动</w:t>
      </w:r>
      <w:r w:rsidRPr="000967C5">
        <w:rPr>
          <w:rFonts w:asciiTheme="minorEastAsia" w:eastAsiaTheme="minorEastAsia" w:hAnsiTheme="minorEastAsia"/>
          <w:sz w:val="21"/>
          <w:szCs w:val="21"/>
          <w:lang w:eastAsia="zh-CN"/>
        </w:rPr>
        <w:t>。</w:t>
      </w:r>
    </w:p>
    <w:p w:rsidR="002D1928" w:rsidRPr="000967C5" w14:paraId="1F722E78" w14:textId="5772A3CA">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在接到</w:t>
      </w:r>
      <w:r w:rsidRPr="000967C5" w:rsidR="007477D5">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sz w:val="21"/>
          <w:szCs w:val="21"/>
          <w:lang w:eastAsia="zh-CN"/>
        </w:rPr>
        <w:t>信号后，发动机</w:t>
      </w:r>
      <w:r w:rsidRPr="000967C5">
        <w:rPr>
          <w:rFonts w:asciiTheme="minorEastAsia" w:eastAsiaTheme="minorEastAsia" w:hAnsiTheme="minorEastAsia"/>
          <w:sz w:val="21"/>
          <w:szCs w:val="21"/>
          <w:lang w:eastAsia="zh-CN"/>
        </w:rPr>
        <w:t>须开始</w:t>
      </w:r>
      <w:r w:rsidRPr="000967C5" w:rsidR="00693C75">
        <w:rPr>
          <w:rFonts w:asciiTheme="minorEastAsia" w:eastAsiaTheme="minorEastAsia" w:hAnsiTheme="minorEastAsia" w:hint="eastAsia"/>
          <w:sz w:val="21"/>
          <w:szCs w:val="21"/>
          <w:lang w:eastAsia="zh-CN"/>
        </w:rPr>
        <w:t>启动</w:t>
      </w:r>
      <w:r w:rsidRPr="000967C5">
        <w:rPr>
          <w:rFonts w:asciiTheme="minorEastAsia" w:eastAsiaTheme="minorEastAsia" w:hAnsiTheme="minorEastAsia"/>
          <w:sz w:val="21"/>
          <w:szCs w:val="21"/>
          <w:lang w:eastAsia="zh-CN"/>
        </w:rPr>
        <w:t>程序。</w:t>
      </w:r>
    </w:p>
    <w:p w:rsidR="002D1928" w:rsidRPr="000967C5" w14:paraId="7A6D7926" w14:textId="77777777">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发电机组须于15秒内达到其额定速度并准备接载全负荷。</w:t>
      </w:r>
    </w:p>
    <w:p w:rsidR="002D1928" w:rsidRPr="000967C5" w14:paraId="54CD928D" w14:textId="77777777">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rPr>
      </w:pPr>
      <w:r w:rsidRPr="000967C5">
        <w:rPr>
          <w:rFonts w:asciiTheme="minorEastAsia" w:eastAsiaTheme="minorEastAsia" w:hAnsiTheme="minorEastAsia"/>
          <w:sz w:val="21"/>
          <w:szCs w:val="21"/>
          <w:lang w:eastAsia="zh-CN"/>
        </w:rPr>
        <w:t>如发电机在15秒后不能起动，起动程序须于5秒后在5秒钟内再起动两次。如发电机仍不能起动，则起动程序须被闭锁，并发出音响</w:t>
      </w:r>
      <w:r w:rsidRPr="000967C5">
        <w:rPr>
          <w:rFonts w:asciiTheme="minorEastAsia" w:eastAsiaTheme="minorEastAsia" w:hAnsiTheme="minorEastAsia"/>
          <w:sz w:val="21"/>
          <w:szCs w:val="21"/>
          <w:lang w:eastAsia="zh-CN"/>
        </w:rPr>
        <w:t>和光示信号</w:t>
      </w:r>
      <w:r w:rsidRPr="000967C5">
        <w:rPr>
          <w:rFonts w:asciiTheme="minorEastAsia" w:eastAsiaTheme="minorEastAsia" w:hAnsiTheme="minorEastAsia"/>
          <w:sz w:val="21"/>
          <w:szCs w:val="21"/>
          <w:lang w:eastAsia="zh-CN"/>
        </w:rPr>
        <w:t>。</w:t>
      </w:r>
      <w:r w:rsidRPr="000967C5">
        <w:rPr>
          <w:rFonts w:asciiTheme="minorEastAsia" w:eastAsiaTheme="minorEastAsia" w:hAnsiTheme="minorEastAsia"/>
          <w:sz w:val="21"/>
          <w:szCs w:val="21"/>
        </w:rPr>
        <w:t>发动机须处于闭锁状态直至手动复位为止</w:t>
      </w:r>
      <w:r w:rsidRPr="000967C5">
        <w:rPr>
          <w:rFonts w:asciiTheme="minorEastAsia" w:eastAsiaTheme="minorEastAsia" w:hAnsiTheme="minorEastAsia"/>
          <w:sz w:val="21"/>
          <w:szCs w:val="21"/>
        </w:rPr>
        <w:t>。</w:t>
      </w:r>
    </w:p>
    <w:p w:rsidR="002D1928" w:rsidRPr="000967C5" w14:paraId="6D7C0CDA" w14:textId="77777777">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在起动期间若主电源恢复供电</w:t>
      </w:r>
      <w:r w:rsidRPr="000967C5">
        <w:rPr>
          <w:rFonts w:asciiTheme="minorEastAsia" w:eastAsiaTheme="minorEastAsia" w:hAnsiTheme="minorEastAsia"/>
          <w:sz w:val="21"/>
          <w:szCs w:val="21"/>
          <w:lang w:eastAsia="zh-CN"/>
        </w:rPr>
        <w:t>须不会</w:t>
      </w:r>
      <w:r w:rsidRPr="000967C5">
        <w:rPr>
          <w:rFonts w:asciiTheme="minorEastAsia" w:eastAsiaTheme="minorEastAsia" w:hAnsiTheme="minorEastAsia"/>
          <w:sz w:val="21"/>
          <w:szCs w:val="21"/>
          <w:lang w:eastAsia="zh-CN"/>
        </w:rPr>
        <w:t>使起动程序中止，但不须进行负荷之转换。主电源故障后而发电机组已运转，则在0.5至1秒之延时后，应进行负荷之转换。</w:t>
      </w:r>
    </w:p>
    <w:p w:rsidR="002D1928" w:rsidRPr="000967C5" w14:paraId="3F7C5B37" w14:textId="1FB30476">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当发电机组达到额定频率和电压时，须发出信号使“</w:t>
      </w:r>
      <w:r w:rsidRPr="000967C5" w:rsidR="007477D5">
        <w:rPr>
          <w:rFonts w:asciiTheme="minorEastAsia" w:eastAsiaTheme="minorEastAsia" w:hAnsiTheme="minorEastAsia" w:hint="eastAsia"/>
          <w:sz w:val="21"/>
          <w:szCs w:val="21"/>
          <w:lang w:eastAsia="zh-CN"/>
        </w:rPr>
        <w:t>常用</w:t>
      </w:r>
      <w:r w:rsidRPr="000967C5">
        <w:rPr>
          <w:rFonts w:asciiTheme="minorEastAsia" w:eastAsiaTheme="minorEastAsia" w:hAnsiTheme="minorEastAsia"/>
          <w:sz w:val="21"/>
          <w:szCs w:val="21"/>
          <w:lang w:eastAsia="zh-CN"/>
        </w:rPr>
        <w:t>”断路器断开而使“备用”断路器闭合。当低压配电屏之</w:t>
      </w:r>
      <w:r w:rsidRPr="000967C5" w:rsidR="007477D5">
        <w:rPr>
          <w:rFonts w:asciiTheme="minorEastAsia" w:eastAsiaTheme="minorEastAsia" w:hAnsiTheme="minorEastAsia" w:hint="eastAsia"/>
          <w:sz w:val="21"/>
          <w:szCs w:val="21"/>
          <w:lang w:eastAsia="zh-CN"/>
        </w:rPr>
        <w:t>应急/</w:t>
      </w:r>
      <w:r w:rsidRPr="000967C5">
        <w:rPr>
          <w:rFonts w:asciiTheme="minorEastAsia" w:eastAsiaTheme="minorEastAsia" w:hAnsiTheme="minorEastAsia"/>
          <w:sz w:val="21"/>
          <w:szCs w:val="21"/>
          <w:lang w:eastAsia="zh-CN"/>
        </w:rPr>
        <w:t>重要负荷母线段已带电，上述已经由低电压继电器而断开的</w:t>
      </w:r>
      <w:r w:rsidRPr="000967C5">
        <w:rPr>
          <w:rFonts w:asciiTheme="minorEastAsia" w:eastAsiaTheme="minorEastAsia" w:hAnsiTheme="minorEastAsia"/>
          <w:sz w:val="21"/>
          <w:szCs w:val="21"/>
          <w:lang w:eastAsia="zh-CN"/>
        </w:rPr>
        <w:t>馈</w:t>
      </w:r>
      <w:r w:rsidRPr="000967C5">
        <w:rPr>
          <w:rFonts w:asciiTheme="minorEastAsia" w:eastAsiaTheme="minorEastAsia" w:hAnsiTheme="minorEastAsia"/>
          <w:sz w:val="21"/>
          <w:szCs w:val="21"/>
          <w:lang w:eastAsia="zh-CN"/>
        </w:rPr>
        <w:t>出回路</w:t>
      </w:r>
      <w:r w:rsidRPr="000967C5" w:rsidR="007477D5">
        <w:rPr>
          <w:rFonts w:asciiTheme="minorEastAsia" w:eastAsiaTheme="minorEastAsia" w:hAnsiTheme="minorEastAsia" w:hint="eastAsia"/>
          <w:sz w:val="21"/>
          <w:szCs w:val="21"/>
          <w:lang w:eastAsia="zh-CN"/>
        </w:rPr>
        <w:t>，</w:t>
      </w:r>
      <w:r w:rsidRPr="000967C5">
        <w:rPr>
          <w:rFonts w:asciiTheme="minorEastAsia" w:eastAsiaTheme="minorEastAsia" w:hAnsiTheme="minorEastAsia"/>
          <w:sz w:val="21"/>
          <w:szCs w:val="21"/>
          <w:lang w:eastAsia="zh-CN"/>
        </w:rPr>
        <w:t>须按图标预定的程序手动或自动闭合到</w:t>
      </w:r>
      <w:r w:rsidRPr="000967C5" w:rsidR="007477D5">
        <w:rPr>
          <w:rFonts w:asciiTheme="minorEastAsia" w:eastAsiaTheme="minorEastAsia" w:hAnsiTheme="minorEastAsia" w:hint="eastAsia"/>
          <w:sz w:val="21"/>
          <w:szCs w:val="21"/>
          <w:lang w:eastAsia="zh-CN"/>
        </w:rPr>
        <w:t>应急/</w:t>
      </w:r>
      <w:r w:rsidRPr="000967C5" w:rsidR="007477D5">
        <w:rPr>
          <w:rFonts w:asciiTheme="minorEastAsia" w:eastAsiaTheme="minorEastAsia" w:hAnsiTheme="minorEastAsia"/>
          <w:sz w:val="21"/>
          <w:szCs w:val="21"/>
          <w:lang w:eastAsia="zh-CN"/>
        </w:rPr>
        <w:t>重要负荷母线段</w:t>
      </w:r>
      <w:r w:rsidRPr="000967C5">
        <w:rPr>
          <w:rFonts w:asciiTheme="minorEastAsia" w:eastAsiaTheme="minorEastAsia" w:hAnsiTheme="minorEastAsia"/>
          <w:sz w:val="21"/>
          <w:szCs w:val="21"/>
          <w:lang w:eastAsia="zh-CN"/>
        </w:rPr>
        <w:t>上，以避免使发电机过载。</w:t>
      </w:r>
    </w:p>
    <w:p w:rsidR="002D1928" w:rsidRPr="000967C5" w14:paraId="20C429BE" w14:textId="77777777">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当正常供电完全恢复后，负荷之转换及发电机组之停机，由控制屏上之选择开关选择手动或自动操作。在此指令之激发下，负荷之转换须立即执行。发电机组无载运转60秒至3分钟可调之短暂冷却期然后停机。</w:t>
      </w:r>
    </w:p>
    <w:p w:rsidR="007477D5" w:rsidRPr="000967C5" w:rsidP="007477D5" w14:paraId="6EDF1E90" w14:textId="77777777">
      <w:pPr>
        <w:numPr>
          <w:ilvl w:val="0"/>
          <w:numId w:val="45"/>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如果主电源出现故障，则备用机组会自动启动并转向负载，发电机组主要控制要求</w:t>
      </w:r>
      <w:r w:rsidRPr="000967C5">
        <w:rPr>
          <w:rFonts w:asciiTheme="minorEastAsia" w:eastAsiaTheme="minorEastAsia" w:hAnsiTheme="minorEastAsia"/>
          <w:sz w:val="21"/>
          <w:szCs w:val="21"/>
          <w:lang w:eastAsia="zh-CN"/>
        </w:rPr>
        <w:t>:</w:t>
      </w:r>
    </w:p>
    <w:p w:rsidR="007477D5" w:rsidRPr="000967C5" w:rsidP="000967C5" w14:paraId="00A47FC4" w14:textId="77777777">
      <w:pPr>
        <w:pStyle w:val="ListParagraph"/>
        <w:numPr>
          <w:ilvl w:val="0"/>
          <w:numId w:val="109"/>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发电机组配置自动加热和除湿设备。</w:t>
      </w:r>
    </w:p>
    <w:p w:rsidR="007477D5" w:rsidRPr="000967C5" w:rsidP="000967C5" w14:paraId="41C622A6" w14:textId="77777777">
      <w:pPr>
        <w:pStyle w:val="ListParagraph"/>
        <w:numPr>
          <w:ilvl w:val="0"/>
          <w:numId w:val="109"/>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机组具有就地手动操作功能</w:t>
      </w:r>
    </w:p>
    <w:p w:rsidR="007477D5" w:rsidRPr="000967C5" w:rsidP="000967C5" w14:paraId="692C06BB" w14:textId="77777777">
      <w:pPr>
        <w:pStyle w:val="ListParagraph"/>
        <w:numPr>
          <w:ilvl w:val="0"/>
          <w:numId w:val="109"/>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机组应与电力系统</w:t>
      </w:r>
      <w:r w:rsidRPr="000967C5">
        <w:rPr>
          <w:rFonts w:asciiTheme="minorEastAsia" w:eastAsiaTheme="minorEastAsia" w:hAnsiTheme="minorEastAsia" w:hint="eastAsia"/>
          <w:sz w:val="21"/>
          <w:szCs w:val="21"/>
          <w:lang w:eastAsia="zh-CN"/>
        </w:rPr>
        <w:t>联锁</w:t>
      </w:r>
      <w:r w:rsidRPr="000967C5">
        <w:rPr>
          <w:rFonts w:asciiTheme="minorEastAsia" w:eastAsiaTheme="minorEastAsia" w:hAnsiTheme="minorEastAsia" w:hint="eastAsia"/>
          <w:sz w:val="21"/>
          <w:szCs w:val="21"/>
          <w:lang w:eastAsia="zh-CN"/>
        </w:rPr>
        <w:t>，不得与其并列运行，当市电恢复时，机组应自动退出工作并延时停机。</w:t>
      </w:r>
    </w:p>
    <w:p w:rsidR="007477D5" w:rsidRPr="000967C5" w:rsidP="000967C5" w14:paraId="03A2BAF4" w14:textId="47BB09D7">
      <w:pPr>
        <w:pStyle w:val="ListParagraph"/>
        <w:numPr>
          <w:ilvl w:val="0"/>
          <w:numId w:val="109"/>
        </w:numPr>
        <w:tabs>
          <w:tab w:val="left" w:pos="1620"/>
          <w:tab w:val="left" w:pos="1656"/>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hint="eastAsia"/>
          <w:sz w:val="21"/>
          <w:szCs w:val="21"/>
          <w:lang w:eastAsia="zh-CN"/>
        </w:rPr>
        <w:t>机组需提供遥控监测功能，</w:t>
      </w:r>
      <w:r w:rsidRPr="000967C5">
        <w:rPr>
          <w:rFonts w:asciiTheme="minorEastAsia" w:eastAsiaTheme="minorEastAsia" w:hAnsiTheme="minorEastAsia"/>
          <w:sz w:val="21"/>
          <w:szCs w:val="21"/>
          <w:lang w:eastAsia="zh-CN"/>
        </w:rPr>
        <w:t>RS485</w:t>
      </w:r>
      <w:r w:rsidRPr="000967C5">
        <w:rPr>
          <w:rFonts w:asciiTheme="minorEastAsia" w:eastAsiaTheme="minorEastAsia" w:hAnsiTheme="minorEastAsia" w:hint="eastAsia"/>
          <w:sz w:val="21"/>
          <w:szCs w:val="21"/>
          <w:lang w:eastAsia="zh-CN"/>
        </w:rPr>
        <w:t>接口，可接入</w:t>
      </w:r>
      <w:r w:rsidRPr="000967C5" w:rsidR="000967C5">
        <w:rPr>
          <w:rFonts w:asciiTheme="minorEastAsia" w:eastAsiaTheme="minorEastAsia" w:hAnsiTheme="minorEastAsia" w:hint="eastAsia"/>
          <w:sz w:val="21"/>
          <w:szCs w:val="21"/>
          <w:lang w:eastAsia="zh-CN"/>
        </w:rPr>
        <w:t>电力监控</w:t>
      </w:r>
      <w:r w:rsidRPr="000967C5">
        <w:rPr>
          <w:rFonts w:asciiTheme="minorEastAsia" w:eastAsiaTheme="minorEastAsia" w:hAnsiTheme="minorEastAsia" w:hint="eastAsia"/>
          <w:sz w:val="21"/>
          <w:szCs w:val="21"/>
          <w:lang w:eastAsia="zh-CN"/>
        </w:rPr>
        <w:t>系统。</w:t>
      </w:r>
    </w:p>
    <w:p w:rsidR="002D1928" w:rsidRPr="000967C5" w14:paraId="208232EB" w14:textId="77777777">
      <w:pPr>
        <w:pStyle w:val="ReportLevel3"/>
        <w:keepNext w:val="0"/>
        <w:spacing w:before="120" w:beforeLines="50" w:after="120" w:afterLines="50"/>
        <w:rPr>
          <w:rFonts w:asciiTheme="minorEastAsia" w:eastAsiaTheme="minorEastAsia" w:hAnsiTheme="minorEastAsia"/>
          <w:sz w:val="21"/>
          <w:szCs w:val="21"/>
          <w:lang w:eastAsia="zh-CN"/>
        </w:rPr>
      </w:pPr>
      <w:bookmarkStart w:id="227" w:name="_Toc502854061"/>
      <w:bookmarkStart w:id="228" w:name="_Toc502861084"/>
      <w:bookmarkStart w:id="229" w:name="_Toc502858113"/>
      <w:bookmarkStart w:id="230" w:name="_Toc502860100"/>
      <w:r w:rsidRPr="000967C5">
        <w:rPr>
          <w:rFonts w:asciiTheme="minorEastAsia" w:eastAsiaTheme="minorEastAsia" w:hAnsiTheme="minorEastAsia"/>
          <w:sz w:val="21"/>
          <w:szCs w:val="21"/>
          <w:lang w:eastAsia="zh-CN"/>
        </w:rPr>
        <w:t>手动操作</w:t>
      </w:r>
      <w:bookmarkEnd w:id="227"/>
      <w:bookmarkEnd w:id="228"/>
      <w:bookmarkEnd w:id="229"/>
      <w:bookmarkEnd w:id="230"/>
    </w:p>
    <w:p w:rsidR="002D1928" w:rsidRPr="000967C5" w14:paraId="3DE8337E" w14:textId="77777777">
      <w:pPr>
        <w:numPr>
          <w:ilvl w:val="0"/>
          <w:numId w:val="46"/>
        </w:numPr>
        <w:tabs>
          <w:tab w:val="left" w:pos="1701"/>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控制屏须装置“自动—手动”旋转控制开关。如选择于“自动”位置整个系统须能如上所述运行，并能使系统保持自动状态直至转换成手动控制为止。</w:t>
      </w:r>
    </w:p>
    <w:p w:rsidR="002D1928" w:rsidRPr="000967C5" w14:paraId="100C459D" w14:textId="77777777">
      <w:pPr>
        <w:numPr>
          <w:ilvl w:val="0"/>
          <w:numId w:val="46"/>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通过控制板上的控制开关，发电机组能手动起动。一旦起动并运行正常，发电机可用手动接载重要负荷。</w:t>
      </w:r>
    </w:p>
    <w:p w:rsidR="002D1928" w:rsidRPr="000967C5" w14:paraId="41D74D89" w14:textId="77777777">
      <w:pPr>
        <w:numPr>
          <w:ilvl w:val="0"/>
          <w:numId w:val="46"/>
        </w:numPr>
        <w:tabs>
          <w:tab w:val="left" w:pos="1620"/>
        </w:tabs>
        <w:spacing w:before="120" w:beforeLines="50" w:after="120" w:afterLines="50"/>
        <w:jc w:val="both"/>
        <w:outlineLvl w:val="3"/>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在整个手动起动期间，只要主电源供电仍然可靠，所有负载</w:t>
      </w:r>
      <w:r w:rsidRPr="000967C5">
        <w:rPr>
          <w:rFonts w:asciiTheme="minorEastAsia" w:eastAsiaTheme="minorEastAsia" w:hAnsiTheme="minorEastAsia"/>
          <w:sz w:val="21"/>
          <w:szCs w:val="21"/>
          <w:lang w:eastAsia="zh-CN"/>
        </w:rPr>
        <w:t>须不会</w:t>
      </w:r>
      <w:r w:rsidRPr="000967C5">
        <w:rPr>
          <w:rFonts w:asciiTheme="minorEastAsia" w:eastAsiaTheme="minorEastAsia" w:hAnsiTheme="minorEastAsia"/>
          <w:sz w:val="21"/>
          <w:szCs w:val="21"/>
          <w:lang w:eastAsia="zh-CN"/>
        </w:rPr>
        <w:t>转换到发电机上。但当按“手动转换负荷”按钮时信号须令“正常”断路器断开，“备用”电源的断路器闭合，能如自动操作一样，使负荷转换。将“手动转换负荷”按钮复归，负荷须转回由主电源供电。</w:t>
      </w:r>
    </w:p>
    <w:p w:rsidR="002D1928" w:rsidRPr="000967C5" w14:paraId="7BC64EC4" w14:textId="77777777">
      <w:pPr>
        <w:pStyle w:val="ReportLevel2"/>
        <w:spacing w:before="240" w:beforeLines="100" w:after="240" w:afterLines="100"/>
        <w:rPr>
          <w:rFonts w:asciiTheme="minorEastAsia" w:eastAsiaTheme="minorEastAsia" w:hAnsiTheme="minorEastAsia"/>
          <w:b/>
          <w:bCs/>
          <w:sz w:val="21"/>
          <w:szCs w:val="21"/>
        </w:rPr>
      </w:pPr>
      <w:bookmarkStart w:id="231" w:name="_Toc502860101"/>
      <w:bookmarkStart w:id="232" w:name="_Toc502858114"/>
      <w:bookmarkStart w:id="233" w:name="_Toc502861085"/>
      <w:bookmarkStart w:id="234" w:name="_Toc502854062"/>
      <w:r w:rsidRPr="000967C5">
        <w:rPr>
          <w:rFonts w:asciiTheme="minorEastAsia" w:eastAsiaTheme="minorEastAsia" w:hAnsiTheme="minorEastAsia"/>
          <w:b/>
          <w:bCs/>
          <w:sz w:val="21"/>
          <w:szCs w:val="21"/>
        </w:rPr>
        <w:t>接地</w:t>
      </w:r>
      <w:bookmarkEnd w:id="231"/>
      <w:bookmarkEnd w:id="232"/>
      <w:bookmarkEnd w:id="233"/>
      <w:bookmarkEnd w:id="234"/>
    </w:p>
    <w:p w:rsidR="002D1928" w:rsidRPr="000967C5" w14:paraId="01C8B8C8"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在发电机房内须装设供备用发电机设备接地的接地终端。</w:t>
      </w:r>
    </w:p>
    <w:p w:rsidR="002D1928" w:rsidRPr="000967C5" w14:paraId="0C6582A3" w14:textId="77777777">
      <w:pPr>
        <w:pStyle w:val="ReportLevel3"/>
        <w:keepNext w:val="0"/>
        <w:spacing w:before="120" w:beforeLines="50" w:after="120" w:afterLines="50"/>
        <w:rPr>
          <w:rFonts w:asciiTheme="minorEastAsia" w:eastAsiaTheme="minorEastAsia" w:hAnsiTheme="minorEastAsia"/>
          <w:sz w:val="21"/>
          <w:szCs w:val="21"/>
          <w:lang w:eastAsia="zh-CN"/>
        </w:rPr>
        <w:sectPr>
          <w:footerReference w:type="default" r:id="rId14"/>
          <w:type w:val="nextPage"/>
          <w:pgSz w:w="11906" w:h="16838"/>
          <w:pgMar w:top="1814" w:right="1418" w:bottom="1418" w:left="1814" w:header="851" w:footer="992" w:gutter="0"/>
          <w:pgNumType w:start="10"/>
          <w:cols w:space="425"/>
          <w:titlePg w:val="0"/>
          <w:docGrid w:linePitch="312"/>
        </w:sectPr>
      </w:pPr>
      <w:r w:rsidRPr="000967C5">
        <w:rPr>
          <w:rFonts w:asciiTheme="minorEastAsia" w:eastAsiaTheme="minorEastAsia" w:hAnsiTheme="minorEastAsia"/>
          <w:sz w:val="21"/>
          <w:szCs w:val="21"/>
          <w:lang w:eastAsia="zh-CN"/>
        </w:rPr>
        <w:t>发电机机座、发电机中性点、油箱、发电机开关屏、槽式桥架/梯架等须分别接至发电机房内的接地终端再由发电机房内的接地终端引出及接至所供电的低压配电间的接地终端。保护</w:t>
      </w:r>
      <w:r w:rsidRPr="000967C5">
        <w:rPr>
          <w:rFonts w:asciiTheme="minorEastAsia" w:eastAsiaTheme="minorEastAsia" w:hAnsiTheme="minorEastAsia" w:hint="eastAsia"/>
          <w:sz w:val="21"/>
          <w:szCs w:val="21"/>
          <w:lang w:eastAsia="zh-CN"/>
        </w:rPr>
        <w:t>地</w:t>
      </w:r>
      <w:r w:rsidRPr="000967C5">
        <w:rPr>
          <w:rFonts w:asciiTheme="minorEastAsia" w:eastAsiaTheme="minorEastAsia" w:hAnsiTheme="minorEastAsia"/>
          <w:sz w:val="21"/>
          <w:szCs w:val="21"/>
          <w:lang w:eastAsia="zh-CN"/>
        </w:rPr>
        <w:t>线之规格不得小于</w:t>
      </w:r>
      <w:r w:rsidRPr="000967C5">
        <w:rPr>
          <w:rFonts w:asciiTheme="minorEastAsia" w:eastAsiaTheme="minorEastAsia" w:hAnsiTheme="minorEastAsia" w:hint="eastAsia"/>
          <w:sz w:val="21"/>
          <w:szCs w:val="21"/>
          <w:lang w:eastAsia="zh-CN"/>
        </w:rPr>
        <w:t>40</w:t>
      </w:r>
      <w:r w:rsidRPr="000967C5">
        <w:rPr>
          <w:rFonts w:asciiTheme="minorEastAsia" w:eastAsiaTheme="minorEastAsia" w:hAnsiTheme="minorEastAsia"/>
          <w:sz w:val="21"/>
          <w:szCs w:val="21"/>
          <w:lang w:eastAsia="zh-CN"/>
        </w:rPr>
        <w:t>mm x 4mm热浸镀锌扁钢。</w:t>
      </w:r>
    </w:p>
    <w:p w:rsidR="002D1928" w:rsidRPr="000967C5" w14:paraId="2D51609D" w14:textId="77777777">
      <w:pPr>
        <w:pStyle w:val="ReportLevel2"/>
        <w:spacing w:before="240" w:beforeLines="100" w:after="120" w:afterLines="50"/>
        <w:rPr>
          <w:rFonts w:asciiTheme="minorEastAsia" w:eastAsiaTheme="minorEastAsia" w:hAnsiTheme="minorEastAsia"/>
          <w:b/>
          <w:bCs/>
          <w:sz w:val="21"/>
          <w:szCs w:val="21"/>
        </w:rPr>
      </w:pPr>
      <w:bookmarkStart w:id="235" w:name="_Toc502860102"/>
      <w:bookmarkStart w:id="236" w:name="_Toc502854063"/>
      <w:bookmarkStart w:id="237" w:name="_Toc502858115"/>
      <w:bookmarkStart w:id="238" w:name="_Toc502861086"/>
      <w:r w:rsidRPr="000967C5">
        <w:rPr>
          <w:rFonts w:asciiTheme="minorEastAsia" w:eastAsiaTheme="minorEastAsia" w:hAnsiTheme="minorEastAsia"/>
          <w:b/>
          <w:bCs/>
          <w:sz w:val="21"/>
          <w:szCs w:val="21"/>
        </w:rPr>
        <w:t>警告牌</w:t>
      </w:r>
      <w:bookmarkEnd w:id="235"/>
      <w:bookmarkEnd w:id="236"/>
      <w:bookmarkEnd w:id="237"/>
      <w:bookmarkEnd w:id="238"/>
    </w:p>
    <w:p w:rsidR="002D1928" w:rsidRPr="000967C5" w14:paraId="25F436C0" w14:textId="77777777">
      <w:pPr>
        <w:pStyle w:val="ReportLevel3"/>
        <w:keepNext w:val="0"/>
        <w:numPr>
          <w:ilvl w:val="0"/>
          <w:numId w:val="0"/>
        </w:numPr>
        <w:spacing w:before="120" w:beforeLines="50" w:after="120" w:afterLines="50"/>
        <w:ind w:left="1077"/>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须提供一块以中、英文书写，字体高度不小于50毫米之</w:t>
      </w:r>
      <w:r w:rsidRPr="000967C5">
        <w:rPr>
          <w:rFonts w:asciiTheme="minorEastAsia" w:eastAsiaTheme="minorEastAsia" w:hAnsiTheme="minorEastAsia"/>
          <w:sz w:val="21"/>
          <w:szCs w:val="21"/>
          <w:lang w:eastAsia="zh-CN"/>
        </w:rPr>
        <w:t>警告牌书以</w:t>
      </w:r>
      <w:r w:rsidRPr="000967C5">
        <w:rPr>
          <w:rFonts w:asciiTheme="minorEastAsia" w:eastAsiaTheme="minorEastAsia" w:hAnsiTheme="minorEastAsia"/>
          <w:sz w:val="21"/>
          <w:szCs w:val="21"/>
          <w:lang w:eastAsia="zh-CN"/>
        </w:rPr>
        <w:t>“ATTENTION-ENGINE STARTS AUTOMATICALLY WITHOUT WARNING。DO NOT COME CLOSE”，“注意—发动机会无警告自动起动。切勿接近”，并固定于发电机房内显见处。</w:t>
      </w:r>
    </w:p>
    <w:p w:rsidR="002D1928" w:rsidRPr="000967C5" w14:paraId="24E53889" w14:textId="77777777">
      <w:pPr>
        <w:pStyle w:val="ReportLevel2"/>
        <w:spacing w:before="240" w:beforeLines="100" w:after="120" w:afterLines="50"/>
        <w:rPr>
          <w:rFonts w:asciiTheme="minorEastAsia" w:eastAsiaTheme="minorEastAsia" w:hAnsiTheme="minorEastAsia"/>
          <w:b/>
          <w:bCs/>
          <w:sz w:val="21"/>
          <w:szCs w:val="21"/>
          <w:lang w:eastAsia="zh-CN"/>
        </w:rPr>
      </w:pPr>
      <w:bookmarkStart w:id="239" w:name="_Toc502860103"/>
      <w:bookmarkStart w:id="240" w:name="_Toc502854064"/>
      <w:bookmarkStart w:id="241" w:name="_Toc502858116"/>
      <w:bookmarkStart w:id="242" w:name="_Toc502861087"/>
      <w:r w:rsidRPr="000967C5">
        <w:rPr>
          <w:rFonts w:asciiTheme="minorEastAsia" w:eastAsiaTheme="minorEastAsia" w:hAnsiTheme="minorEastAsia"/>
          <w:b/>
          <w:bCs/>
          <w:sz w:val="21"/>
          <w:szCs w:val="21"/>
          <w:lang w:eastAsia="zh-CN"/>
        </w:rPr>
        <w:t>接线系统和控制线路图</w:t>
      </w:r>
      <w:bookmarkEnd w:id="239"/>
      <w:bookmarkEnd w:id="240"/>
      <w:bookmarkEnd w:id="241"/>
      <w:bookmarkEnd w:id="242"/>
    </w:p>
    <w:p w:rsidR="002D1928" w:rsidRPr="000967C5" w14:paraId="08B69443"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在发电机房须将适当大小的重要负荷配电接线系统图置于带透明面板的木框内并固定于显见处。</w:t>
      </w:r>
    </w:p>
    <w:p w:rsidR="002D1928" w:rsidRPr="000967C5" w14:paraId="5F6277D0" w14:textId="77777777">
      <w:pPr>
        <w:pStyle w:val="ReportLevel3"/>
        <w:keepNext w:val="0"/>
        <w:spacing w:before="120" w:beforeLines="50" w:after="120" w:afterLines="50"/>
        <w:rPr>
          <w:rFonts w:asciiTheme="minorEastAsia" w:eastAsiaTheme="minorEastAsia" w:hAnsiTheme="minorEastAsia" w:cs="Arial"/>
          <w:b/>
          <w:bCs/>
          <w:caps/>
          <w:sz w:val="30"/>
          <w:szCs w:val="30"/>
          <w:lang w:val="en-US" w:eastAsia="zh-CN"/>
        </w:rPr>
        <w:sectPr>
          <w:footerReference w:type="default" r:id="rId15"/>
          <w:type w:val="nextPage"/>
          <w:pgSz w:w="11906" w:h="16838"/>
          <w:pgMar w:top="1814" w:right="1418" w:bottom="1418" w:left="1814" w:header="851" w:footer="992" w:gutter="0"/>
          <w:pgNumType w:start="11"/>
          <w:cols w:space="425"/>
          <w:titlePg w:val="0"/>
          <w:docGrid w:linePitch="312"/>
        </w:sectPr>
      </w:pPr>
      <w:r w:rsidRPr="000967C5">
        <w:rPr>
          <w:rFonts w:asciiTheme="minorEastAsia" w:eastAsiaTheme="minorEastAsia" w:hAnsiTheme="minorEastAsia"/>
          <w:sz w:val="21"/>
          <w:szCs w:val="21"/>
          <w:lang w:eastAsia="zh-CN"/>
        </w:rPr>
        <w:t>控制屏内须存放一套控制线路图。</w:t>
      </w:r>
    </w:p>
    <w:p w:rsidR="002D1928" w:rsidRPr="000967C5" w14:paraId="5F9B41DC" w14:textId="77777777">
      <w:pPr>
        <w:pStyle w:val="ReportLevel1"/>
        <w:pageBreakBefore/>
        <w:numPr>
          <w:ilvl w:val="0"/>
          <w:numId w:val="24"/>
        </w:numPr>
        <w:tabs>
          <w:tab w:val="clear" w:pos="1077"/>
          <w:tab w:val="left" w:pos="1080"/>
        </w:tabs>
        <w:spacing w:before="240" w:beforeLines="100" w:after="240" w:afterLines="100"/>
        <w:rPr>
          <w:rFonts w:asciiTheme="minorEastAsia" w:eastAsiaTheme="minorEastAsia" w:hAnsiTheme="minorEastAsia" w:cs="Arial"/>
          <w:sz w:val="21"/>
          <w:szCs w:val="21"/>
          <w:lang w:val="en-US" w:eastAsia="zh-CN"/>
        </w:rPr>
      </w:pPr>
      <w:bookmarkStart w:id="243" w:name="_Toc20520"/>
      <w:bookmarkStart w:id="244" w:name="_Toc40335838"/>
      <w:r w:rsidRPr="000967C5">
        <w:rPr>
          <w:rFonts w:asciiTheme="minorEastAsia" w:eastAsiaTheme="minorEastAsia" w:hAnsiTheme="minorEastAsia" w:cs="Arial" w:hint="eastAsia"/>
          <w:sz w:val="21"/>
          <w:szCs w:val="21"/>
          <w:lang w:val="en-US" w:eastAsia="zh-CN"/>
        </w:rPr>
        <w:t>通风管道</w:t>
      </w:r>
      <w:bookmarkEnd w:id="243"/>
    </w:p>
    <w:p w:rsidR="002D1928" w:rsidRPr="000967C5" w14:paraId="623A8E9B" w14:textId="77777777">
      <w:pPr>
        <w:pStyle w:val="ReportLevel2"/>
        <w:spacing w:before="240" w:beforeLines="100" w:after="120" w:afterLines="50"/>
        <w:rPr>
          <w:rFonts w:asciiTheme="minorEastAsia" w:eastAsiaTheme="minorEastAsia" w:hAnsiTheme="minorEastAsia"/>
          <w:b/>
          <w:bCs/>
          <w:sz w:val="21"/>
          <w:szCs w:val="21"/>
          <w:lang w:val="en-US" w:eastAsia="zh-CN"/>
        </w:rPr>
      </w:pPr>
      <w:r w:rsidRPr="000967C5">
        <w:rPr>
          <w:rFonts w:asciiTheme="minorEastAsia" w:eastAsiaTheme="minorEastAsia" w:hAnsiTheme="minorEastAsia" w:hint="eastAsia"/>
          <w:b/>
          <w:bCs/>
          <w:sz w:val="21"/>
          <w:szCs w:val="21"/>
          <w:lang w:val="en-US" w:eastAsia="zh-CN"/>
        </w:rPr>
        <w:t>说明</w:t>
      </w:r>
    </w:p>
    <w:p w:rsidR="002D1928" w:rsidRPr="000967C5" w14:paraId="7B7DA98B" w14:textId="77777777">
      <w:pPr>
        <w:pStyle w:val="ReportLevel3"/>
        <w:keepNext w:val="0"/>
        <w:numPr>
          <w:ilvl w:val="0"/>
          <w:numId w:val="0"/>
        </w:numPr>
        <w:spacing w:before="120" w:beforeLines="50" w:after="120" w:afterLines="50"/>
        <w:ind w:left="1077"/>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本部</w:t>
      </w:r>
      <w:r w:rsidRPr="000967C5">
        <w:rPr>
          <w:rFonts w:asciiTheme="minorEastAsia" w:eastAsiaTheme="minorEastAsia" w:hAnsiTheme="minorEastAsia" w:hint="eastAsia"/>
          <w:sz w:val="21"/>
          <w:szCs w:val="21"/>
          <w:lang w:val="en-US" w:eastAsia="zh-CN"/>
        </w:rPr>
        <w:t>份规定</w:t>
      </w:r>
      <w:r w:rsidRPr="000967C5">
        <w:rPr>
          <w:rFonts w:asciiTheme="minorEastAsia" w:eastAsiaTheme="minorEastAsia" w:hAnsiTheme="minorEastAsia" w:hint="eastAsia"/>
          <w:sz w:val="21"/>
          <w:szCs w:val="21"/>
          <w:lang w:val="en-US" w:eastAsia="zh-CN"/>
        </w:rPr>
        <w:t>通风管道和各种附件的生产和安装。</w:t>
      </w:r>
    </w:p>
    <w:p w:rsidR="002D1928" w:rsidRPr="000967C5" w14:paraId="1EDE4683" w14:textId="77777777">
      <w:pPr>
        <w:pStyle w:val="ReportLevel2"/>
        <w:spacing w:before="240" w:beforeLines="100" w:after="120" w:afterLines="50"/>
        <w:rPr>
          <w:rFonts w:asciiTheme="minorEastAsia" w:eastAsiaTheme="minorEastAsia" w:hAnsiTheme="minorEastAsia"/>
          <w:b/>
          <w:bCs/>
          <w:sz w:val="21"/>
          <w:szCs w:val="21"/>
          <w:lang w:val="en-US" w:eastAsia="zh-CN"/>
        </w:rPr>
      </w:pPr>
      <w:r w:rsidRPr="000967C5">
        <w:rPr>
          <w:rFonts w:asciiTheme="minorEastAsia" w:eastAsiaTheme="minorEastAsia" w:hAnsiTheme="minorEastAsia" w:hint="eastAsia"/>
          <w:b/>
          <w:bCs/>
          <w:sz w:val="21"/>
          <w:szCs w:val="21"/>
          <w:lang w:val="en-US" w:eastAsia="zh-CN"/>
        </w:rPr>
        <w:t>一般要求</w:t>
      </w:r>
    </w:p>
    <w:p w:rsidR="002D1928" w:rsidRPr="000967C5" w14:paraId="5043E3BC"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所有通风管道等设备一定是全新和要有不能擦掉的印节，以识别不同的等级、物料和制造商。</w:t>
      </w:r>
    </w:p>
    <w:p w:rsidR="002D1928" w:rsidRPr="000967C5" w14:paraId="57847C76"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所有提供的通风管道和各种附件的设备须符合招标图纸和文件的规定。</w:t>
      </w:r>
    </w:p>
    <w:p w:rsidR="002D1928" w:rsidRPr="000967C5" w14:paraId="10A79A8E"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所有物料包括通风管道、绝缘材料、黏合物、柔性结合垫圈、</w:t>
      </w:r>
      <w:r w:rsidRPr="000967C5">
        <w:rPr>
          <w:rFonts w:asciiTheme="minorEastAsia" w:eastAsiaTheme="minorEastAsia" w:hAnsiTheme="minorEastAsia" w:hint="eastAsia"/>
          <w:sz w:val="21"/>
          <w:szCs w:val="21"/>
          <w:lang w:val="en-US" w:eastAsia="zh-CN"/>
        </w:rPr>
        <w:t>黏</w:t>
      </w:r>
      <w:r w:rsidRPr="000967C5">
        <w:rPr>
          <w:rFonts w:asciiTheme="minorEastAsia" w:eastAsiaTheme="minorEastAsia" w:hAnsiTheme="minorEastAsia" w:hint="eastAsia"/>
          <w:sz w:val="21"/>
          <w:szCs w:val="21"/>
          <w:lang w:val="en-US" w:eastAsia="zh-CN"/>
        </w:rPr>
        <w:t>贴剂玻璃纤维板等须符合当地消防部门的有关规定。</w:t>
      </w:r>
    </w:p>
    <w:p w:rsidR="002D1928" w:rsidRPr="000967C5" w14:paraId="08E0EB58" w14:textId="77777777">
      <w:pPr>
        <w:pStyle w:val="ReportLevel2"/>
        <w:spacing w:before="240" w:beforeLines="100" w:after="120" w:afterLines="50"/>
        <w:rPr>
          <w:rFonts w:asciiTheme="minorEastAsia" w:eastAsiaTheme="minorEastAsia" w:hAnsiTheme="minorEastAsia"/>
          <w:b/>
          <w:bCs/>
          <w:sz w:val="21"/>
          <w:szCs w:val="21"/>
          <w:lang w:val="en-US" w:eastAsia="zh-CN"/>
        </w:rPr>
      </w:pPr>
      <w:r w:rsidRPr="000967C5">
        <w:rPr>
          <w:rFonts w:asciiTheme="minorEastAsia" w:eastAsiaTheme="minorEastAsia" w:hAnsiTheme="minorEastAsia" w:hint="eastAsia"/>
          <w:b/>
          <w:bCs/>
          <w:sz w:val="21"/>
          <w:szCs w:val="21"/>
          <w:lang w:val="en-US" w:eastAsia="zh-CN"/>
        </w:rPr>
        <w:t>质量保证</w:t>
      </w:r>
    </w:p>
    <w:p w:rsidR="002D1928" w:rsidRPr="000967C5" w14:paraId="37B13376"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适用的规范和标准</w:t>
      </w:r>
    </w:p>
    <w:p w:rsidR="002D1928" w:rsidRPr="000967C5" w14:paraId="240FFAF4" w14:textId="77777777">
      <w:pPr>
        <w:numPr>
          <w:ilvl w:val="0"/>
          <w:numId w:val="47"/>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GB50243《通风与空调工程施工质量验收规范》的要求。</w:t>
      </w:r>
    </w:p>
    <w:p w:rsidR="002D1928" w:rsidRPr="000967C5" w14:paraId="141B2841" w14:textId="77777777">
      <w:pPr>
        <w:numPr>
          <w:ilvl w:val="0"/>
          <w:numId w:val="47"/>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GB12513《镶玻璃构件耐火试验方法》的标准。</w:t>
      </w:r>
    </w:p>
    <w:p w:rsidR="002D1928" w:rsidRPr="000967C5" w14:paraId="70E3EF45" w14:textId="77777777">
      <w:pPr>
        <w:numPr>
          <w:ilvl w:val="0"/>
          <w:numId w:val="47"/>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防火风门，阀门等均需附合当地消防局要求。</w:t>
      </w:r>
    </w:p>
    <w:p w:rsidR="002D1928" w:rsidRPr="000967C5" w14:paraId="735F29F7" w14:textId="77777777">
      <w:pPr>
        <w:pStyle w:val="ReportLevel2"/>
        <w:spacing w:before="240" w:beforeLines="100" w:after="120" w:afterLines="50"/>
        <w:rPr>
          <w:rFonts w:asciiTheme="minorEastAsia" w:eastAsiaTheme="minorEastAsia" w:hAnsiTheme="minorEastAsia"/>
          <w:b/>
          <w:bCs/>
          <w:sz w:val="21"/>
          <w:szCs w:val="21"/>
          <w:lang w:val="en-US" w:eastAsia="zh-CN"/>
        </w:rPr>
      </w:pPr>
      <w:r w:rsidRPr="000967C5">
        <w:rPr>
          <w:rFonts w:asciiTheme="minorEastAsia" w:eastAsiaTheme="minorEastAsia" w:hAnsiTheme="minorEastAsia" w:hint="eastAsia"/>
          <w:b/>
          <w:bCs/>
          <w:sz w:val="21"/>
          <w:szCs w:val="21"/>
          <w:lang w:val="en-US" w:eastAsia="zh-CN"/>
        </w:rPr>
        <w:t>产品</w:t>
      </w:r>
    </w:p>
    <w:p w:rsidR="002D1928" w:rsidRPr="000967C5" w14:paraId="24D9EB55"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金属板制通风管道</w:t>
      </w:r>
    </w:p>
    <w:p w:rsidR="002D1928" w:rsidRPr="000967C5" w14:paraId="5725E66E" w14:textId="74765099">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所有金属板制的和不锈钢的通风管道都必须符合国家标准之要求，其中包括</w:t>
      </w:r>
      <w:r w:rsidRPr="000967C5" w:rsidR="009A3795">
        <w:rPr>
          <w:rFonts w:asciiTheme="minorEastAsia" w:eastAsiaTheme="minorEastAsia" w:hAnsiTheme="minorEastAsia" w:hint="eastAsia"/>
          <w:sz w:val="21"/>
          <w:szCs w:val="21"/>
          <w:lang w:val="en-US" w:eastAsia="zh-CN"/>
        </w:rPr>
        <w:t>铁皮厚度，</w:t>
      </w:r>
      <w:r w:rsidRPr="000967C5">
        <w:rPr>
          <w:rFonts w:asciiTheme="minorEastAsia" w:eastAsiaTheme="minorEastAsia" w:hAnsiTheme="minorEastAsia" w:hint="eastAsia"/>
          <w:sz w:val="21"/>
          <w:szCs w:val="21"/>
          <w:lang w:val="en-US" w:eastAsia="zh-CN"/>
        </w:rPr>
        <w:t>加固方法，支架距离，风管安装等。</w:t>
      </w:r>
    </w:p>
    <w:p w:rsidR="002D1928" w:rsidRPr="000967C5" w14:paraId="6405FFE5" w14:textId="215462E5">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镀锌铁通风管道</w:t>
      </w:r>
      <w:r w:rsidRPr="000967C5" w:rsidR="009A3795">
        <w:rPr>
          <w:rFonts w:asciiTheme="minorEastAsia" w:eastAsiaTheme="minorEastAsia" w:hAnsiTheme="minorEastAsia" w:hint="eastAsia"/>
          <w:sz w:val="21"/>
          <w:szCs w:val="21"/>
          <w:lang w:val="en-US" w:eastAsia="zh-CN"/>
        </w:rPr>
        <w:t>铁皮厚度</w:t>
      </w:r>
      <w:r w:rsidRPr="000967C5">
        <w:rPr>
          <w:rFonts w:asciiTheme="minorEastAsia" w:eastAsiaTheme="minorEastAsia" w:hAnsiTheme="minorEastAsia" w:hint="eastAsia"/>
          <w:sz w:val="21"/>
          <w:szCs w:val="21"/>
          <w:lang w:val="en-US" w:eastAsia="zh-CN"/>
        </w:rPr>
        <w:t>必须依照</w:t>
      </w:r>
      <w:r w:rsidRPr="000967C5" w:rsidR="009A3795">
        <w:rPr>
          <w:rFonts w:asciiTheme="minorEastAsia" w:eastAsiaTheme="minorEastAsia" w:hAnsiTheme="minorEastAsia" w:hint="eastAsia"/>
          <w:sz w:val="21"/>
          <w:szCs w:val="21"/>
          <w:lang w:val="en-US" w:eastAsia="zh-CN"/>
        </w:rPr>
        <w:t>GB50243</w:t>
      </w:r>
      <w:r w:rsidRPr="000967C5">
        <w:rPr>
          <w:rFonts w:asciiTheme="minorEastAsia" w:eastAsiaTheme="minorEastAsia" w:hAnsiTheme="minorEastAsia" w:hint="eastAsia"/>
          <w:sz w:val="21"/>
          <w:szCs w:val="21"/>
          <w:lang w:val="en-US" w:eastAsia="zh-CN"/>
        </w:rPr>
        <w:t>标准的而制造。</w:t>
      </w:r>
    </w:p>
    <w:p w:rsidR="002D1928" w:rsidRPr="000967C5" w14:paraId="57987448"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凡图纸上所列之通风管道尺寸是</w:t>
      </w:r>
      <w:r w:rsidRPr="000967C5">
        <w:rPr>
          <w:rFonts w:asciiTheme="minorEastAsia" w:eastAsiaTheme="minorEastAsia" w:hAnsiTheme="minorEastAsia" w:hint="eastAsia"/>
          <w:sz w:val="21"/>
          <w:szCs w:val="21"/>
          <w:lang w:val="en-US" w:eastAsia="zh-CN"/>
        </w:rPr>
        <w:t>凈</w:t>
      </w:r>
      <w:r w:rsidRPr="000967C5">
        <w:rPr>
          <w:rFonts w:asciiTheme="minorEastAsia" w:eastAsiaTheme="minorEastAsia" w:hAnsiTheme="minorEastAsia" w:hint="eastAsia"/>
          <w:sz w:val="21"/>
          <w:szCs w:val="21"/>
          <w:lang w:val="en-US" w:eastAsia="zh-CN"/>
        </w:rPr>
        <w:t>内部尺寸，在适用的地方须预留位置给隔热材料用。</w:t>
      </w:r>
    </w:p>
    <w:p w:rsidR="002D1928" w:rsidRPr="000967C5" w14:paraId="0EB1E06D"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按图纸的要求提供防火闸，防火闸的结构必须符合当地消防部门的要求。</w:t>
      </w:r>
    </w:p>
    <w:p w:rsidR="002D1928" w:rsidRPr="000967C5" w14:paraId="58FB6926"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按图纸所示，设置不少于50mm长的柔性接头在所有空调机和风机及相关的风管之间，以防止震动传送到相邻的部份。</w:t>
      </w:r>
    </w:p>
    <w:p w:rsidR="002D1928" w:rsidRPr="000967C5" w14:paraId="3FFDAF72"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柔性接头所用的材料须能承受规定的温度和空气压力，并须符合气密性的标准，及表面须经由合成橡胶处理。此柔软性接头必须是具防火性能及符合当地消防部门的规定。</w:t>
      </w:r>
    </w:p>
    <w:p w:rsidR="002D1928" w:rsidRPr="000967C5" w14:paraId="02407DB0"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在需要进入过滤器或控制器的通风管道须装置快速拆除</w:t>
      </w:r>
      <w:r w:rsidRPr="000967C5">
        <w:rPr>
          <w:rFonts w:asciiTheme="minorEastAsia" w:eastAsiaTheme="minorEastAsia" w:hAnsiTheme="minorEastAsia" w:hint="eastAsia"/>
          <w:sz w:val="21"/>
          <w:szCs w:val="21"/>
          <w:lang w:val="en-US" w:eastAsia="zh-CN"/>
        </w:rPr>
        <w:t>型检查</w:t>
      </w:r>
      <w:r w:rsidRPr="000967C5">
        <w:rPr>
          <w:rFonts w:asciiTheme="minorEastAsia" w:eastAsiaTheme="minorEastAsia" w:hAnsiTheme="minorEastAsia" w:hint="eastAsia"/>
          <w:sz w:val="21"/>
          <w:szCs w:val="21"/>
          <w:lang w:val="en-US" w:eastAsia="zh-CN"/>
        </w:rPr>
        <w:t>口。</w:t>
      </w:r>
    </w:p>
    <w:p w:rsidR="002D1928" w:rsidRPr="000967C5" w14:paraId="7F22712C"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在适当的情形下，系统上或其它地方装置法兰接头以帮助维修保养。</w:t>
      </w:r>
    </w:p>
    <w:p w:rsidR="002D1928" w:rsidRPr="000967C5" w14:paraId="675C9394"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所有风管的法兰接头必需是由</w:t>
      </w:r>
      <w:r w:rsidRPr="000967C5">
        <w:rPr>
          <w:rFonts w:asciiTheme="minorEastAsia" w:eastAsiaTheme="minorEastAsia" w:hAnsiTheme="minorEastAsia" w:hint="eastAsia"/>
          <w:sz w:val="21"/>
          <w:szCs w:val="21"/>
          <w:lang w:val="en-US" w:eastAsia="zh-CN"/>
        </w:rPr>
        <w:t>橡胶垫套所制造</w:t>
      </w:r>
      <w:r w:rsidRPr="000967C5">
        <w:rPr>
          <w:rFonts w:asciiTheme="minorEastAsia" w:eastAsiaTheme="minorEastAsia" w:hAnsiTheme="minorEastAsia" w:hint="eastAsia"/>
          <w:sz w:val="21"/>
          <w:szCs w:val="21"/>
          <w:lang w:val="en-US" w:eastAsia="zh-CN"/>
        </w:rPr>
        <w:t>的垫套。</w:t>
      </w:r>
    </w:p>
    <w:p w:rsidR="002D1928" w:rsidRPr="000967C5" w14:paraId="65968994" w14:textId="77777777">
      <w:pPr>
        <w:numPr>
          <w:ilvl w:val="0"/>
          <w:numId w:val="48"/>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将接合处用密封剂、黏合物、绳带封密。所有的材料必需符合当地消防部门的规定。</w:t>
      </w:r>
    </w:p>
    <w:p w:rsidR="002D1928" w:rsidRPr="000967C5" w14:paraId="2F4EDEA0"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风门 – 防火</w:t>
      </w:r>
      <w:r w:rsidRPr="000967C5">
        <w:rPr>
          <w:rFonts w:asciiTheme="minorEastAsia" w:eastAsiaTheme="minorEastAsia" w:hAnsiTheme="minorEastAsia" w:hint="eastAsia"/>
          <w:sz w:val="21"/>
          <w:szCs w:val="21"/>
          <w:lang w:val="en-US" w:eastAsia="zh-CN"/>
        </w:rPr>
        <w:t>闸</w:t>
      </w:r>
    </w:p>
    <w:p w:rsidR="002D1928" w:rsidRPr="000967C5" w14:paraId="7FBF747E" w14:textId="77777777">
      <w:pPr>
        <w:numPr>
          <w:ilvl w:val="0"/>
          <w:numId w:val="51"/>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sectPr>
          <w:footerReference w:type="default" r:id="rId16"/>
          <w:type w:val="nextPage"/>
          <w:pgSz w:w="11906" w:h="16838"/>
          <w:pgMar w:top="1814" w:right="1418" w:bottom="1418" w:left="1814" w:header="851" w:footer="992" w:gutter="0"/>
          <w:pgNumType w:start="12"/>
          <w:cols w:space="425"/>
          <w:titlePg w:val="0"/>
          <w:docGrid w:linePitch="312"/>
        </w:sectPr>
      </w:pPr>
      <w:r w:rsidRPr="000967C5">
        <w:rPr>
          <w:rFonts w:asciiTheme="minorEastAsia" w:eastAsiaTheme="minorEastAsia" w:hAnsiTheme="minorEastAsia" w:hint="eastAsia"/>
          <w:sz w:val="21"/>
          <w:szCs w:val="21"/>
          <w:lang w:val="en-US" w:eastAsia="zh-CN"/>
        </w:rPr>
        <w:t>防火风门须是完全遵照当地消防部门的防火等级性能、结构、安装和测试的现行要求。</w:t>
      </w:r>
    </w:p>
    <w:p w:rsidR="002D1928" w:rsidRPr="000967C5" w14:paraId="6EE4F3D7" w14:textId="77777777">
      <w:pPr>
        <w:numPr>
          <w:ilvl w:val="0"/>
          <w:numId w:val="51"/>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防火风门组件的防火等级须完全与风道所通过的耐火墙和楼板相同，并须为2小时，除非另有规定，将由上述中国的管理部门或有关的中国管理部门认可的其它独立机构加以许可。</w:t>
      </w:r>
    </w:p>
    <w:p w:rsidR="002D1928" w:rsidRPr="000967C5" w14:paraId="606B78DD" w14:textId="77777777">
      <w:pPr>
        <w:numPr>
          <w:ilvl w:val="0"/>
          <w:numId w:val="51"/>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单叶片和多叶片枢轴型风门须是：</w:t>
      </w:r>
    </w:p>
    <w:p w:rsidR="002D1928" w:rsidRPr="000967C5" w14:paraId="16089692"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空气风道通过的任何底或顶处所需的防火隔离保护措施用厚度为</w:t>
      </w:r>
      <w:r w:rsidRPr="000967C5">
        <w:rPr>
          <w:rFonts w:asciiTheme="minorEastAsia" w:eastAsiaTheme="minorEastAsia" w:hAnsiTheme="minorEastAsia"/>
          <w:sz w:val="21"/>
          <w:szCs w:val="21"/>
          <w:lang w:val="en-US" w:eastAsia="zh-CN"/>
        </w:rPr>
        <w:t>6mm</w:t>
      </w:r>
      <w:r w:rsidRPr="000967C5">
        <w:rPr>
          <w:rFonts w:asciiTheme="minorEastAsia" w:eastAsiaTheme="minorEastAsia" w:hAnsiTheme="minorEastAsia" w:hint="eastAsia"/>
          <w:sz w:val="21"/>
          <w:szCs w:val="21"/>
          <w:lang w:val="en-US" w:eastAsia="zh-CN"/>
        </w:rPr>
        <w:t>的低碳钢板材制造。</w:t>
      </w:r>
    </w:p>
    <w:p w:rsidR="002D1928" w:rsidRPr="000967C5" w14:paraId="6285222C"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对于任何空气风道通过的墙所需的防火隔离保护措施用厚度为</w:t>
      </w:r>
      <w:r w:rsidRPr="000967C5">
        <w:rPr>
          <w:rFonts w:asciiTheme="minorEastAsia" w:eastAsiaTheme="minorEastAsia" w:hAnsiTheme="minorEastAsia"/>
          <w:sz w:val="21"/>
          <w:szCs w:val="21"/>
          <w:lang w:val="en-US" w:eastAsia="zh-CN"/>
        </w:rPr>
        <w:t>6mm</w:t>
      </w:r>
      <w:r w:rsidRPr="000967C5">
        <w:rPr>
          <w:rFonts w:asciiTheme="minorEastAsia" w:eastAsiaTheme="minorEastAsia" w:hAnsiTheme="minorEastAsia" w:hint="eastAsia"/>
          <w:sz w:val="21"/>
          <w:szCs w:val="21"/>
          <w:lang w:val="en-US" w:eastAsia="zh-CN"/>
        </w:rPr>
        <w:t>的低碳钢板材制造。</w:t>
      </w:r>
    </w:p>
    <w:p w:rsidR="002D1928" w:rsidRPr="000967C5" w14:paraId="287CE899"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对于任何空气风道通过的墙所需的</w:t>
      </w:r>
      <w:r w:rsidRPr="000967C5">
        <w:rPr>
          <w:rFonts w:asciiTheme="minorEastAsia" w:eastAsiaTheme="minorEastAsia" w:hAnsiTheme="minorEastAsia"/>
          <w:sz w:val="21"/>
          <w:szCs w:val="21"/>
          <w:lang w:val="en-US" w:eastAsia="zh-CN"/>
        </w:rPr>
        <w:t>2</w:t>
      </w:r>
      <w:r w:rsidRPr="000967C5">
        <w:rPr>
          <w:rFonts w:asciiTheme="minorEastAsia" w:eastAsiaTheme="minorEastAsia" w:hAnsiTheme="minorEastAsia" w:hint="eastAsia"/>
          <w:sz w:val="21"/>
          <w:szCs w:val="21"/>
          <w:lang w:val="en-US" w:eastAsia="zh-CN"/>
        </w:rPr>
        <w:t>小时的防火等级</w:t>
      </w:r>
      <w:r w:rsidRPr="000967C5">
        <w:rPr>
          <w:rFonts w:asciiTheme="minorEastAsia" w:eastAsiaTheme="minorEastAsia" w:hAnsiTheme="minorEastAsia"/>
          <w:sz w:val="21"/>
          <w:szCs w:val="21"/>
          <w:lang w:val="en-US" w:eastAsia="zh-CN"/>
        </w:rPr>
        <w:t>(F.R.P.)</w:t>
      </w:r>
      <w:r w:rsidRPr="000967C5">
        <w:rPr>
          <w:rFonts w:asciiTheme="minorEastAsia" w:eastAsiaTheme="minorEastAsia" w:hAnsiTheme="minorEastAsia" w:hint="eastAsia"/>
          <w:sz w:val="21"/>
          <w:szCs w:val="21"/>
          <w:lang w:val="en-US" w:eastAsia="zh-CN"/>
        </w:rPr>
        <w:t>的保护措施，须用厚度为</w:t>
      </w:r>
      <w:r w:rsidRPr="000967C5">
        <w:rPr>
          <w:rFonts w:asciiTheme="minorEastAsia" w:eastAsiaTheme="minorEastAsia" w:hAnsiTheme="minorEastAsia"/>
          <w:sz w:val="21"/>
          <w:szCs w:val="21"/>
          <w:lang w:val="en-US" w:eastAsia="zh-CN"/>
        </w:rPr>
        <w:t>3mm</w:t>
      </w:r>
      <w:r w:rsidRPr="000967C5">
        <w:rPr>
          <w:rFonts w:asciiTheme="minorEastAsia" w:eastAsiaTheme="minorEastAsia" w:hAnsiTheme="minorEastAsia" w:hint="eastAsia"/>
          <w:sz w:val="21"/>
          <w:szCs w:val="21"/>
          <w:lang w:val="en-US" w:eastAsia="zh-CN"/>
        </w:rPr>
        <w:t>的低碳钢板材制造。</w:t>
      </w:r>
    </w:p>
    <w:p w:rsidR="002D1928" w:rsidRPr="000967C5" w14:paraId="5AF3FDA9"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连带的壳体须以相同的标准制造。</w:t>
      </w:r>
    </w:p>
    <w:p w:rsidR="002D1928" w:rsidRPr="000967C5" w14:paraId="5D57328E"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叶片和壳体的薄钢板须首先覆盖防腐蚀层，为了风门的平滑接合，叶片铰接在黄铜轴承组的钢轴上。</w:t>
      </w:r>
    </w:p>
    <w:p w:rsidR="002D1928" w:rsidRPr="000967C5" w14:paraId="753B5C95"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转动的叶片和风门壳体之间的水平间隙将不超过</w:t>
      </w:r>
      <w:r w:rsidRPr="000967C5">
        <w:rPr>
          <w:rFonts w:asciiTheme="minorEastAsia" w:eastAsiaTheme="minorEastAsia" w:hAnsiTheme="minorEastAsia"/>
          <w:sz w:val="21"/>
          <w:szCs w:val="21"/>
          <w:lang w:val="en-US" w:eastAsia="zh-CN"/>
        </w:rPr>
        <w:t>1.5mm</w:t>
      </w:r>
      <w:r w:rsidRPr="000967C5">
        <w:rPr>
          <w:rFonts w:asciiTheme="minorEastAsia" w:eastAsiaTheme="minorEastAsia" w:hAnsiTheme="minorEastAsia" w:hint="eastAsia"/>
          <w:sz w:val="21"/>
          <w:szCs w:val="21"/>
          <w:lang w:val="en-US" w:eastAsia="zh-CN"/>
        </w:rPr>
        <w:t>。对于多层叶片防火风门，当该风门处于关闭状态时，每个叶片须被排列成同邻近的叶片接触并</w:t>
      </w:r>
      <w:r w:rsidRPr="000967C5">
        <w:rPr>
          <w:rFonts w:asciiTheme="minorEastAsia" w:eastAsiaTheme="minorEastAsia" w:hAnsiTheme="minorEastAsia" w:hint="eastAsia"/>
          <w:sz w:val="21"/>
          <w:szCs w:val="21"/>
          <w:lang w:val="en-US" w:eastAsia="zh-CN"/>
        </w:rPr>
        <w:t>至少互搭</w:t>
      </w:r>
      <w:r w:rsidRPr="000967C5">
        <w:rPr>
          <w:rFonts w:asciiTheme="minorEastAsia" w:eastAsiaTheme="minorEastAsia" w:hAnsiTheme="minorEastAsia"/>
          <w:sz w:val="21"/>
          <w:szCs w:val="21"/>
          <w:lang w:val="en-US" w:eastAsia="zh-CN"/>
        </w:rPr>
        <w:t>5mm</w:t>
      </w:r>
      <w:r w:rsidRPr="000967C5">
        <w:rPr>
          <w:rFonts w:asciiTheme="minorEastAsia" w:eastAsiaTheme="minorEastAsia" w:hAnsiTheme="minorEastAsia" w:hint="eastAsia"/>
          <w:sz w:val="21"/>
          <w:szCs w:val="21"/>
          <w:lang w:val="en-US" w:eastAsia="zh-CN"/>
        </w:rPr>
        <w:t>。在壳体上须提供合适的制动器，以便当风挡被关闭时，能使风门的叶片维持在一个稳定的位置。</w:t>
      </w:r>
    </w:p>
    <w:p w:rsidR="002D1928" w:rsidRPr="000967C5" w14:paraId="015BA8A8"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为了保证靠的闭合配置重压平衡锤，并平衡锤的布置须使正常空气流动方向趋于保持风间处于关闭状态。</w:t>
      </w:r>
    </w:p>
    <w:p w:rsidR="002D1928" w:rsidRPr="000967C5" w14:paraId="3461F77E"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设计成对空气流量的最小约束。</w:t>
      </w:r>
    </w:p>
    <w:p w:rsidR="002D1928" w:rsidRPr="000967C5" w14:paraId="2D607B09"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对于多层叶片风门，在风挡长过</w:t>
      </w:r>
      <w:r w:rsidRPr="000967C5">
        <w:rPr>
          <w:rFonts w:asciiTheme="minorEastAsia" w:eastAsiaTheme="minorEastAsia" w:hAnsiTheme="minorEastAsia"/>
          <w:sz w:val="21"/>
          <w:szCs w:val="21"/>
          <w:lang w:val="en-US" w:eastAsia="zh-CN"/>
        </w:rPr>
        <w:t>1m</w:t>
      </w:r>
      <w:r w:rsidRPr="000967C5">
        <w:rPr>
          <w:rFonts w:asciiTheme="minorEastAsia" w:eastAsiaTheme="minorEastAsia" w:hAnsiTheme="minorEastAsia" w:hint="eastAsia"/>
          <w:sz w:val="21"/>
          <w:szCs w:val="21"/>
          <w:lang w:val="en-US" w:eastAsia="zh-CN"/>
        </w:rPr>
        <w:t>的场合用</w:t>
      </w:r>
      <w:r w:rsidRPr="000967C5">
        <w:rPr>
          <w:rFonts w:asciiTheme="minorEastAsia" w:eastAsiaTheme="minorEastAsia" w:hAnsiTheme="minorEastAsia"/>
          <w:sz w:val="21"/>
          <w:szCs w:val="21"/>
          <w:lang w:val="en-US" w:eastAsia="zh-CN"/>
        </w:rPr>
        <w:t>2</w:t>
      </w:r>
      <w:r w:rsidRPr="000967C5">
        <w:rPr>
          <w:rFonts w:asciiTheme="minorEastAsia" w:eastAsiaTheme="minorEastAsia" w:hAnsiTheme="minorEastAsia" w:hint="eastAsia"/>
          <w:sz w:val="21"/>
          <w:szCs w:val="21"/>
          <w:lang w:val="en-US" w:eastAsia="zh-CN"/>
        </w:rPr>
        <w:t>根结合的</w:t>
      </w:r>
      <w:r w:rsidRPr="000967C5">
        <w:rPr>
          <w:rFonts w:asciiTheme="minorEastAsia" w:eastAsiaTheme="minorEastAsia" w:hAnsiTheme="minorEastAsia" w:hint="eastAsia"/>
          <w:sz w:val="21"/>
          <w:szCs w:val="21"/>
          <w:lang w:val="en-US" w:eastAsia="zh-CN"/>
        </w:rPr>
        <w:t>连结杆组控制</w:t>
      </w:r>
      <w:r w:rsidRPr="000967C5">
        <w:rPr>
          <w:rFonts w:asciiTheme="minorEastAsia" w:eastAsiaTheme="minorEastAsia" w:hAnsiTheme="minorEastAsia" w:hint="eastAsia"/>
          <w:sz w:val="21"/>
          <w:szCs w:val="21"/>
          <w:lang w:val="en-US" w:eastAsia="zh-CN"/>
        </w:rPr>
        <w:t>。</w:t>
      </w:r>
    </w:p>
    <w:p w:rsidR="002D1928" w:rsidRPr="000967C5" w14:paraId="695CDA93"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被牢固地固定至防火隔墙上；在不可能这样固定的地方，则固定至具有如防火隔墙同样防火级别铸造的防火隔墙外侧的部位。</w:t>
      </w:r>
    </w:p>
    <w:p w:rsidR="002D1928" w:rsidRPr="000967C5" w14:paraId="2A3A3AD8" w14:textId="77777777">
      <w:pPr>
        <w:pStyle w:val="ReportLevel3"/>
        <w:keepNext w:val="0"/>
        <w:numPr>
          <w:ilvl w:val="0"/>
          <w:numId w:val="52"/>
        </w:numPr>
        <w:tabs>
          <w:tab w:val="left" w:pos="1540"/>
        </w:tabs>
        <w:spacing w:before="120" w:beforeLines="50" w:after="120" w:afterLines="50"/>
        <w:ind w:left="1760" w:hanging="2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除非另有规定，采用把保险丝设定在</w:t>
      </w:r>
      <w:r w:rsidRPr="000967C5">
        <w:rPr>
          <w:rFonts w:asciiTheme="minorEastAsia" w:eastAsiaTheme="minorEastAsia" w:hAnsiTheme="minorEastAsia"/>
          <w:sz w:val="21"/>
          <w:szCs w:val="21"/>
          <w:lang w:val="en-US" w:eastAsia="zh-CN"/>
        </w:rPr>
        <w:t>69</w:t>
      </w:r>
      <w:r w:rsidRPr="000967C5">
        <w:rPr>
          <w:rFonts w:ascii="Symbol" w:hAnsi="Symbol" w:eastAsiaTheme="minorEastAsia"/>
          <w:sz w:val="21"/>
          <w:szCs w:val="21"/>
          <w:lang w:val="en-US" w:eastAsia="zh-CN"/>
        </w:rPr>
        <w:sym w:font="Symbol" w:char="F0B0"/>
      </w:r>
      <w:r w:rsidRPr="000967C5">
        <w:rPr>
          <w:rFonts w:asciiTheme="minorEastAsia" w:eastAsiaTheme="minorEastAsia" w:hAnsiTheme="minorEastAsia"/>
          <w:sz w:val="21"/>
          <w:szCs w:val="21"/>
          <w:lang w:val="en-US" w:eastAsia="zh-CN"/>
        </w:rPr>
        <w:t>C</w:t>
      </w:r>
      <w:r w:rsidRPr="000967C5">
        <w:rPr>
          <w:rFonts w:asciiTheme="minorEastAsia" w:eastAsiaTheme="minorEastAsia" w:hAnsiTheme="minorEastAsia" w:hint="eastAsia"/>
          <w:sz w:val="21"/>
          <w:szCs w:val="21"/>
          <w:lang w:val="en-US" w:eastAsia="zh-CN"/>
        </w:rPr>
        <w:t>断路来控制。</w:t>
      </w:r>
    </w:p>
    <w:p w:rsidR="002D1928" w:rsidRPr="000967C5" w14:paraId="16F02ED0"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外墙百叶</w:t>
      </w:r>
    </w:p>
    <w:p w:rsidR="002D1928" w:rsidRPr="000967C5" w14:paraId="174099D6" w14:textId="77777777">
      <w:pPr>
        <w:numPr>
          <w:ilvl w:val="0"/>
          <w:numId w:val="53"/>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所有排风及入风外墙</w:t>
      </w:r>
      <w:r w:rsidRPr="000967C5">
        <w:rPr>
          <w:rFonts w:asciiTheme="minorEastAsia" w:eastAsiaTheme="minorEastAsia" w:hAnsiTheme="minorEastAsia" w:hint="eastAsia"/>
          <w:sz w:val="21"/>
          <w:szCs w:val="21"/>
          <w:lang w:val="en-US" w:eastAsia="zh-CN"/>
        </w:rPr>
        <w:t>百叶须</w:t>
      </w:r>
      <w:r w:rsidRPr="000967C5">
        <w:rPr>
          <w:rFonts w:asciiTheme="minorEastAsia" w:eastAsiaTheme="minorEastAsia" w:hAnsiTheme="minorEastAsia" w:hint="eastAsia"/>
          <w:sz w:val="21"/>
          <w:szCs w:val="21"/>
          <w:lang w:val="en-US" w:eastAsia="zh-CN"/>
        </w:rPr>
        <w:t>由铝制成，</w:t>
      </w:r>
      <w:r w:rsidRPr="000967C5">
        <w:rPr>
          <w:rFonts w:asciiTheme="minorEastAsia" w:eastAsiaTheme="minorEastAsia" w:hAnsiTheme="minorEastAsia" w:hint="eastAsia"/>
          <w:sz w:val="21"/>
          <w:szCs w:val="21"/>
          <w:lang w:val="en-US" w:eastAsia="zh-CN"/>
        </w:rPr>
        <w:t>百叶须</w:t>
      </w:r>
      <w:r w:rsidRPr="000967C5">
        <w:rPr>
          <w:rFonts w:asciiTheme="minorEastAsia" w:eastAsiaTheme="minorEastAsia" w:hAnsiTheme="minorEastAsia" w:hint="eastAsia"/>
          <w:sz w:val="21"/>
          <w:szCs w:val="21"/>
          <w:lang w:val="en-US" w:eastAsia="zh-CN"/>
        </w:rPr>
        <w:t>是</w:t>
      </w:r>
      <w:r w:rsidRPr="000967C5">
        <w:rPr>
          <w:rFonts w:asciiTheme="minorEastAsia" w:eastAsiaTheme="minorEastAsia" w:hAnsiTheme="minorEastAsia" w:hint="eastAsia"/>
          <w:sz w:val="21"/>
          <w:szCs w:val="21"/>
          <w:lang w:val="en-US" w:eastAsia="zh-CN"/>
        </w:rPr>
        <w:t>防风雨式并</w:t>
      </w:r>
      <w:r w:rsidRPr="000967C5">
        <w:rPr>
          <w:rFonts w:asciiTheme="minorEastAsia" w:eastAsiaTheme="minorEastAsia" w:hAnsiTheme="minorEastAsia" w:hint="eastAsia"/>
          <w:sz w:val="21"/>
          <w:szCs w:val="21"/>
          <w:lang w:val="en-US" w:eastAsia="zh-CN"/>
        </w:rPr>
        <w:t>须与外墙形状配合，</w:t>
      </w:r>
      <w:r w:rsidRPr="000967C5">
        <w:rPr>
          <w:rFonts w:asciiTheme="minorEastAsia" w:eastAsiaTheme="minorEastAsia" w:hAnsiTheme="minorEastAsia" w:hint="eastAsia"/>
          <w:sz w:val="21"/>
          <w:szCs w:val="21"/>
          <w:lang w:val="en-US" w:eastAsia="zh-CN"/>
        </w:rPr>
        <w:t>百叶须</w:t>
      </w:r>
      <w:r w:rsidRPr="000967C5">
        <w:rPr>
          <w:rFonts w:asciiTheme="minorEastAsia" w:eastAsiaTheme="minorEastAsia" w:hAnsiTheme="minorEastAsia" w:hint="eastAsia"/>
          <w:sz w:val="21"/>
          <w:szCs w:val="21"/>
          <w:lang w:val="en-US" w:eastAsia="zh-CN"/>
        </w:rPr>
        <w:t>是电镀着色而颜色须提供给设计师审批。</w:t>
      </w:r>
    </w:p>
    <w:p w:rsidR="002D1928" w:rsidRPr="000967C5" w14:paraId="245A6A08" w14:textId="77777777">
      <w:pPr>
        <w:numPr>
          <w:ilvl w:val="0"/>
          <w:numId w:val="53"/>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在每个百叶之背后，装置独立可拆除的6 x 6mm x 1.2mm直径阔的钢网，防止垃圾进入。</w:t>
      </w:r>
    </w:p>
    <w:p w:rsidR="002D1928" w:rsidRPr="000967C5" w14:paraId="3BA26CBA" w14:textId="77777777">
      <w:pPr>
        <w:numPr>
          <w:ilvl w:val="0"/>
          <w:numId w:val="53"/>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如百叶的面积大于四平方米，</w:t>
      </w:r>
      <w:r w:rsidRPr="000967C5">
        <w:rPr>
          <w:rFonts w:asciiTheme="minorEastAsia" w:eastAsiaTheme="minorEastAsia" w:hAnsiTheme="minorEastAsia" w:hint="eastAsia"/>
          <w:sz w:val="21"/>
          <w:szCs w:val="21"/>
          <w:lang w:val="en-US" w:eastAsia="zh-CN"/>
        </w:rPr>
        <w:t>百叶须</w:t>
      </w:r>
      <w:r w:rsidRPr="000967C5">
        <w:rPr>
          <w:rFonts w:asciiTheme="minorEastAsia" w:eastAsiaTheme="minorEastAsia" w:hAnsiTheme="minorEastAsia" w:hint="eastAsia"/>
          <w:sz w:val="21"/>
          <w:szCs w:val="21"/>
          <w:lang w:val="en-US" w:eastAsia="zh-CN"/>
        </w:rPr>
        <w:t>由多个小百叶组成，并安装在坚固的钢架上。</w:t>
      </w:r>
    </w:p>
    <w:p w:rsidR="002D1928" w:rsidRPr="000967C5" w14:paraId="613201C5" w14:textId="77777777">
      <w:pPr>
        <w:numPr>
          <w:ilvl w:val="0"/>
          <w:numId w:val="53"/>
        </w:numPr>
        <w:tabs>
          <w:tab w:val="left" w:pos="1701"/>
        </w:tabs>
        <w:spacing w:before="120" w:beforeLines="50" w:after="120" w:afterLines="50"/>
        <w:jc w:val="both"/>
        <w:outlineLvl w:val="3"/>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提供百叶上装置外墙架和支撑钢架。</w:t>
      </w:r>
    </w:p>
    <w:p w:rsidR="002D1928" w:rsidRPr="000967C5" w14:paraId="567AD97A" w14:textId="77777777">
      <w:pPr>
        <w:pStyle w:val="ReportLevel3"/>
        <w:spacing w:before="120" w:beforeLines="50" w:after="120" w:afterLines="50" w:line="360" w:lineRule="auto"/>
        <w:rPr>
          <w:rFonts w:asciiTheme="minorEastAsia" w:eastAsiaTheme="minorEastAsia" w:hAnsiTheme="minorEastAsia"/>
          <w:b/>
          <w:caps/>
          <w:sz w:val="21"/>
          <w:szCs w:val="21"/>
          <w:lang w:eastAsia="zh-CN"/>
        </w:rPr>
        <w:sectPr>
          <w:footerReference w:type="default" r:id="rId17"/>
          <w:type w:val="nextPage"/>
          <w:pgSz w:w="11906" w:h="16838"/>
          <w:pgMar w:top="1814" w:right="1418" w:bottom="1418" w:left="1814" w:header="851" w:footer="992" w:gutter="0"/>
          <w:pgNumType w:start="13"/>
          <w:cols w:space="425"/>
          <w:titlePg w:val="0"/>
          <w:docGrid w:linePitch="312"/>
        </w:sectPr>
      </w:pPr>
      <w:bookmarkStart w:id="245" w:name="_Toc505082063"/>
      <w:bookmarkStart w:id="246" w:name="_Toc502860826"/>
      <w:bookmarkStart w:id="247" w:name="_Toc502853803"/>
      <w:bookmarkStart w:id="248" w:name="_Toc502857855"/>
      <w:bookmarkStart w:id="249" w:name="_Toc502859842"/>
      <w:bookmarkEnd w:id="244"/>
    </w:p>
    <w:p w:rsidR="002D1928" w:rsidRPr="000967C5" w14:paraId="41F60146" w14:textId="77777777">
      <w:pPr>
        <w:pStyle w:val="ReportLevel1"/>
        <w:numPr>
          <w:ilvl w:val="0"/>
          <w:numId w:val="24"/>
        </w:numPr>
        <w:spacing w:before="240" w:beforeLines="100" w:after="240" w:afterLines="100"/>
        <w:rPr>
          <w:rFonts w:asciiTheme="minorEastAsia" w:eastAsiaTheme="minorEastAsia" w:hAnsiTheme="minorEastAsia" w:cs="Arial"/>
          <w:sz w:val="21"/>
          <w:szCs w:val="21"/>
          <w:lang w:eastAsia="zh-CN"/>
        </w:rPr>
      </w:pPr>
      <w:bookmarkStart w:id="250" w:name="_Toc32593"/>
      <w:bookmarkStart w:id="251" w:name="_Toc40335840"/>
      <w:r w:rsidRPr="000967C5">
        <w:rPr>
          <w:rFonts w:asciiTheme="minorEastAsia" w:eastAsiaTheme="minorEastAsia" w:hAnsiTheme="minorEastAsia" w:cs="Arial"/>
          <w:sz w:val="21"/>
          <w:szCs w:val="21"/>
          <w:lang w:eastAsia="zh-CN"/>
        </w:rPr>
        <w:t>低压配电线缆</w:t>
      </w:r>
      <w:bookmarkEnd w:id="245"/>
      <w:bookmarkEnd w:id="246"/>
      <w:bookmarkEnd w:id="247"/>
      <w:bookmarkEnd w:id="248"/>
      <w:bookmarkEnd w:id="249"/>
      <w:bookmarkEnd w:id="250"/>
      <w:bookmarkEnd w:id="251"/>
    </w:p>
    <w:p w:rsidR="002D1928" w:rsidRPr="000967C5" w14:paraId="159BC01C" w14:textId="77777777">
      <w:pPr>
        <w:pStyle w:val="ReportLevel2"/>
        <w:spacing w:before="240" w:beforeLines="100" w:after="240" w:afterLines="100"/>
        <w:rPr>
          <w:rFonts w:asciiTheme="minorEastAsia" w:eastAsiaTheme="minorEastAsia" w:hAnsiTheme="minorEastAsia"/>
          <w:b/>
          <w:bCs/>
          <w:sz w:val="21"/>
          <w:szCs w:val="21"/>
        </w:rPr>
      </w:pPr>
      <w:bookmarkStart w:id="252" w:name="_Toc502859843"/>
      <w:bookmarkStart w:id="253" w:name="_Toc502860827"/>
      <w:bookmarkStart w:id="254" w:name="_Toc502857856"/>
      <w:bookmarkStart w:id="255" w:name="_Toc502853804"/>
      <w:r w:rsidRPr="000967C5">
        <w:rPr>
          <w:rFonts w:asciiTheme="minorEastAsia" w:eastAsiaTheme="minorEastAsia" w:hAnsiTheme="minorEastAsia"/>
          <w:b/>
          <w:bCs/>
          <w:sz w:val="21"/>
          <w:szCs w:val="21"/>
        </w:rPr>
        <w:t>一般要求</w:t>
      </w:r>
      <w:bookmarkEnd w:id="252"/>
      <w:bookmarkEnd w:id="253"/>
      <w:bookmarkEnd w:id="254"/>
      <w:bookmarkEnd w:id="255"/>
    </w:p>
    <w:p w:rsidR="002D1928" w:rsidRPr="000967C5" w14:paraId="1325B84F" w14:textId="00F2C78A">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线路</w:t>
      </w:r>
      <w:r w:rsidRPr="000967C5">
        <w:rPr>
          <w:rFonts w:asciiTheme="minorEastAsia" w:eastAsiaTheme="minorEastAsia" w:hAnsiTheme="minorEastAsia"/>
          <w:sz w:val="21"/>
          <w:szCs w:val="21"/>
          <w:lang w:val="en-US" w:eastAsia="zh-CN"/>
        </w:rPr>
        <w:t>及安装须符合GB50217-2007之有关规范的要求。</w:t>
      </w:r>
    </w:p>
    <w:p w:rsidR="002D1928" w:rsidRPr="000967C5" w14:paraId="410628FC"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所有电缆安装须根据制造商建议。</w:t>
      </w:r>
    </w:p>
    <w:p w:rsidR="002D1928" w:rsidRPr="000967C5" w14:paraId="245F2A55"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由线盘引出的电缆不可长期放在地上，须在布线电缆桥上。</w:t>
      </w:r>
    </w:p>
    <w:p w:rsidR="002D1928" w:rsidRPr="000967C5" w14:paraId="71E7D019"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电缆的可转曲的弯度不可多于制造商建议。</w:t>
      </w:r>
    </w:p>
    <w:p w:rsidR="002D1928" w:rsidRPr="000967C5" w14:paraId="65274B63"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图样上电缆长度只作参考，实际长度须由投标者提供。</w:t>
      </w:r>
    </w:p>
    <w:p w:rsidR="002D1928" w:rsidRPr="000967C5" w14:paraId="2F83FBFE"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如特别声明外，否则所有地下电缆须安装于保护管内。</w:t>
      </w:r>
    </w:p>
    <w:p w:rsidR="002D1928" w:rsidRPr="000967C5" w14:paraId="75670FBE"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若电缆安装于危险场所须符合BS4066及IEC60332测试要求或国家规范要求。</w:t>
      </w:r>
    </w:p>
    <w:p w:rsidR="002D1928" w:rsidRPr="000967C5" w14:paraId="0DD3EF60"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导体须为符合BS6360及IEC60228</w:t>
      </w:r>
      <w:r w:rsidRPr="000967C5">
        <w:rPr>
          <w:rFonts w:asciiTheme="minorEastAsia" w:eastAsiaTheme="minorEastAsia" w:hAnsiTheme="minorEastAsia"/>
          <w:sz w:val="21"/>
          <w:szCs w:val="21"/>
          <w:lang w:eastAsia="zh-CN"/>
        </w:rPr>
        <w:t>之裸软</w:t>
      </w:r>
      <w:r w:rsidRPr="000967C5">
        <w:rPr>
          <w:rFonts w:asciiTheme="minorEastAsia" w:eastAsiaTheme="minorEastAsia" w:hAnsiTheme="minorEastAsia"/>
          <w:sz w:val="21"/>
          <w:szCs w:val="21"/>
          <w:lang w:eastAsia="zh-CN"/>
        </w:rPr>
        <w:t>铜线。</w:t>
      </w:r>
    </w:p>
    <w:p w:rsidR="002D1928" w:rsidRPr="000967C5" w14:paraId="1692F963"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256" w:name="_Toc502857857"/>
      <w:bookmarkStart w:id="257" w:name="_Toc502853805"/>
      <w:bookmarkStart w:id="258" w:name="_Toc502859844"/>
      <w:bookmarkStart w:id="259" w:name="_Toc502860828"/>
      <w:r w:rsidRPr="000967C5">
        <w:rPr>
          <w:rFonts w:asciiTheme="minorEastAsia" w:eastAsiaTheme="minorEastAsia" w:hAnsiTheme="minorEastAsia"/>
          <w:b/>
          <w:bCs/>
          <w:sz w:val="21"/>
          <w:szCs w:val="21"/>
          <w:lang w:eastAsia="zh-CN"/>
        </w:rPr>
        <w:t>矿物绝缘电缆</w:t>
      </w:r>
    </w:p>
    <w:p w:rsidR="002D1928" w:rsidRPr="000967C5" w14:paraId="1F7617B2" w14:textId="77777777">
      <w:pPr>
        <w:pStyle w:val="ReportLevel3"/>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所规定之电缆绝缘护套管、电缆终端头、电缆夹、电缆接头、连接器等均须由生产电缆的制造厂商供应，并按厂商要求处理。</w:t>
      </w:r>
    </w:p>
    <w:p w:rsidR="002D1928" w:rsidRPr="000967C5" w14:paraId="1077BB25" w14:textId="77777777">
      <w:pPr>
        <w:pStyle w:val="ReportLevel3"/>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连接至设备和开关装置之电缆用的封套必须为压缩型黄铜终端头。绝缘护套</w:t>
      </w:r>
      <w:r w:rsidRPr="000967C5">
        <w:rPr>
          <w:rFonts w:asciiTheme="minorEastAsia" w:eastAsiaTheme="minorEastAsia" w:hAnsiTheme="minorEastAsia"/>
          <w:sz w:val="21"/>
          <w:szCs w:val="21"/>
          <w:lang w:val="en-US" w:eastAsia="zh-CN"/>
        </w:rPr>
        <w:t>管须包括</w:t>
      </w:r>
      <w:r w:rsidRPr="000967C5">
        <w:rPr>
          <w:rFonts w:asciiTheme="minorEastAsia" w:eastAsiaTheme="minorEastAsia" w:hAnsiTheme="minorEastAsia"/>
          <w:sz w:val="21"/>
          <w:szCs w:val="21"/>
          <w:lang w:val="en-US" w:eastAsia="zh-CN"/>
        </w:rPr>
        <w:t>终端头本体、压缩环及限动螺帽使无缝铜包护套和</w:t>
      </w:r>
      <w:r w:rsidRPr="000967C5">
        <w:rPr>
          <w:rFonts w:asciiTheme="minorEastAsia" w:eastAsiaTheme="minorEastAsia" w:hAnsiTheme="minorEastAsia"/>
          <w:sz w:val="21"/>
          <w:szCs w:val="21"/>
          <w:lang w:val="en-US" w:eastAsia="zh-CN"/>
        </w:rPr>
        <w:t>终端头间具有</w:t>
      </w:r>
      <w:r w:rsidRPr="000967C5">
        <w:rPr>
          <w:rFonts w:asciiTheme="minorEastAsia" w:eastAsiaTheme="minorEastAsia" w:hAnsiTheme="minorEastAsia"/>
          <w:sz w:val="21"/>
          <w:szCs w:val="21"/>
          <w:lang w:val="en-US" w:eastAsia="zh-CN"/>
        </w:rPr>
        <w:t>防水密封及良好的接地延续性。</w:t>
      </w:r>
    </w:p>
    <w:p w:rsidR="002D1928" w:rsidRPr="000967C5" w14:paraId="5C5325C0" w14:textId="77777777">
      <w:pPr>
        <w:pStyle w:val="ReportLevel3"/>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电缆密封须</w:t>
      </w:r>
      <w:r w:rsidRPr="000967C5">
        <w:rPr>
          <w:rFonts w:asciiTheme="minorEastAsia" w:eastAsiaTheme="minorEastAsia" w:hAnsiTheme="minorEastAsia"/>
          <w:sz w:val="21"/>
          <w:szCs w:val="21"/>
          <w:lang w:val="en-US" w:eastAsia="zh-CN"/>
        </w:rPr>
        <w:t>为拧装</w:t>
      </w:r>
      <w:r w:rsidRPr="000967C5">
        <w:rPr>
          <w:rFonts w:asciiTheme="minorEastAsia" w:eastAsiaTheme="minorEastAsia" w:hAnsiTheme="minorEastAsia"/>
          <w:sz w:val="21"/>
          <w:szCs w:val="21"/>
          <w:lang w:val="en-US" w:eastAsia="zh-CN"/>
        </w:rPr>
        <w:t>型密封，带黄铜封杯、帽、绝缘套和适合于105℃运行的绝缘物。对大截面单芯电缆之绝缘护套管，也可用光</w:t>
      </w:r>
      <w:r w:rsidRPr="000967C5">
        <w:rPr>
          <w:rFonts w:asciiTheme="minorEastAsia" w:eastAsiaTheme="minorEastAsia" w:hAnsiTheme="minorEastAsia"/>
          <w:sz w:val="21"/>
          <w:szCs w:val="21"/>
          <w:lang w:val="en-US" w:eastAsia="zh-CN"/>
        </w:rPr>
        <w:t>渗</w:t>
      </w:r>
      <w:r w:rsidRPr="000967C5">
        <w:rPr>
          <w:rFonts w:asciiTheme="minorEastAsia" w:eastAsiaTheme="minorEastAsia" w:hAnsiTheme="minorEastAsia"/>
          <w:sz w:val="21"/>
          <w:szCs w:val="21"/>
          <w:lang w:val="en-US" w:eastAsia="zh-CN"/>
        </w:rPr>
        <w:t>交联半刚性聚烯烃材料的热缩密封管和导线套管。</w:t>
      </w:r>
    </w:p>
    <w:p w:rsidR="002D1928" w:rsidRPr="000967C5" w14:paraId="7CDC1023" w14:textId="77777777">
      <w:pPr>
        <w:pStyle w:val="ReportLevel3"/>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在电缆需要连接处必须使用标准直线过线连接盒。连接盒须包括</w:t>
      </w:r>
      <w:r w:rsidRPr="000967C5">
        <w:rPr>
          <w:rFonts w:asciiTheme="minorEastAsia" w:eastAsiaTheme="minorEastAsia" w:hAnsiTheme="minorEastAsia"/>
          <w:sz w:val="21"/>
          <w:szCs w:val="21"/>
          <w:lang w:val="en-US" w:eastAsia="zh-CN"/>
        </w:rPr>
        <w:t>一</w:t>
      </w:r>
      <w:r w:rsidRPr="000967C5">
        <w:rPr>
          <w:rFonts w:asciiTheme="minorEastAsia" w:eastAsiaTheme="minorEastAsia" w:hAnsiTheme="minorEastAsia"/>
          <w:sz w:val="21"/>
          <w:szCs w:val="21"/>
          <w:lang w:val="en-US" w:eastAsia="zh-CN"/>
        </w:rPr>
        <w:t>内螺纹黄铜套电缆密封和电缆两端带压缩连接器的终端头或加于每条导线上的镀锡焊接套。</w:t>
      </w:r>
    </w:p>
    <w:p w:rsidR="002D1928" w:rsidRPr="000967C5" w14:paraId="2164034E" w14:textId="77777777">
      <w:pPr>
        <w:pStyle w:val="ReportLevel3"/>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电缆鞍形夹和电缆线夹须由包塑料的铜料制，并用铜螺栓固定。</w:t>
      </w:r>
    </w:p>
    <w:p w:rsidR="002D1928" w:rsidRPr="000967C5" w14:paraId="14DF9317" w14:textId="77777777">
      <w:pPr>
        <w:pStyle w:val="ReportLevel3"/>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矿物绝缘电缆之电缆终端头及其附件应满足国家规范的要求。</w:t>
      </w:r>
    </w:p>
    <w:p w:rsidR="002D1928" w:rsidRPr="000967C5" w14:paraId="601AA555" w14:textId="77777777">
      <w:pPr>
        <w:pStyle w:val="ReportLevel2"/>
        <w:spacing w:before="240" w:beforeLines="100" w:after="240" w:afterLines="100"/>
        <w:rPr>
          <w:rFonts w:asciiTheme="minorEastAsia" w:eastAsiaTheme="minorEastAsia" w:hAnsiTheme="minorEastAsia"/>
          <w:b/>
          <w:bCs/>
          <w:sz w:val="21"/>
          <w:szCs w:val="21"/>
          <w:lang w:eastAsia="zh-CN"/>
        </w:rPr>
      </w:pPr>
      <w:r w:rsidRPr="000967C5">
        <w:rPr>
          <w:rFonts w:asciiTheme="minorEastAsia" w:eastAsiaTheme="minorEastAsia" w:hAnsiTheme="minorEastAsia"/>
          <w:b/>
          <w:bCs/>
          <w:sz w:val="21"/>
          <w:szCs w:val="21"/>
          <w:lang w:eastAsia="zh-CN"/>
        </w:rPr>
        <w:t>低烟无卤</w:t>
      </w:r>
      <w:r w:rsidRPr="000967C5">
        <w:rPr>
          <w:rFonts w:asciiTheme="minorEastAsia" w:eastAsiaTheme="minorEastAsia" w:hAnsiTheme="minorEastAsia"/>
          <w:b/>
          <w:bCs/>
          <w:sz w:val="21"/>
          <w:szCs w:val="21"/>
          <w:lang w:eastAsia="zh-CN"/>
        </w:rPr>
        <w:t>交联聚乙烯绝缘阻燃电缆</w:t>
      </w:r>
      <w:bookmarkEnd w:id="256"/>
      <w:bookmarkEnd w:id="257"/>
      <w:bookmarkEnd w:id="258"/>
      <w:bookmarkEnd w:id="259"/>
    </w:p>
    <w:p w:rsidR="002D1928" w:rsidRPr="000967C5" w14:paraId="79458EC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耐压600/1000V，符合GB/T12706.1-2008、 GB/T18380.31-2008规范标准的要求。</w:t>
      </w:r>
    </w:p>
    <w:p w:rsidR="002D1928" w:rsidRPr="000967C5" w14:paraId="7C82A35B"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导线</w:t>
      </w:r>
      <w:r w:rsidRPr="000967C5">
        <w:rPr>
          <w:rFonts w:asciiTheme="minorEastAsia" w:eastAsiaTheme="minorEastAsia" w:hAnsiTheme="minorEastAsia"/>
          <w:sz w:val="21"/>
          <w:szCs w:val="21"/>
          <w:lang w:val="en-US" w:eastAsia="zh-CN"/>
        </w:rPr>
        <w:t>须为符合国标之祼软铜线。</w:t>
      </w:r>
    </w:p>
    <w:p w:rsidR="002D1928" w:rsidRPr="000967C5" w14:paraId="3AC1D611"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所有</w:t>
      </w:r>
      <w:r w:rsidRPr="000967C5">
        <w:rPr>
          <w:rFonts w:asciiTheme="minorEastAsia" w:eastAsiaTheme="minorEastAsia" w:hAnsiTheme="minorEastAsia"/>
          <w:sz w:val="21"/>
          <w:szCs w:val="21"/>
          <w:lang w:val="en-US" w:eastAsia="zh-CN"/>
        </w:rPr>
        <w:t>电缆芯线须符合GB/T3956-2008及深圳市政府部门之规定，其全部绝缘用适当的颜色以作鉴别。</w:t>
      </w:r>
    </w:p>
    <w:p w:rsidR="002D1928" w:rsidRPr="000967C5" w14:paraId="393E155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环保要求须符合GB/T17650.2-1998及GB/T17651-1998的要求。</w:t>
      </w:r>
    </w:p>
    <w:p w:rsidR="002D1928" w:rsidRPr="000967C5" w14:paraId="1DC5187A"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260" w:name="_Toc502857858"/>
      <w:bookmarkStart w:id="261" w:name="_Toc502859845"/>
      <w:bookmarkStart w:id="262" w:name="_Toc502860829"/>
      <w:bookmarkStart w:id="263" w:name="_Toc502853806"/>
      <w:r w:rsidRPr="000967C5">
        <w:rPr>
          <w:rFonts w:asciiTheme="minorEastAsia" w:eastAsiaTheme="minorEastAsia" w:hAnsiTheme="minorEastAsia"/>
          <w:b/>
          <w:bCs/>
          <w:sz w:val="21"/>
          <w:szCs w:val="21"/>
          <w:lang w:eastAsia="zh-CN"/>
        </w:rPr>
        <w:t>低烟无卤</w:t>
      </w:r>
      <w:r w:rsidRPr="000967C5">
        <w:rPr>
          <w:rFonts w:asciiTheme="minorEastAsia" w:eastAsiaTheme="minorEastAsia" w:hAnsiTheme="minorEastAsia"/>
          <w:b/>
          <w:bCs/>
          <w:sz w:val="21"/>
          <w:szCs w:val="21"/>
          <w:lang w:eastAsia="zh-CN"/>
        </w:rPr>
        <w:t>交联聚乙烯绝缘耐火电缆</w:t>
      </w:r>
      <w:bookmarkEnd w:id="260"/>
      <w:bookmarkEnd w:id="261"/>
      <w:bookmarkEnd w:id="262"/>
      <w:bookmarkEnd w:id="263"/>
    </w:p>
    <w:p w:rsidR="002D1928" w:rsidRPr="000967C5" w14:paraId="2D48B57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耐压600/1000V，并符合GB/T12706.1-2008、GB/T19216.11-2003规范标准的要求。</w:t>
      </w:r>
    </w:p>
    <w:p w:rsidR="002D1928" w:rsidRPr="000967C5" w14:paraId="5965A7EF"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导线</w:t>
      </w:r>
      <w:r w:rsidRPr="000967C5">
        <w:rPr>
          <w:rFonts w:asciiTheme="minorEastAsia" w:eastAsiaTheme="minorEastAsia" w:hAnsiTheme="minorEastAsia"/>
          <w:sz w:val="21"/>
          <w:szCs w:val="21"/>
          <w:lang w:val="en-US" w:eastAsia="zh-CN"/>
        </w:rPr>
        <w:t>须为符合国标之祼软铜线。</w:t>
      </w:r>
    </w:p>
    <w:p w:rsidR="002D1928" w:rsidRPr="000967C5" w14:paraId="2BE86DA4" w14:textId="77777777">
      <w:pPr>
        <w:pStyle w:val="ReportLevel3"/>
        <w:keepNext w:val="0"/>
        <w:spacing w:before="120" w:beforeLines="50" w:after="120" w:afterLines="50"/>
        <w:rPr>
          <w:rFonts w:asciiTheme="minorEastAsia" w:eastAsiaTheme="minorEastAsia" w:hAnsiTheme="minorEastAsia"/>
          <w:sz w:val="21"/>
          <w:szCs w:val="21"/>
          <w:lang w:val="en-US" w:eastAsia="zh-CN"/>
        </w:rPr>
        <w:sectPr>
          <w:footerReference w:type="default" r:id="rId18"/>
          <w:type w:val="nextPage"/>
          <w:pgSz w:w="11906" w:h="16838"/>
          <w:pgMar w:top="1814" w:right="1418" w:bottom="1418" w:left="1814" w:header="851" w:footer="992" w:gutter="0"/>
          <w:pgNumType w:start="14"/>
          <w:cols w:space="425"/>
          <w:titlePg w:val="0"/>
          <w:docGrid w:linePitch="312"/>
        </w:sectPr>
      </w:pPr>
      <w:r w:rsidRPr="000967C5">
        <w:rPr>
          <w:rFonts w:asciiTheme="minorEastAsia" w:eastAsiaTheme="minorEastAsia" w:hAnsiTheme="minorEastAsia"/>
          <w:sz w:val="21"/>
          <w:szCs w:val="21"/>
          <w:lang w:eastAsia="zh-CN"/>
        </w:rPr>
        <w:t>所有</w:t>
      </w:r>
      <w:r w:rsidRPr="000967C5">
        <w:rPr>
          <w:rFonts w:asciiTheme="minorEastAsia" w:eastAsiaTheme="minorEastAsia" w:hAnsiTheme="minorEastAsia"/>
          <w:sz w:val="21"/>
          <w:szCs w:val="21"/>
          <w:lang w:val="en-US" w:eastAsia="zh-CN"/>
        </w:rPr>
        <w:t>电缆芯线须符合GB/T3956-2008及深圳市政府部门之规定，其全部绝缘用适当的颜色以作鉴别。</w:t>
      </w:r>
    </w:p>
    <w:p w:rsidR="002D1928" w:rsidRPr="000967C5" w14:paraId="0EC3030C"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环保</w:t>
      </w:r>
      <w:r w:rsidRPr="000967C5">
        <w:rPr>
          <w:rFonts w:asciiTheme="minorEastAsia" w:eastAsiaTheme="minorEastAsia" w:hAnsiTheme="minorEastAsia"/>
          <w:sz w:val="21"/>
          <w:szCs w:val="21"/>
          <w:lang w:val="en-US" w:eastAsia="zh-CN"/>
        </w:rPr>
        <w:t>要求须符合GB/T17650.2-1998及GB/T17651的要求。</w:t>
      </w:r>
    </w:p>
    <w:p w:rsidR="002D1928" w:rsidRPr="000967C5" w14:paraId="6A58AE5C" w14:textId="77777777">
      <w:pPr>
        <w:pStyle w:val="ReportLevel2"/>
        <w:spacing w:before="240" w:beforeLines="100" w:after="240" w:afterLines="100"/>
        <w:rPr>
          <w:rFonts w:asciiTheme="minorEastAsia" w:eastAsiaTheme="minorEastAsia" w:hAnsiTheme="minorEastAsia"/>
          <w:b/>
          <w:bCs/>
          <w:sz w:val="21"/>
          <w:szCs w:val="21"/>
        </w:rPr>
      </w:pPr>
      <w:bookmarkStart w:id="264" w:name="_Toc502860832"/>
      <w:bookmarkStart w:id="265" w:name="_Toc502859848"/>
      <w:bookmarkStart w:id="266" w:name="_Toc502853809"/>
      <w:bookmarkStart w:id="267" w:name="_Toc502857861"/>
      <w:r w:rsidRPr="000967C5">
        <w:rPr>
          <w:rFonts w:asciiTheme="minorEastAsia" w:eastAsiaTheme="minorEastAsia" w:hAnsiTheme="minorEastAsia"/>
          <w:b/>
          <w:bCs/>
          <w:sz w:val="21"/>
          <w:szCs w:val="21"/>
        </w:rPr>
        <w:t>交联聚烯烃绝缘电线</w:t>
      </w:r>
      <w:bookmarkEnd w:id="264"/>
      <w:bookmarkEnd w:id="265"/>
      <w:bookmarkEnd w:id="266"/>
      <w:bookmarkEnd w:id="267"/>
    </w:p>
    <w:p w:rsidR="002D1928" w:rsidRPr="000967C5" w14:paraId="6725F8CE"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除另有规定外，最终回路及控制回路均须敷设于电线管及电线槽中。</w:t>
      </w:r>
    </w:p>
    <w:p w:rsidR="002D1928" w:rsidRPr="000967C5" w14:paraId="36C6DA91"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上述</w:t>
      </w:r>
      <w:r w:rsidRPr="000967C5">
        <w:rPr>
          <w:rFonts w:asciiTheme="minorEastAsia" w:eastAsiaTheme="minorEastAsia" w:hAnsiTheme="minorEastAsia"/>
          <w:sz w:val="21"/>
          <w:szCs w:val="21"/>
          <w:lang w:val="en-US" w:eastAsia="zh-CN"/>
        </w:rPr>
        <w:t>敷设的电缆须符合JB/T10491-1《额定电压450/750 V及以下交联聚烯烃绝缘电线和电缆 第一部分：一般要求》铜芯，交联聚烯烃绝缘。</w:t>
      </w:r>
    </w:p>
    <w:p w:rsidR="002D1928" w:rsidRPr="000967C5" w14:paraId="05BBBD74"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导线</w:t>
      </w:r>
      <w:r w:rsidRPr="000967C5">
        <w:rPr>
          <w:rFonts w:asciiTheme="minorEastAsia" w:eastAsiaTheme="minorEastAsia" w:hAnsiTheme="minorEastAsia"/>
          <w:sz w:val="21"/>
          <w:szCs w:val="21"/>
          <w:lang w:val="en-US" w:eastAsia="zh-CN"/>
        </w:rPr>
        <w:t>须为符合国标</w:t>
      </w:r>
      <w:r w:rsidRPr="000967C5">
        <w:rPr>
          <w:rFonts w:asciiTheme="minorEastAsia" w:eastAsiaTheme="minorEastAsia" w:hAnsiTheme="minorEastAsia"/>
          <w:sz w:val="21"/>
          <w:szCs w:val="21"/>
          <w:lang w:val="en-US" w:eastAsia="zh-CN"/>
        </w:rPr>
        <w:t>之裸软铜</w:t>
      </w:r>
      <w:r w:rsidRPr="000967C5">
        <w:rPr>
          <w:rFonts w:asciiTheme="minorEastAsia" w:eastAsiaTheme="minorEastAsia" w:hAnsiTheme="minorEastAsia"/>
          <w:sz w:val="21"/>
          <w:szCs w:val="21"/>
          <w:lang w:val="en-US" w:eastAsia="zh-CN"/>
        </w:rPr>
        <w:t>。</w:t>
      </w:r>
    </w:p>
    <w:p w:rsidR="002D1928" w:rsidRPr="000967C5" w14:paraId="0E5FB747"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电缆</w:t>
      </w:r>
      <w:r w:rsidRPr="000967C5">
        <w:rPr>
          <w:rFonts w:asciiTheme="minorEastAsia" w:eastAsiaTheme="minorEastAsia" w:hAnsiTheme="minorEastAsia"/>
          <w:sz w:val="21"/>
          <w:szCs w:val="21"/>
          <w:lang w:val="en-US" w:eastAsia="zh-CN"/>
        </w:rPr>
        <w:t>芯线须按JGJ16-2008《民用建筑电气设计规范》之规定，其全部绝缘</w:t>
      </w:r>
      <w:r w:rsidRPr="000967C5">
        <w:rPr>
          <w:rFonts w:asciiTheme="minorEastAsia" w:eastAsiaTheme="minorEastAsia" w:hAnsiTheme="minorEastAsia"/>
          <w:sz w:val="21"/>
          <w:szCs w:val="21"/>
          <w:lang w:val="en-US" w:eastAsia="zh-CN"/>
        </w:rPr>
        <w:tab/>
        <w:t>以颜色以作鉴别：</w:t>
      </w:r>
    </w:p>
    <w:p w:rsidR="002D1928" w:rsidRPr="000967C5" w14:paraId="0906D1BF" w14:textId="77777777">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sidRPr="000967C5">
        <w:rPr>
          <w:rFonts w:asciiTheme="minorEastAsia" w:eastAsiaTheme="minorEastAsia" w:hAnsiTheme="minorEastAsia"/>
          <w:spacing w:val="0"/>
          <w:sz w:val="21"/>
          <w:szCs w:val="21"/>
          <w:lang w:val="en-US" w:eastAsia="zh-CN"/>
        </w:rPr>
        <w:t>相线</w:t>
      </w:r>
      <w:r w:rsidRPr="000967C5">
        <w:rPr>
          <w:rFonts w:asciiTheme="minorEastAsia" w:eastAsiaTheme="minorEastAsia" w:hAnsiTheme="minorEastAsia"/>
          <w:spacing w:val="0"/>
          <w:sz w:val="21"/>
          <w:szCs w:val="21"/>
          <w:lang w:val="en-US" w:eastAsia="zh-CN"/>
        </w:rPr>
        <w:tab/>
        <w:t>：</w:t>
      </w:r>
      <w:r w:rsidRPr="000967C5">
        <w:rPr>
          <w:rFonts w:asciiTheme="minorEastAsia" w:eastAsiaTheme="minorEastAsia" w:hAnsiTheme="minorEastAsia"/>
          <w:spacing w:val="0"/>
          <w:sz w:val="21"/>
          <w:szCs w:val="21"/>
          <w:lang w:val="en-US" w:eastAsia="zh-CN"/>
        </w:rPr>
        <w:tab/>
        <w:t>A相黄色，B相绿色，C相红色</w:t>
      </w:r>
    </w:p>
    <w:p w:rsidR="002D1928" w:rsidRPr="000967C5" w14:paraId="65A953A4" w14:textId="77777777">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sidRPr="000967C5">
        <w:rPr>
          <w:rFonts w:asciiTheme="minorEastAsia" w:eastAsiaTheme="minorEastAsia" w:hAnsiTheme="minorEastAsia"/>
          <w:spacing w:val="0"/>
          <w:sz w:val="21"/>
          <w:szCs w:val="21"/>
          <w:lang w:val="en-US" w:eastAsia="zh-CN"/>
        </w:rPr>
        <w:t>中线</w:t>
      </w:r>
      <w:r w:rsidRPr="000967C5">
        <w:rPr>
          <w:rFonts w:asciiTheme="minorEastAsia" w:eastAsiaTheme="minorEastAsia" w:hAnsiTheme="minorEastAsia"/>
          <w:spacing w:val="0"/>
          <w:sz w:val="21"/>
          <w:szCs w:val="21"/>
          <w:lang w:val="en-US" w:eastAsia="zh-CN"/>
        </w:rPr>
        <w:tab/>
        <w:t>：</w:t>
      </w:r>
      <w:r w:rsidRPr="000967C5">
        <w:rPr>
          <w:rFonts w:asciiTheme="minorEastAsia" w:eastAsiaTheme="minorEastAsia" w:hAnsiTheme="minorEastAsia"/>
          <w:spacing w:val="0"/>
          <w:sz w:val="21"/>
          <w:szCs w:val="21"/>
          <w:lang w:val="en-US" w:eastAsia="zh-CN"/>
        </w:rPr>
        <w:tab/>
        <w:t>淡蓝色</w:t>
      </w:r>
    </w:p>
    <w:p w:rsidR="002D1928" w:rsidRPr="000967C5" w14:paraId="2BFAB0D1" w14:textId="77777777">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sidRPr="000967C5">
        <w:rPr>
          <w:rFonts w:asciiTheme="minorEastAsia" w:eastAsiaTheme="minorEastAsia" w:hAnsiTheme="minorEastAsia"/>
          <w:spacing w:val="0"/>
          <w:sz w:val="21"/>
          <w:szCs w:val="21"/>
          <w:lang w:val="en-US" w:eastAsia="zh-CN"/>
        </w:rPr>
        <w:t>地线</w:t>
      </w:r>
      <w:r w:rsidRPr="000967C5">
        <w:rPr>
          <w:rFonts w:asciiTheme="minorEastAsia" w:eastAsiaTheme="minorEastAsia" w:hAnsiTheme="minorEastAsia"/>
          <w:spacing w:val="0"/>
          <w:sz w:val="21"/>
          <w:szCs w:val="21"/>
          <w:lang w:val="en-US" w:eastAsia="zh-CN"/>
        </w:rPr>
        <w:tab/>
        <w:t>：</w:t>
      </w:r>
      <w:r w:rsidRPr="000967C5">
        <w:rPr>
          <w:rFonts w:asciiTheme="minorEastAsia" w:eastAsiaTheme="minorEastAsia" w:hAnsiTheme="minorEastAsia"/>
          <w:spacing w:val="0"/>
          <w:sz w:val="21"/>
          <w:szCs w:val="21"/>
          <w:lang w:val="en-US" w:eastAsia="zh-CN"/>
        </w:rPr>
        <w:tab/>
        <w:t>绿／黄色</w:t>
      </w:r>
    </w:p>
    <w:p w:rsidR="002D1928" w:rsidRPr="000967C5" w14:paraId="4B5E0D87" w14:textId="77777777">
      <w:pPr>
        <w:pStyle w:val="P5"/>
        <w:spacing w:before="120" w:beforeLines="50" w:after="120"/>
        <w:ind w:left="1353" w:leftChars="615"/>
        <w:jc w:val="left"/>
        <w:rPr>
          <w:rFonts w:asciiTheme="minorEastAsia" w:eastAsiaTheme="minorEastAsia" w:hAnsiTheme="minorEastAsia"/>
          <w:spacing w:val="0"/>
          <w:sz w:val="21"/>
          <w:szCs w:val="21"/>
          <w:lang w:val="en-US" w:eastAsia="zh-CN"/>
        </w:rPr>
      </w:pPr>
      <w:r w:rsidRPr="000967C5">
        <w:rPr>
          <w:rFonts w:asciiTheme="minorEastAsia" w:eastAsiaTheme="minorEastAsia" w:hAnsiTheme="minorEastAsia"/>
          <w:spacing w:val="0"/>
          <w:sz w:val="21"/>
          <w:szCs w:val="21"/>
          <w:lang w:val="en-US" w:eastAsia="zh-CN"/>
        </w:rPr>
        <w:t>控制线路</w:t>
      </w:r>
      <w:r w:rsidRPr="000967C5">
        <w:rPr>
          <w:rFonts w:asciiTheme="minorEastAsia" w:eastAsiaTheme="minorEastAsia" w:hAnsiTheme="minorEastAsia"/>
          <w:spacing w:val="0"/>
          <w:sz w:val="21"/>
          <w:szCs w:val="21"/>
          <w:lang w:val="en-US" w:eastAsia="zh-CN"/>
        </w:rPr>
        <w:tab/>
        <w:t>：</w:t>
      </w:r>
      <w:r w:rsidRPr="000967C5">
        <w:rPr>
          <w:rFonts w:asciiTheme="minorEastAsia" w:eastAsiaTheme="minorEastAsia" w:hAnsiTheme="minorEastAsia"/>
          <w:spacing w:val="0"/>
          <w:sz w:val="21"/>
          <w:szCs w:val="21"/>
          <w:lang w:val="en-US" w:eastAsia="zh-CN"/>
        </w:rPr>
        <w:tab/>
        <w:t>白色</w:t>
      </w:r>
    </w:p>
    <w:p w:rsidR="002D1928" w:rsidRPr="000967C5" w14:paraId="7239D872"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阻燃测试须符合GB/T19216.21-2008《电缆在火焰条件下的燃烧试验 第二部分：单根铜芯细电线或电缆的垂直燃烧试验方法》规定的标准。</w:t>
      </w:r>
    </w:p>
    <w:p w:rsidR="002D1928" w:rsidRPr="000967C5" w14:paraId="3031768A"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耐火电缆</w:t>
      </w:r>
      <w:r w:rsidRPr="000967C5">
        <w:rPr>
          <w:rFonts w:asciiTheme="minorEastAsia" w:eastAsiaTheme="minorEastAsia" w:hAnsiTheme="minorEastAsia"/>
          <w:sz w:val="21"/>
          <w:szCs w:val="21"/>
          <w:lang w:val="en-US" w:eastAsia="zh-CN"/>
        </w:rPr>
        <w:t>须符合GB/T19216.11-2003《在火焰条件下电缆或光缆的线路完整性试验   第十一部分：试验装置、火焰温度不低于750ºC摄氏度的单独供火》、GB/T19216.21-2003《在火焰条件下电缆或光缆的线路完整性试验第二十一部分：试验步骤和要求，额定电压0.6/1.0kV及以下电缆》耐火测试要求。</w:t>
      </w:r>
    </w:p>
    <w:p w:rsidR="002D1928" w:rsidRPr="000967C5" w14:paraId="749D5FFA"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须通过GB/T17651.2规定的烟密度试验。</w:t>
      </w:r>
    </w:p>
    <w:p w:rsidR="002D1928" w:rsidRPr="000967C5" w14:paraId="5477DD79"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须通过GB/T17650.2规定</w:t>
      </w:r>
      <w:r w:rsidRPr="000967C5">
        <w:rPr>
          <w:rFonts w:asciiTheme="minorEastAsia" w:eastAsiaTheme="minorEastAsia" w:hAnsiTheme="minorEastAsia"/>
          <w:sz w:val="21"/>
          <w:szCs w:val="21"/>
          <w:lang w:val="en-US" w:eastAsia="zh-CN"/>
        </w:rPr>
        <w:t>的卤酸气体含量</w:t>
      </w:r>
      <w:r w:rsidRPr="000967C5">
        <w:rPr>
          <w:rFonts w:asciiTheme="minorEastAsia" w:eastAsiaTheme="minorEastAsia" w:hAnsiTheme="minorEastAsia"/>
          <w:sz w:val="21"/>
          <w:szCs w:val="21"/>
          <w:lang w:val="en-US" w:eastAsia="zh-CN"/>
        </w:rPr>
        <w:t>测定。</w:t>
      </w:r>
    </w:p>
    <w:p w:rsidR="002D1928" w:rsidRPr="000967C5" w14:paraId="15785B47"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eastAsia="zh-CN"/>
        </w:rPr>
        <w:t>电缆</w:t>
      </w:r>
      <w:r w:rsidRPr="000967C5">
        <w:rPr>
          <w:rFonts w:asciiTheme="minorEastAsia" w:eastAsiaTheme="minorEastAsia" w:hAnsiTheme="minorEastAsia"/>
          <w:sz w:val="21"/>
          <w:szCs w:val="21"/>
          <w:lang w:val="en-US" w:eastAsia="zh-CN"/>
        </w:rPr>
        <w:t>的载流量和电压降须按照JGJ16-2008《民用建筑电气设计规范》之要</w:t>
      </w:r>
      <w:r w:rsidRPr="000967C5">
        <w:rPr>
          <w:rFonts w:asciiTheme="minorEastAsia" w:eastAsiaTheme="minorEastAsia" w:hAnsiTheme="minorEastAsia"/>
          <w:sz w:val="21"/>
          <w:szCs w:val="21"/>
          <w:lang w:val="en-US" w:eastAsia="zh-CN"/>
        </w:rPr>
        <w:tab/>
        <w:t>求和生产厂商之要求及按深圳市的条件调整其额定值。</w:t>
      </w:r>
    </w:p>
    <w:p w:rsidR="002D1928" w:rsidRPr="000967C5" w14:paraId="455270FC"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除另有规定外，电缆之最小截面须按下列规定：</w:t>
      </w:r>
    </w:p>
    <w:p w:rsidR="002D1928" w:rsidRPr="000967C5" w14:paraId="06C54440" w14:textId="77777777">
      <w:pPr>
        <w:pStyle w:val="P5"/>
        <w:spacing w:before="120" w:beforeLines="50" w:after="120"/>
        <w:ind w:left="1134"/>
        <w:jc w:val="left"/>
        <w:rPr>
          <w:rFonts w:asciiTheme="minorEastAsia" w:eastAsiaTheme="minorEastAsia" w:hAnsiTheme="minorEastAsia"/>
          <w:spacing w:val="0"/>
          <w:sz w:val="21"/>
          <w:szCs w:val="21"/>
          <w:lang w:val="en-US" w:eastAsia="zh-CN"/>
        </w:rPr>
      </w:pPr>
      <w:r w:rsidRPr="000967C5">
        <w:rPr>
          <w:rFonts w:asciiTheme="minorEastAsia" w:eastAsiaTheme="minorEastAsia" w:hAnsiTheme="minorEastAsia"/>
          <w:spacing w:val="0"/>
          <w:sz w:val="21"/>
          <w:szCs w:val="21"/>
          <w:lang w:val="en-US" w:eastAsia="zh-CN"/>
        </w:rPr>
        <w:t xml:space="preserve"> 照明： 2.5 mm</w:t>
      </w:r>
      <w:r w:rsidRPr="000967C5">
        <w:rPr>
          <w:rFonts w:asciiTheme="minorEastAsia" w:eastAsiaTheme="minorEastAsia" w:hAnsiTheme="minorEastAsia"/>
          <w:spacing w:val="0"/>
          <w:sz w:val="21"/>
          <w:szCs w:val="21"/>
          <w:vertAlign w:val="superscript"/>
          <w:lang w:val="en-US" w:eastAsia="zh-CN"/>
        </w:rPr>
        <w:t>2</w:t>
      </w:r>
    </w:p>
    <w:p w:rsidR="002D1928" w:rsidRPr="000967C5" w14:paraId="58D7F06A" w14:textId="77777777">
      <w:pPr>
        <w:pStyle w:val="P5"/>
        <w:spacing w:before="120" w:beforeLines="50" w:after="120"/>
        <w:ind w:left="1134"/>
        <w:jc w:val="left"/>
        <w:rPr>
          <w:rFonts w:asciiTheme="minorEastAsia" w:eastAsiaTheme="minorEastAsia" w:hAnsiTheme="minorEastAsia"/>
          <w:spacing w:val="0"/>
          <w:sz w:val="21"/>
          <w:szCs w:val="21"/>
          <w:lang w:val="en-US" w:eastAsia="zh-CN"/>
        </w:rPr>
      </w:pPr>
      <w:r w:rsidRPr="000967C5">
        <w:rPr>
          <w:rFonts w:asciiTheme="minorEastAsia" w:eastAsiaTheme="minorEastAsia" w:hAnsiTheme="minorEastAsia"/>
          <w:spacing w:val="0"/>
          <w:sz w:val="21"/>
          <w:szCs w:val="21"/>
          <w:lang w:val="en-US" w:eastAsia="zh-CN"/>
        </w:rPr>
        <w:t xml:space="preserve"> 插座： 2.5 mm</w:t>
      </w:r>
      <w:r w:rsidRPr="000967C5">
        <w:rPr>
          <w:rFonts w:asciiTheme="minorEastAsia" w:eastAsiaTheme="minorEastAsia" w:hAnsiTheme="minorEastAsia"/>
          <w:spacing w:val="0"/>
          <w:sz w:val="21"/>
          <w:szCs w:val="21"/>
          <w:vertAlign w:val="superscript"/>
          <w:lang w:val="en-US" w:eastAsia="zh-CN"/>
        </w:rPr>
        <w:t>2</w:t>
      </w:r>
    </w:p>
    <w:p w:rsidR="002D1928" w:rsidRPr="000967C5" w14:paraId="6F2EEFF1" w14:textId="77777777">
      <w:pPr>
        <w:pStyle w:val="ReportLevel2"/>
        <w:spacing w:before="240" w:beforeLines="100" w:after="240" w:afterLines="100"/>
        <w:rPr>
          <w:rFonts w:asciiTheme="minorEastAsia" w:eastAsiaTheme="minorEastAsia" w:hAnsiTheme="minorEastAsia"/>
          <w:b/>
          <w:bCs/>
          <w:sz w:val="21"/>
          <w:szCs w:val="21"/>
        </w:rPr>
      </w:pPr>
      <w:bookmarkStart w:id="268" w:name="_Toc390714951"/>
      <w:bookmarkStart w:id="269" w:name="_Toc502860833"/>
      <w:bookmarkStart w:id="270" w:name="_Toc390712917"/>
      <w:bookmarkStart w:id="271" w:name="_Toc502857862"/>
      <w:bookmarkStart w:id="272" w:name="_Toc390705444"/>
      <w:bookmarkStart w:id="273" w:name="_Toc502853810"/>
      <w:bookmarkStart w:id="274" w:name="_Toc502859849"/>
      <w:r w:rsidRPr="000967C5">
        <w:rPr>
          <w:rFonts w:asciiTheme="minorEastAsia" w:eastAsiaTheme="minorEastAsia" w:hAnsiTheme="minorEastAsia"/>
          <w:b/>
          <w:bCs/>
          <w:sz w:val="21"/>
          <w:szCs w:val="21"/>
        </w:rPr>
        <w:t>控制用电线和电缆</w:t>
      </w:r>
      <w:bookmarkEnd w:id="268"/>
      <w:bookmarkEnd w:id="269"/>
      <w:bookmarkEnd w:id="270"/>
      <w:bookmarkEnd w:id="271"/>
      <w:bookmarkEnd w:id="272"/>
      <w:bookmarkEnd w:id="273"/>
      <w:bookmarkEnd w:id="274"/>
    </w:p>
    <w:p w:rsidR="002D1928" w:rsidRPr="000967C5" w14:paraId="76B7DDCB"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控制用电线和电缆须满足GB及IEC标准之要求。</w:t>
      </w:r>
    </w:p>
    <w:p w:rsidR="002D1928" w:rsidRPr="000967C5" w14:paraId="06C4AEA9"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控制用电线和电缆须</w:t>
      </w:r>
      <w:r w:rsidRPr="000967C5">
        <w:rPr>
          <w:rFonts w:asciiTheme="minorEastAsia" w:eastAsiaTheme="minorEastAsia" w:hAnsiTheme="minorEastAsia"/>
          <w:sz w:val="21"/>
          <w:szCs w:val="21"/>
          <w:lang w:val="en-US" w:eastAsia="zh-CN"/>
        </w:rPr>
        <w:t>满足低烟无卤</w:t>
      </w:r>
      <w:r w:rsidRPr="000967C5">
        <w:rPr>
          <w:rFonts w:asciiTheme="minorEastAsia" w:eastAsiaTheme="minorEastAsia" w:hAnsiTheme="minorEastAsia"/>
          <w:sz w:val="21"/>
          <w:szCs w:val="21"/>
          <w:lang w:val="en-US" w:eastAsia="zh-CN"/>
        </w:rPr>
        <w:t>之要求。</w:t>
      </w:r>
    </w:p>
    <w:p w:rsidR="002D1928" w:rsidRPr="000967C5" w14:paraId="426D2AE3"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变频器控制用电线和电缆须采用屏蔽型。</w:t>
      </w:r>
    </w:p>
    <w:p w:rsidR="002D1928" w:rsidRPr="000967C5" w14:paraId="711327B8"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控制用电线和电缆应根据实际控制、工作环境要求进行选型。</w:t>
      </w:r>
    </w:p>
    <w:p w:rsidR="002D1928" w:rsidRPr="000967C5" w14:paraId="06E7B535"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控制用电线和电缆的最小截面不应小于1.5mm</w:t>
      </w:r>
      <w:r w:rsidRPr="000967C5">
        <w:rPr>
          <w:rFonts w:asciiTheme="minorEastAsia" w:eastAsiaTheme="minorEastAsia" w:hAnsiTheme="minorEastAsia"/>
          <w:sz w:val="21"/>
          <w:szCs w:val="21"/>
          <w:vertAlign w:val="superscript"/>
          <w:lang w:val="en-US" w:eastAsia="zh-CN"/>
        </w:rPr>
        <w:t>2</w:t>
      </w:r>
      <w:r w:rsidRPr="000967C5">
        <w:rPr>
          <w:rFonts w:asciiTheme="minorEastAsia" w:eastAsiaTheme="minorEastAsia" w:hAnsiTheme="minorEastAsia"/>
          <w:sz w:val="21"/>
          <w:szCs w:val="21"/>
          <w:lang w:val="en-US" w:eastAsia="zh-CN"/>
        </w:rPr>
        <w:t xml:space="preserve"> 。</w:t>
      </w:r>
    </w:p>
    <w:p w:rsidR="002D1928" w:rsidRPr="000967C5" w14:paraId="021F735F" w14:textId="77777777">
      <w:pPr>
        <w:pStyle w:val="ReportLevel2"/>
        <w:spacing w:before="240" w:beforeLines="100" w:after="240" w:afterLines="100"/>
        <w:rPr>
          <w:rFonts w:asciiTheme="minorEastAsia" w:eastAsiaTheme="minorEastAsia" w:hAnsiTheme="minorEastAsia"/>
          <w:b/>
          <w:bCs/>
          <w:sz w:val="21"/>
          <w:szCs w:val="21"/>
        </w:rPr>
      </w:pPr>
      <w:bookmarkStart w:id="275" w:name="_Toc502859850"/>
      <w:bookmarkStart w:id="276" w:name="_Toc502853811"/>
      <w:bookmarkStart w:id="277" w:name="_Toc502857863"/>
      <w:bookmarkStart w:id="278" w:name="_Toc502860834"/>
      <w:r w:rsidRPr="000967C5">
        <w:rPr>
          <w:rFonts w:asciiTheme="minorEastAsia" w:eastAsiaTheme="minorEastAsia" w:hAnsiTheme="minorEastAsia"/>
          <w:b/>
          <w:bCs/>
          <w:sz w:val="21"/>
          <w:szCs w:val="21"/>
        </w:rPr>
        <w:t>软线</w:t>
      </w:r>
      <w:r w:rsidRPr="000967C5">
        <w:rPr>
          <w:rFonts w:asciiTheme="minorEastAsia" w:eastAsiaTheme="minorEastAsia" w:hAnsiTheme="minorEastAsia"/>
          <w:b/>
          <w:bCs/>
          <w:sz w:val="21"/>
          <w:szCs w:val="21"/>
        </w:rPr>
        <w:t>（RVVB）</w:t>
      </w:r>
      <w:bookmarkEnd w:id="275"/>
      <w:bookmarkEnd w:id="276"/>
      <w:bookmarkEnd w:id="277"/>
      <w:bookmarkEnd w:id="278"/>
    </w:p>
    <w:p w:rsidR="002D1928" w:rsidRPr="000967C5" w14:paraId="0B99B112" w14:textId="77777777">
      <w:pPr>
        <w:pStyle w:val="ReportLevel3"/>
        <w:keepNext w:val="0"/>
        <w:spacing w:before="120" w:beforeLines="50" w:after="120" w:afterLines="50"/>
        <w:rPr>
          <w:rFonts w:asciiTheme="minorEastAsia" w:eastAsiaTheme="minorEastAsia" w:hAnsiTheme="minorEastAsia"/>
          <w:sz w:val="21"/>
          <w:szCs w:val="21"/>
          <w:lang w:val="en-US" w:eastAsia="zh-CN"/>
        </w:rPr>
        <w:sectPr>
          <w:footerReference w:type="default" r:id="rId19"/>
          <w:type w:val="nextPage"/>
          <w:pgSz w:w="11906" w:h="16838"/>
          <w:pgMar w:top="1814" w:right="1418" w:bottom="1418" w:left="1814" w:header="851" w:footer="992" w:gutter="0"/>
          <w:pgNumType w:start="15"/>
          <w:cols w:space="425"/>
          <w:titlePg w:val="0"/>
          <w:docGrid w:linePitch="312"/>
        </w:sectPr>
      </w:pPr>
      <w:r w:rsidRPr="000967C5">
        <w:rPr>
          <w:rFonts w:asciiTheme="minorEastAsia" w:eastAsiaTheme="minorEastAsia" w:hAnsiTheme="minorEastAsia"/>
          <w:sz w:val="21"/>
          <w:szCs w:val="21"/>
          <w:lang w:val="en-US" w:eastAsia="zh-CN"/>
        </w:rPr>
        <w:t>软线须</w:t>
      </w:r>
      <w:r w:rsidRPr="000967C5">
        <w:rPr>
          <w:rFonts w:asciiTheme="minorEastAsia" w:eastAsiaTheme="minorEastAsia" w:hAnsiTheme="minorEastAsia"/>
          <w:sz w:val="21"/>
          <w:szCs w:val="21"/>
          <w:lang w:val="en-US" w:eastAsia="zh-CN"/>
        </w:rPr>
        <w:t>符合GB5023.5-2008《额定电压450/750V 及以下聚氯乙烯绝缘电缆 第5部分：软电缆（软线）》之规定，铜导线，聚氯乙烯绝缘。</w:t>
      </w:r>
    </w:p>
    <w:p w:rsidR="002D1928" w:rsidRPr="000967C5" w14:paraId="222AC3CE"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0967C5">
        <w:rPr>
          <w:rFonts w:asciiTheme="minorEastAsia" w:eastAsiaTheme="minorEastAsia" w:hAnsiTheme="minorEastAsia"/>
          <w:sz w:val="21"/>
          <w:szCs w:val="21"/>
          <w:lang w:val="en-US" w:eastAsia="zh-CN"/>
        </w:rPr>
        <w:t>耐高温</w:t>
      </w:r>
      <w:r w:rsidRPr="000967C5">
        <w:rPr>
          <w:rFonts w:asciiTheme="minorEastAsia" w:eastAsiaTheme="minorEastAsia" w:hAnsiTheme="minorEastAsia"/>
          <w:sz w:val="21"/>
          <w:szCs w:val="21"/>
          <w:lang w:eastAsia="zh-CN"/>
        </w:rPr>
        <w:t>软线</w:t>
      </w:r>
      <w:r w:rsidRPr="000967C5">
        <w:rPr>
          <w:rFonts w:asciiTheme="minorEastAsia" w:eastAsiaTheme="minorEastAsia" w:hAnsiTheme="minorEastAsia"/>
          <w:sz w:val="21"/>
          <w:szCs w:val="21"/>
          <w:lang w:val="en-US" w:eastAsia="zh-CN"/>
        </w:rPr>
        <w:t>须</w:t>
      </w:r>
      <w:r w:rsidRPr="000967C5">
        <w:rPr>
          <w:rFonts w:asciiTheme="minorEastAsia" w:eastAsiaTheme="minorEastAsia" w:hAnsiTheme="minorEastAsia"/>
          <w:sz w:val="21"/>
          <w:szCs w:val="21"/>
          <w:lang w:val="en-US" w:eastAsia="zh-CN"/>
        </w:rPr>
        <w:t>符合GB5013.7-2008《额定电压450/750V 及以下橡皮绝缘电缆 第7部分：耐热乙烯-乙酸乙烯酯橡皮绝缘电缆》之规定，多股铜导线，耐热乙烯-乙酸乙烯</w:t>
      </w:r>
      <w:r w:rsidRPr="000967C5">
        <w:rPr>
          <w:rFonts w:asciiTheme="minorEastAsia" w:eastAsiaTheme="minorEastAsia" w:hAnsiTheme="minorEastAsia"/>
          <w:sz w:val="21"/>
          <w:szCs w:val="21"/>
          <w:lang w:val="en-US" w:eastAsia="zh-CN"/>
        </w:rPr>
        <w:t>酯</w:t>
      </w:r>
      <w:r w:rsidRPr="000967C5">
        <w:rPr>
          <w:rFonts w:asciiTheme="minorEastAsia" w:eastAsiaTheme="minorEastAsia" w:hAnsiTheme="minorEastAsia"/>
          <w:sz w:val="21"/>
          <w:szCs w:val="21"/>
          <w:lang w:val="en-US" w:eastAsia="zh-CN"/>
        </w:rPr>
        <w:t>橡皮绝缘带白色阻燃聚氯乙烯外护套。</w:t>
      </w:r>
    </w:p>
    <w:p w:rsidR="002D1928" w:rsidRPr="000967C5" w14:paraId="5DA66C26" w14:textId="77777777">
      <w:pPr>
        <w:rPr>
          <w:rFonts w:asciiTheme="minorEastAsia" w:eastAsiaTheme="minorEastAsia" w:hAnsiTheme="minorEastAsia"/>
          <w:b/>
          <w:caps/>
          <w:sz w:val="21"/>
          <w:szCs w:val="21"/>
          <w:lang w:eastAsia="zh-CN"/>
        </w:rPr>
        <w:sectPr>
          <w:footerReference w:type="default" r:id="rId20"/>
          <w:type w:val="nextPage"/>
          <w:pgSz w:w="11906" w:h="16838"/>
          <w:pgMar w:top="1814" w:right="1418" w:bottom="1418" w:left="1814" w:header="851" w:footer="992" w:gutter="0"/>
          <w:pgNumType w:start="16"/>
          <w:cols w:space="425"/>
          <w:titlePg w:val="0"/>
          <w:docGrid w:linePitch="312"/>
        </w:sectPr>
      </w:pPr>
      <w:bookmarkStart w:id="279" w:name="_Toc505082064"/>
      <w:bookmarkStart w:id="280" w:name="_Toc502857864"/>
      <w:bookmarkStart w:id="281" w:name="_Toc502859851"/>
      <w:bookmarkStart w:id="282" w:name="_Toc502853812"/>
      <w:bookmarkStart w:id="283" w:name="_Toc502860835"/>
    </w:p>
    <w:p w:rsidR="002D1928" w:rsidRPr="000967C5" w14:paraId="548FD2D8" w14:textId="77777777">
      <w:pPr>
        <w:pStyle w:val="ReportLevel1"/>
        <w:numPr>
          <w:ilvl w:val="0"/>
          <w:numId w:val="24"/>
        </w:numPr>
        <w:spacing w:before="240" w:beforeLines="100" w:after="240" w:afterLines="100"/>
        <w:rPr>
          <w:rFonts w:asciiTheme="minorEastAsia" w:eastAsiaTheme="minorEastAsia" w:hAnsiTheme="minorEastAsia" w:cs="Arial"/>
          <w:sz w:val="21"/>
          <w:szCs w:val="21"/>
          <w:lang w:eastAsia="zh-CN"/>
        </w:rPr>
      </w:pPr>
      <w:bookmarkStart w:id="284" w:name="_Toc40335841"/>
      <w:bookmarkStart w:id="285" w:name="_Toc29856"/>
      <w:r w:rsidRPr="000967C5">
        <w:rPr>
          <w:rFonts w:asciiTheme="minorEastAsia" w:eastAsiaTheme="minorEastAsia" w:hAnsiTheme="minorEastAsia" w:cs="Arial"/>
          <w:sz w:val="21"/>
          <w:szCs w:val="21"/>
          <w:lang w:eastAsia="zh-CN"/>
        </w:rPr>
        <w:t>线路配件及其他电气设备</w:t>
      </w:r>
      <w:bookmarkEnd w:id="279"/>
      <w:bookmarkEnd w:id="280"/>
      <w:bookmarkEnd w:id="281"/>
      <w:bookmarkEnd w:id="282"/>
      <w:bookmarkEnd w:id="283"/>
      <w:bookmarkEnd w:id="284"/>
      <w:bookmarkEnd w:id="285"/>
    </w:p>
    <w:p w:rsidR="002D1928" w:rsidRPr="000967C5" w14:paraId="2C989351" w14:textId="77777777">
      <w:pPr>
        <w:pStyle w:val="ReportLevel2"/>
        <w:spacing w:before="240" w:beforeLines="100" w:after="240" w:afterLines="100"/>
        <w:rPr>
          <w:rFonts w:asciiTheme="minorEastAsia" w:eastAsiaTheme="minorEastAsia" w:hAnsiTheme="minorEastAsia"/>
          <w:b/>
          <w:bCs/>
          <w:sz w:val="21"/>
          <w:szCs w:val="21"/>
          <w:lang w:eastAsia="zh-CN"/>
        </w:rPr>
      </w:pPr>
      <w:bookmarkStart w:id="286" w:name="_Toc502857865"/>
      <w:bookmarkStart w:id="287" w:name="_Toc502859852"/>
      <w:bookmarkStart w:id="288" w:name="_Toc502860836"/>
      <w:bookmarkStart w:id="289" w:name="_Toc502853813"/>
      <w:r w:rsidRPr="000967C5">
        <w:rPr>
          <w:rFonts w:asciiTheme="minorEastAsia" w:eastAsiaTheme="minorEastAsia" w:hAnsiTheme="minorEastAsia"/>
          <w:b/>
          <w:bCs/>
          <w:sz w:val="21"/>
          <w:szCs w:val="21"/>
          <w:lang w:eastAsia="zh-CN"/>
        </w:rPr>
        <w:t>桥架</w:t>
      </w:r>
      <w:bookmarkEnd w:id="286"/>
      <w:bookmarkEnd w:id="287"/>
      <w:bookmarkEnd w:id="288"/>
      <w:bookmarkEnd w:id="289"/>
      <w:r w:rsidRPr="000967C5">
        <w:rPr>
          <w:rFonts w:asciiTheme="minorEastAsia" w:eastAsiaTheme="minorEastAsia" w:hAnsiTheme="minorEastAsia" w:hint="eastAsia"/>
          <w:b/>
          <w:bCs/>
          <w:sz w:val="21"/>
          <w:szCs w:val="21"/>
          <w:lang w:eastAsia="zh-CN"/>
        </w:rPr>
        <w:t>、</w:t>
      </w:r>
      <w:r w:rsidRPr="000967C5">
        <w:rPr>
          <w:rFonts w:asciiTheme="minorEastAsia" w:eastAsiaTheme="minorEastAsia" w:hAnsiTheme="minorEastAsia" w:hint="eastAsia"/>
          <w:b/>
          <w:bCs/>
          <w:sz w:val="21"/>
          <w:szCs w:val="21"/>
          <w:lang w:val="en-US" w:eastAsia="zh-CN"/>
        </w:rPr>
        <w:t>线槽</w:t>
      </w:r>
    </w:p>
    <w:p w:rsidR="002D1928" w:rsidRPr="000967C5" w14:paraId="74586503" w14:textId="77777777">
      <w:pPr>
        <w:pStyle w:val="ReportLevel3"/>
        <w:keepNext w:val="0"/>
        <w:spacing w:before="240" w:beforeLines="100" w:after="240" w:afterLines="100"/>
        <w:rPr>
          <w:rFonts w:eastAsia="宋体"/>
          <w:lang w:val="en-US" w:eastAsia="zh-CN"/>
        </w:rPr>
      </w:pPr>
      <w:r w:rsidRPr="000967C5">
        <w:rPr>
          <w:rFonts w:asciiTheme="minorEastAsia" w:eastAsiaTheme="minorEastAsia" w:hAnsiTheme="minorEastAsia" w:hint="eastAsia"/>
          <w:sz w:val="21"/>
          <w:szCs w:val="21"/>
          <w:lang w:val="en-US" w:eastAsia="zh-CN"/>
        </w:rPr>
        <w:t>托盘桥架、</w:t>
      </w:r>
      <w:r w:rsidRPr="000967C5">
        <w:rPr>
          <w:rFonts w:asciiTheme="minorEastAsia" w:eastAsiaTheme="minorEastAsia" w:hAnsiTheme="minorEastAsia"/>
          <w:sz w:val="21"/>
          <w:szCs w:val="21"/>
          <w:lang w:val="en-US" w:eastAsia="zh-CN"/>
        </w:rPr>
        <w:t>梯式桥架</w:t>
      </w:r>
    </w:p>
    <w:p w:rsidR="002D1928" w:rsidRPr="000967C5" w14:paraId="7E281514"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托盘、梯架采用标准产品及工厂预制件，并须尽量减少在工地切断的可能。</w:t>
      </w:r>
    </w:p>
    <w:p w:rsidR="002D1928" w:rsidRPr="000967C5" w14:paraId="62BD9D2B"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托盘桥架采用有孔托盘桥架结构类型，其</w:t>
      </w:r>
      <w:r w:rsidRPr="000967C5">
        <w:rPr>
          <w:rFonts w:asciiTheme="minorEastAsia" w:eastAsiaTheme="minorEastAsia" w:hAnsiTheme="minorEastAsia"/>
          <w:sz w:val="21"/>
          <w:szCs w:val="21"/>
          <w:lang w:val="en-US" w:eastAsia="zh-CN"/>
        </w:rPr>
        <w:t>底部通风</w:t>
      </w:r>
      <w:r w:rsidRPr="000967C5">
        <w:rPr>
          <w:rFonts w:asciiTheme="minorEastAsia" w:eastAsiaTheme="minorEastAsia" w:hAnsiTheme="minorEastAsia"/>
          <w:sz w:val="21"/>
          <w:szCs w:val="21"/>
          <w:lang w:val="en-US" w:eastAsia="zh-CN"/>
        </w:rPr>
        <w:t>孔面积</w:t>
      </w:r>
      <w:r w:rsidRPr="000967C5">
        <w:rPr>
          <w:rFonts w:asciiTheme="minorEastAsia" w:eastAsiaTheme="minorEastAsia" w:hAnsiTheme="minorEastAsia"/>
          <w:sz w:val="21"/>
          <w:szCs w:val="21"/>
          <w:lang w:val="en-US" w:eastAsia="zh-CN"/>
        </w:rPr>
        <w:t>应在托盘底部总面积的30％～40％范围内</w:t>
      </w:r>
      <w:r w:rsidRPr="000967C5">
        <w:rPr>
          <w:rFonts w:asciiTheme="minorEastAsia" w:eastAsiaTheme="minorEastAsia" w:hAnsiTheme="minorEastAsia" w:hint="eastAsia"/>
          <w:sz w:val="21"/>
          <w:szCs w:val="21"/>
          <w:lang w:val="en-US" w:eastAsia="zh-CN"/>
        </w:rPr>
        <w:t>。</w:t>
      </w:r>
    </w:p>
    <w:p w:rsidR="002D1928" w:rsidRPr="000967C5" w14:paraId="1F437308"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w:t>
      </w:r>
      <w:r w:rsidRPr="000967C5">
        <w:rPr>
          <w:rFonts w:asciiTheme="minorEastAsia" w:eastAsiaTheme="minorEastAsia" w:hAnsiTheme="minorEastAsia"/>
          <w:sz w:val="21"/>
          <w:szCs w:val="21"/>
          <w:lang w:val="en-US" w:eastAsia="zh-CN"/>
        </w:rPr>
        <w:t>应满足《钢制电缆桥架工程技术规程》 T/CECS 31-2017</w:t>
      </w:r>
      <w:r w:rsidRPr="000967C5">
        <w:rPr>
          <w:rFonts w:asciiTheme="minorEastAsia" w:eastAsiaTheme="minorEastAsia" w:hAnsiTheme="minorEastAsia" w:hint="eastAsia"/>
          <w:sz w:val="21"/>
          <w:szCs w:val="21"/>
          <w:lang w:val="en-US" w:eastAsia="zh-CN"/>
        </w:rPr>
        <w:t>、《电控配电用电缆桥架》JB/T 10216-2013</w:t>
      </w:r>
      <w:r w:rsidRPr="000967C5">
        <w:rPr>
          <w:rFonts w:asciiTheme="minorEastAsia" w:eastAsiaTheme="minorEastAsia" w:hAnsiTheme="minorEastAsia"/>
          <w:sz w:val="21"/>
          <w:szCs w:val="21"/>
          <w:lang w:val="en-US" w:eastAsia="zh-CN"/>
        </w:rPr>
        <w:t>的要求。</w:t>
      </w:r>
    </w:p>
    <w:p w:rsidR="002D1928" w:rsidRPr="000967C5" w14:paraId="79A0CFC5"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托盘、梯架及附件所用材质应符合GB/T 700-2006、GB 912-2008、GB/T 11253-2007、GB/T3280-2015中的规定。</w:t>
      </w:r>
    </w:p>
    <w:p w:rsidR="002D1928" w:rsidRPr="000967C5" w14:paraId="294FBEEA"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螺栓、螺母、平垫圈、弹簧垫圈等紧固件，应分别符合GB/T 5780-2016、GB/T 6170-2015、GB/T 97.1-2002、GB/T 93-1987、GB/T 12-2013的规定。</w:t>
      </w:r>
    </w:p>
    <w:p w:rsidR="002D1928" w:rsidRPr="000967C5" w14:paraId="735BE4B5"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托盘、梯架的允许最小板材厚度应满足《电控配电用电缆桥架》JB/T 10216-2013</w:t>
      </w:r>
      <w:r w:rsidRPr="000967C5">
        <w:rPr>
          <w:rFonts w:asciiTheme="minorEastAsia" w:eastAsiaTheme="minorEastAsia" w:hAnsiTheme="minorEastAsia"/>
          <w:sz w:val="21"/>
          <w:szCs w:val="21"/>
          <w:lang w:val="en-US" w:eastAsia="zh-CN"/>
        </w:rPr>
        <w:t>的要求</w:t>
      </w:r>
      <w:r w:rsidRPr="000967C5">
        <w:rPr>
          <w:rFonts w:asciiTheme="minorEastAsia" w:eastAsiaTheme="minorEastAsia" w:hAnsiTheme="minorEastAsia" w:hint="eastAsia"/>
          <w:sz w:val="21"/>
          <w:szCs w:val="21"/>
          <w:lang w:val="en-US" w:eastAsia="zh-CN"/>
        </w:rPr>
        <w:t>。</w:t>
      </w:r>
    </w:p>
    <w:p w:rsidR="002D1928" w:rsidRPr="000967C5" w14:paraId="2761DB75"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托盘、梯架的材质采用冷轧钢板，当板材厚度大于2mm时可采用热轧钢板。其材质应符合现行国家标准《碳素结构钢》GB/T 700中Q235钢的要求及《碳素结构钢冷轧钢带》GB/T 716、《碳素结构钢和低合金结构钢热轧薄钢板及钢带》GB 912和《连续热镀锌钢板及钢带》GB/T 2518的有关规定。</w:t>
      </w:r>
    </w:p>
    <w:p w:rsidR="002D1928" w:rsidRPr="000967C5" w14:paraId="702CD9F6"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托盘、梯架及其附件的表面防护层采用热浸镀锌，热浸镀锌层厚度应符合现行国家标准《连续热镀锌钢板及钢带》GB/T 2518中的规定。</w:t>
      </w:r>
    </w:p>
    <w:p w:rsidR="002D1928" w:rsidRPr="000967C5" w14:paraId="03B2B6FF"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托盘、梯架转弯、分支处采用专用连接配件，其弯曲半径应满足</w:t>
      </w:r>
      <w:r w:rsidRPr="000967C5">
        <w:rPr>
          <w:rFonts w:asciiTheme="minorEastAsia" w:eastAsiaTheme="minorEastAsia" w:hAnsiTheme="minorEastAsia"/>
          <w:sz w:val="21"/>
          <w:szCs w:val="21"/>
          <w:lang w:val="en-US" w:eastAsia="zh-CN"/>
        </w:rPr>
        <w:t>《钢制电缆桥架工程技术规程》 T/CECS 31-2017</w:t>
      </w:r>
      <w:r w:rsidRPr="000967C5">
        <w:rPr>
          <w:rFonts w:asciiTheme="minorEastAsia" w:eastAsiaTheme="minorEastAsia" w:hAnsiTheme="minorEastAsia" w:hint="eastAsia"/>
          <w:sz w:val="21"/>
          <w:szCs w:val="21"/>
          <w:lang w:val="en-US" w:eastAsia="zh-CN"/>
        </w:rPr>
        <w:t>的规定。</w:t>
      </w:r>
    </w:p>
    <w:p w:rsidR="002D1928" w:rsidRPr="000967C5" w14:paraId="7A22F53A"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支吊架所选用的材料用符合自身标准的要求。</w:t>
      </w:r>
    </w:p>
    <w:p w:rsidR="002D1928" w:rsidRPr="000967C5" w14:paraId="2A26B2CC"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支吊架应进行防腐处理，位于室外及潮湿场所的应按设计要求做处理。</w:t>
      </w:r>
    </w:p>
    <w:p w:rsidR="002D1928" w:rsidRPr="000967C5" w14:paraId="29A61859"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托盘、梯架系统应有可靠的电气连接并接地。</w:t>
      </w:r>
    </w:p>
    <w:p w:rsidR="002D1928" w:rsidRPr="000967C5" w14:paraId="6400D8CF"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w:t>
      </w:r>
    </w:p>
    <w:p w:rsidR="002D1928" w:rsidRPr="000967C5" w14:paraId="0F8A6C2C"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耐火电缆桥架采用标准产品及工厂预制件，并须尽量减少在工地切断的可能。</w:t>
      </w:r>
    </w:p>
    <w:p w:rsidR="002D1928" w:rsidRPr="000967C5" w14:paraId="4C6487D6"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w:t>
      </w:r>
      <w:r w:rsidRPr="000967C5">
        <w:rPr>
          <w:rFonts w:asciiTheme="minorEastAsia" w:eastAsiaTheme="minorEastAsia" w:hAnsiTheme="minorEastAsia"/>
          <w:sz w:val="21"/>
          <w:szCs w:val="21"/>
          <w:lang w:val="en-US" w:eastAsia="zh-CN"/>
        </w:rPr>
        <w:t>应满足</w:t>
      </w:r>
      <w:r w:rsidRPr="000967C5">
        <w:rPr>
          <w:rFonts w:asciiTheme="minorEastAsia" w:eastAsiaTheme="minorEastAsia" w:hAnsiTheme="minorEastAsia" w:hint="eastAsia"/>
          <w:sz w:val="21"/>
          <w:szCs w:val="21"/>
          <w:lang w:val="en-US" w:eastAsia="zh-CN"/>
        </w:rPr>
        <w:t>《电控配电用电缆桥架》JB/T 10216-2013、《耐火电缆槽盒》GB 29415-2013</w:t>
      </w:r>
      <w:r w:rsidRPr="000967C5">
        <w:rPr>
          <w:rFonts w:asciiTheme="minorEastAsia" w:eastAsiaTheme="minorEastAsia" w:hAnsiTheme="minorEastAsia"/>
          <w:sz w:val="21"/>
          <w:szCs w:val="21"/>
          <w:lang w:val="en-US" w:eastAsia="zh-CN"/>
        </w:rPr>
        <w:t>的要求。</w:t>
      </w:r>
    </w:p>
    <w:p w:rsidR="002D1928" w:rsidRPr="000967C5" w14:paraId="47BBEAE4"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耐火电缆桥架及附件所用材质应符合GB/T 700-2006、GB 912-2008、GB/T 11253-2007、GB/T3280-2015中的规定。</w:t>
      </w:r>
    </w:p>
    <w:p w:rsidR="002D1928" w:rsidRPr="000967C5" w14:paraId="0F2F17FB"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螺栓、螺母、平垫圈、弹簧垫圈等紧固件，应分别符合GB/T 5780-2016、GB/T 6170-2015、GB/T 97.1-2002、GB/T 93-1987、GB/T 12-2013的规定。</w:t>
      </w:r>
    </w:p>
    <w:p w:rsidR="002D1928" w:rsidRPr="000967C5" w14:paraId="1CB7A1EC" w14:textId="77777777">
      <w:pPr>
        <w:pStyle w:val="ReportLevel4"/>
        <w:keepNext w:val="0"/>
        <w:spacing w:before="120" w:after="120"/>
        <w:rPr>
          <w:rFonts w:asciiTheme="minorEastAsia" w:eastAsiaTheme="minorEastAsia" w:hAnsiTheme="minorEastAsia"/>
          <w:sz w:val="21"/>
          <w:szCs w:val="21"/>
          <w:lang w:val="en-US" w:eastAsia="zh-CN"/>
        </w:rPr>
        <w:sectPr>
          <w:footerReference w:type="default" r:id="rId21"/>
          <w:type w:val="nextPage"/>
          <w:pgSz w:w="11906" w:h="16838"/>
          <w:pgMar w:top="1814" w:right="1418" w:bottom="1418" w:left="1814" w:header="851" w:footer="992" w:gutter="0"/>
          <w:pgNumType w:start="17"/>
          <w:cols w:space="425"/>
          <w:titlePg w:val="0"/>
          <w:docGrid w:linePitch="312"/>
        </w:sectPr>
      </w:pPr>
      <w:r w:rsidRPr="000967C5">
        <w:rPr>
          <w:rFonts w:asciiTheme="minorEastAsia" w:eastAsiaTheme="minorEastAsia" w:hAnsiTheme="minorEastAsia" w:hint="eastAsia"/>
          <w:sz w:val="21"/>
          <w:szCs w:val="21"/>
          <w:lang w:val="en-US" w:eastAsia="zh-CN"/>
        </w:rPr>
        <w:t>耐火电缆桥架的材质采用冷轧钢板，当板材厚度大于2mm时可采用热轧钢板。其材质应符合现行国家标准《碳素结构钢》GB/T 700中Q235钢的要求及《碳素结构钢冷轧钢带》GB/T 716、《碳素结构钢和低合金结构钢热轧薄钢板及钢带》GB 912和《连续热镀锌钢板及钢带》GB/T 2518的有关规定。</w:t>
      </w:r>
    </w:p>
    <w:p w:rsidR="002D1928" w:rsidRPr="000967C5" w14:paraId="4BCB94E1"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耐火电缆桥架及其附件的表面防护层采用热浸镀锌后内外层涂覆钢结构防火涂料，热浸镀锌层厚度应符合现行国家标准《连续热镀锌钢板及钢带》GB/T 2518中的规定，钢结构防火涂料的性能应符合GB 14907-2018中的规定。</w:t>
      </w:r>
    </w:p>
    <w:p w:rsidR="002D1928" w:rsidRPr="000967C5" w14:paraId="5C1B53C7"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耐火电缆桥架转弯、分支处采用专用连接配件。</w:t>
      </w:r>
    </w:p>
    <w:p w:rsidR="002D1928" w:rsidRPr="000967C5" w14:paraId="1F69E38B"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耐火电缆桥架的允许最小板材厚度应满足《电控配电用电缆桥架》JB/T 10216-2013</w:t>
      </w:r>
      <w:r w:rsidRPr="000967C5">
        <w:rPr>
          <w:rFonts w:asciiTheme="minorEastAsia" w:eastAsiaTheme="minorEastAsia" w:hAnsiTheme="minorEastAsia"/>
          <w:sz w:val="21"/>
          <w:szCs w:val="21"/>
          <w:lang w:val="en-US" w:eastAsia="zh-CN"/>
        </w:rPr>
        <w:t>的要求</w:t>
      </w:r>
      <w:r w:rsidRPr="000967C5">
        <w:rPr>
          <w:rFonts w:asciiTheme="minorEastAsia" w:eastAsiaTheme="minorEastAsia" w:hAnsiTheme="minorEastAsia" w:hint="eastAsia"/>
          <w:sz w:val="21"/>
          <w:szCs w:val="21"/>
          <w:lang w:val="en-US" w:eastAsia="zh-CN"/>
        </w:rPr>
        <w:t>。</w:t>
      </w:r>
    </w:p>
    <w:p w:rsidR="002D1928" w:rsidRPr="000967C5" w14:paraId="3C4B14B4"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耐火电缆桥架的防护等级应满足GB/T 4208-2017中的规定。</w:t>
      </w:r>
    </w:p>
    <w:p w:rsidR="002D1928" w:rsidRPr="000967C5" w14:paraId="276602A0"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耐火电缆桥架的耐火性能应满足《电控配电用电缆桥架》JB/T 10216-2013、《耐火电缆槽盒》GB 29415-2013</w:t>
      </w:r>
      <w:r w:rsidRPr="000967C5">
        <w:rPr>
          <w:rFonts w:asciiTheme="minorEastAsia" w:eastAsiaTheme="minorEastAsia" w:hAnsiTheme="minorEastAsia"/>
          <w:sz w:val="21"/>
          <w:szCs w:val="21"/>
          <w:lang w:val="en-US" w:eastAsia="zh-CN"/>
        </w:rPr>
        <w:t>的要求。</w:t>
      </w:r>
    </w:p>
    <w:p w:rsidR="002D1928" w:rsidRPr="000967C5" w14:paraId="0F7F87AC"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耐火电缆桥架系统应有可靠的电气连接并接地。</w:t>
      </w:r>
    </w:p>
    <w:p w:rsidR="002D1928" w:rsidRPr="000967C5" w14:paraId="2A849944" w14:textId="77777777">
      <w:pPr>
        <w:pStyle w:val="ReportLevel3"/>
        <w:keepNext w:val="0"/>
        <w:spacing w:before="240" w:beforeLines="100" w:after="240" w:afterLines="100"/>
        <w:rPr>
          <w:lang w:val="en-US" w:eastAsia="zh-CN"/>
        </w:rPr>
      </w:pPr>
      <w:r w:rsidRPr="000967C5">
        <w:rPr>
          <w:rFonts w:asciiTheme="minorEastAsia" w:eastAsiaTheme="minorEastAsia" w:hAnsiTheme="minorEastAsia" w:hint="eastAsia"/>
          <w:sz w:val="21"/>
          <w:szCs w:val="21"/>
          <w:lang w:val="en-US" w:eastAsia="zh-CN"/>
        </w:rPr>
        <w:t>支吊架所选用的材料用符合自身标准的要求。</w:t>
      </w:r>
    </w:p>
    <w:p w:rsidR="002D1928" w:rsidRPr="000967C5" w14:paraId="3BF89FFE"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金属线槽</w:t>
      </w:r>
    </w:p>
    <w:p w:rsidR="002D1928" w:rsidRPr="000967C5" w14:paraId="4C1EA864" w14:textId="77777777">
      <w:pPr>
        <w:pStyle w:val="ReportLevel4"/>
        <w:keepNext w:val="0"/>
        <w:keepLines/>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金属电线</w:t>
      </w:r>
      <w:r w:rsidRPr="000967C5">
        <w:rPr>
          <w:rFonts w:asciiTheme="minorEastAsia" w:eastAsiaTheme="minorEastAsia" w:hAnsiTheme="minorEastAsia"/>
          <w:sz w:val="21"/>
          <w:szCs w:val="21"/>
          <w:lang w:eastAsia="zh-CN"/>
        </w:rPr>
        <w:t>槽及其</w:t>
      </w:r>
      <w:r w:rsidRPr="000967C5">
        <w:rPr>
          <w:rFonts w:asciiTheme="minorEastAsia" w:eastAsiaTheme="minorEastAsia" w:hAnsiTheme="minorEastAsia"/>
          <w:sz w:val="21"/>
          <w:szCs w:val="21"/>
          <w:lang w:eastAsia="zh-CN"/>
        </w:rPr>
        <w:t>配件须符合有关GB/T</w:t>
      </w:r>
      <w:r w:rsidRPr="000967C5">
        <w:rPr>
          <w:rFonts w:asciiTheme="minorEastAsia" w:eastAsiaTheme="minorEastAsia" w:hAnsiTheme="minorEastAsia" w:hint="eastAsia"/>
          <w:sz w:val="21"/>
          <w:szCs w:val="21"/>
          <w:lang w:val="en-US" w:eastAsia="zh-CN"/>
        </w:rPr>
        <w:t xml:space="preserve"> </w:t>
      </w:r>
      <w:r w:rsidRPr="000967C5">
        <w:rPr>
          <w:rFonts w:asciiTheme="minorEastAsia" w:eastAsiaTheme="minorEastAsia" w:hAnsiTheme="minorEastAsia"/>
          <w:sz w:val="21"/>
          <w:szCs w:val="21"/>
          <w:lang w:eastAsia="zh-CN"/>
        </w:rPr>
        <w:t>19215.1-2003 《电气安装用电缆槽管系统 第一部分：通用要求》及GB/T</w:t>
      </w:r>
      <w:r w:rsidRPr="000967C5">
        <w:rPr>
          <w:rFonts w:asciiTheme="minorEastAsia" w:eastAsiaTheme="minorEastAsia" w:hAnsiTheme="minorEastAsia" w:hint="eastAsia"/>
          <w:sz w:val="21"/>
          <w:szCs w:val="21"/>
          <w:lang w:val="en-US" w:eastAsia="zh-CN"/>
        </w:rPr>
        <w:t xml:space="preserve"> </w:t>
      </w:r>
      <w:r w:rsidRPr="000967C5">
        <w:rPr>
          <w:rFonts w:asciiTheme="minorEastAsia" w:eastAsiaTheme="minorEastAsia" w:hAnsiTheme="minorEastAsia"/>
          <w:sz w:val="21"/>
          <w:szCs w:val="21"/>
          <w:lang w:eastAsia="zh-CN"/>
        </w:rPr>
        <w:t>19215.2-2003 《电气安装用电缆槽管系统 第二部分：特殊要求》的要求。</w:t>
      </w:r>
    </w:p>
    <w:p w:rsidR="002D1928" w:rsidRPr="000967C5" w14:paraId="4F2EEB5B" w14:textId="77777777">
      <w:pPr>
        <w:pStyle w:val="ReportLevel4"/>
        <w:keepNext w:val="0"/>
        <w:keepLines/>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金属</w:t>
      </w:r>
      <w:r w:rsidRPr="000967C5">
        <w:rPr>
          <w:rFonts w:asciiTheme="minorEastAsia" w:eastAsiaTheme="minorEastAsia" w:hAnsiTheme="minorEastAsia"/>
          <w:sz w:val="21"/>
          <w:szCs w:val="21"/>
          <w:lang w:eastAsia="zh-CN"/>
        </w:rPr>
        <w:t>电线槽须用</w:t>
      </w:r>
      <w:r w:rsidRPr="000967C5">
        <w:rPr>
          <w:rFonts w:asciiTheme="minorEastAsia" w:eastAsiaTheme="minorEastAsia" w:hAnsiTheme="minorEastAsia"/>
          <w:sz w:val="21"/>
          <w:szCs w:val="21"/>
          <w:lang w:eastAsia="zh-CN"/>
        </w:rPr>
        <w:t>镀锌钢板制作，其最小长度为2 m。金属电线槽金属材料的厚度须</w:t>
      </w:r>
      <w:r w:rsidRPr="000967C5">
        <w:rPr>
          <w:rFonts w:asciiTheme="minorEastAsia" w:eastAsiaTheme="minorEastAsia" w:hAnsiTheme="minorEastAsia" w:hint="eastAsia"/>
          <w:sz w:val="21"/>
          <w:szCs w:val="21"/>
          <w:lang w:val="en-US" w:eastAsia="zh-CN"/>
        </w:rPr>
        <w:t>满足国家规范要求。</w:t>
      </w:r>
    </w:p>
    <w:p w:rsidR="002D1928" w:rsidRPr="000967C5" w14:paraId="5607D288" w14:textId="77777777">
      <w:pPr>
        <w:pStyle w:val="ReportLevel4"/>
        <w:keepNext w:val="0"/>
        <w:keepLines/>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金属电线槽盖须为带中心系紧螺栓的快装彈夾蓋型。不接受其它固定方式。</w:t>
      </w:r>
    </w:p>
    <w:p w:rsidR="002D1928" w:rsidRPr="000967C5" w14:paraId="05248865" w14:textId="77777777">
      <w:pPr>
        <w:pStyle w:val="ReportLevel4"/>
        <w:keepNext w:val="0"/>
        <w:keepLines/>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须提供内部</w:t>
      </w:r>
      <w:r w:rsidRPr="000967C5">
        <w:rPr>
          <w:rFonts w:asciiTheme="minorEastAsia" w:eastAsiaTheme="minorEastAsia" w:hAnsiTheme="minorEastAsia"/>
          <w:sz w:val="21"/>
          <w:szCs w:val="21"/>
          <w:lang w:eastAsia="zh-CN"/>
        </w:rPr>
        <w:t>带针型架</w:t>
      </w:r>
      <w:r w:rsidRPr="000967C5">
        <w:rPr>
          <w:rFonts w:asciiTheme="minorEastAsia" w:eastAsiaTheme="minorEastAsia" w:hAnsiTheme="minorEastAsia"/>
          <w:sz w:val="21"/>
          <w:szCs w:val="21"/>
          <w:lang w:eastAsia="zh-CN"/>
        </w:rPr>
        <w:t>以支持电缆重量及安装</w:t>
      </w:r>
      <w:r w:rsidRPr="000967C5">
        <w:rPr>
          <w:rFonts w:asciiTheme="minorEastAsia" w:eastAsiaTheme="minorEastAsia" w:hAnsiTheme="minorEastAsia"/>
          <w:sz w:val="21"/>
          <w:szCs w:val="21"/>
          <w:lang w:eastAsia="zh-CN"/>
        </w:rPr>
        <w:t>时固定</w:t>
      </w:r>
      <w:r w:rsidRPr="000967C5">
        <w:rPr>
          <w:rFonts w:asciiTheme="minorEastAsia" w:eastAsiaTheme="minorEastAsia" w:hAnsiTheme="minorEastAsia"/>
          <w:sz w:val="21"/>
          <w:szCs w:val="21"/>
          <w:lang w:eastAsia="zh-CN"/>
        </w:rPr>
        <w:t>电缆的垂直电线槽。</w:t>
      </w:r>
      <w:r w:rsidRPr="000967C5">
        <w:rPr>
          <w:rFonts w:asciiTheme="minorEastAsia" w:eastAsiaTheme="minorEastAsia" w:hAnsiTheme="minorEastAsia"/>
          <w:sz w:val="21"/>
          <w:szCs w:val="21"/>
          <w:lang w:eastAsia="zh-CN"/>
        </w:rPr>
        <w:t>针型架为</w:t>
      </w:r>
      <w:r w:rsidRPr="000967C5">
        <w:rPr>
          <w:rFonts w:asciiTheme="minorEastAsia" w:eastAsiaTheme="minorEastAsia" w:hAnsiTheme="minorEastAsia"/>
          <w:sz w:val="21"/>
          <w:szCs w:val="21"/>
          <w:lang w:eastAsia="zh-CN"/>
        </w:rPr>
        <w:t>钢针柱外包绝缘护套固定于电线槽的背板上间距为３米。金属电线槽垂直敷设时，须采取措施防止电线在线槽内移动。</w:t>
      </w:r>
    </w:p>
    <w:p w:rsidR="002D1928" w:rsidRPr="000967C5" w14:paraId="65914E20" w14:textId="77777777">
      <w:pPr>
        <w:pStyle w:val="ReportLevel4"/>
        <w:keepNext w:val="0"/>
        <w:keepLines/>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终端</w:t>
      </w:r>
      <w:r w:rsidRPr="000967C5">
        <w:rPr>
          <w:rFonts w:asciiTheme="minorEastAsia" w:eastAsiaTheme="minorEastAsia" w:hAnsiTheme="minorEastAsia"/>
          <w:sz w:val="21"/>
          <w:szCs w:val="21"/>
          <w:lang w:eastAsia="zh-CN"/>
        </w:rPr>
        <w:t>电线槽须装设</w:t>
      </w:r>
      <w:r w:rsidRPr="000967C5">
        <w:rPr>
          <w:rFonts w:asciiTheme="minorEastAsia" w:eastAsiaTheme="minorEastAsia" w:hAnsiTheme="minorEastAsia"/>
          <w:sz w:val="21"/>
          <w:szCs w:val="21"/>
          <w:lang w:eastAsia="zh-CN"/>
        </w:rPr>
        <w:t>终端法兰板用以直接与配电箱或装置用螺栓连接。使用连接片并以镀镉菌形螺栓，螺帽及防震的弹簧垫圈固定。</w:t>
      </w:r>
    </w:p>
    <w:p w:rsidR="002D1928" w:rsidRPr="000967C5" w14:paraId="126F0DC0" w14:textId="77777777">
      <w:pPr>
        <w:pStyle w:val="ReportLevel4"/>
        <w:keepNext w:val="0"/>
        <w:keepLines/>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金属电线槽之接头处须有一条镀锡铜带以螺栓与相邻的电线槽连接以保证电气上的连续性。</w:t>
      </w:r>
    </w:p>
    <w:p w:rsidR="002D1928" w:rsidRPr="000967C5" w14:paraId="496F3659" w14:textId="77777777">
      <w:pPr>
        <w:pStyle w:val="ReportLevel4"/>
        <w:spacing w:before="120" w:after="12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有防火要求之场所，可在钢制托盘、梯架添加具有耐火或难燃性的板、</w:t>
      </w:r>
      <w:r w:rsidRPr="000967C5">
        <w:rPr>
          <w:rFonts w:asciiTheme="minorEastAsia" w:eastAsiaTheme="minorEastAsia" w:hAnsiTheme="minorEastAsia"/>
          <w:sz w:val="21"/>
          <w:szCs w:val="21"/>
          <w:lang w:eastAsia="zh-CN"/>
        </w:rPr>
        <w:t>网材料</w:t>
      </w:r>
      <w:r w:rsidRPr="000967C5">
        <w:rPr>
          <w:rFonts w:asciiTheme="minorEastAsia" w:eastAsiaTheme="minorEastAsia" w:hAnsiTheme="minorEastAsia"/>
          <w:sz w:val="21"/>
          <w:szCs w:val="21"/>
          <w:lang w:eastAsia="zh-CN"/>
        </w:rPr>
        <w:t>构成封闭或半封闭式结构，并在桥架表面涂刷符合《钢结构防火涂料应用技术规范》CECS24:90(中国工程建设标准化协会标准)的防火涂层等措施，其整体耐火性还应符合国家有关规范或标准的要求。铝制电缆桥架应按《电力工程电缆设计规范》GB50217及相关标准的有关规定执行。</w:t>
      </w:r>
    </w:p>
    <w:p w:rsidR="002D1928" w:rsidRPr="000967C5" w14:paraId="4A84C5A1" w14:textId="77777777">
      <w:pPr>
        <w:pStyle w:val="ReportLevel4"/>
        <w:spacing w:before="120" w:after="120"/>
        <w:rPr>
          <w:lang w:eastAsia="zh-CN"/>
        </w:rPr>
      </w:pPr>
      <w:r w:rsidRPr="000967C5">
        <w:rPr>
          <w:rFonts w:asciiTheme="minorEastAsia" w:eastAsiaTheme="minorEastAsia" w:hAnsiTheme="minorEastAsia"/>
          <w:sz w:val="21"/>
          <w:szCs w:val="21"/>
          <w:lang w:eastAsia="zh-CN"/>
        </w:rPr>
        <w:t>金属电线槽进出线口应在厂家一次完成。</w:t>
      </w:r>
    </w:p>
    <w:p w:rsidR="002D1928" w:rsidRPr="000967C5" w14:paraId="629E8E66"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bookmarkStart w:id="290" w:name="_Toc502857866"/>
      <w:bookmarkStart w:id="291" w:name="_Toc502859853"/>
      <w:bookmarkStart w:id="292" w:name="_Toc502853814"/>
      <w:bookmarkStart w:id="293" w:name="_Toc502860837"/>
      <w:r w:rsidRPr="000967C5">
        <w:rPr>
          <w:rFonts w:asciiTheme="minorEastAsia" w:eastAsiaTheme="minorEastAsia" w:hAnsiTheme="minorEastAsia" w:hint="eastAsia"/>
          <w:sz w:val="21"/>
          <w:szCs w:val="21"/>
          <w:lang w:val="en-US" w:eastAsia="zh-CN"/>
        </w:rPr>
        <w:t>安装</w:t>
      </w:r>
    </w:p>
    <w:p w:rsidR="002D1928" w:rsidRPr="000967C5" w14:paraId="77C9C1E2"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与支架间及与连接板的固定螺栓应紧固无遗漏，螺母应位于桥架外侧。</w:t>
      </w:r>
    </w:p>
    <w:p w:rsidR="002D1928" w:rsidRPr="000967C5" w14:paraId="121FEB59"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的安装应牢固，横平竖直，沿桥架水平走向的支架左右偏差不应大于10mm，其高低偏差不应大于5mm。</w:t>
      </w:r>
    </w:p>
    <w:p w:rsidR="002D1928" w:rsidRPr="000967C5" w14:paraId="6D946CB4" w14:textId="77777777">
      <w:pPr>
        <w:pStyle w:val="ReportLevel4"/>
        <w:keepNext w:val="0"/>
        <w:spacing w:before="120" w:after="120"/>
        <w:rPr>
          <w:lang w:val="en-US" w:eastAsia="zh-CN"/>
        </w:rPr>
        <w:sectPr>
          <w:footerReference w:type="default" r:id="rId22"/>
          <w:type w:val="nextPage"/>
          <w:pgSz w:w="11906" w:h="16838"/>
          <w:pgMar w:top="1814" w:right="1418" w:bottom="1418" w:left="1814" w:header="851" w:footer="992" w:gutter="0"/>
          <w:pgNumType w:start="18"/>
          <w:cols w:space="425"/>
          <w:titlePg w:val="0"/>
          <w:docGrid w:linePitch="312"/>
        </w:sectPr>
      </w:pPr>
      <w:r w:rsidRPr="000967C5">
        <w:rPr>
          <w:rFonts w:asciiTheme="minorEastAsia" w:eastAsiaTheme="minorEastAsia" w:hAnsiTheme="minorEastAsia" w:hint="eastAsia"/>
          <w:sz w:val="21"/>
          <w:szCs w:val="21"/>
          <w:lang w:val="en-US" w:eastAsia="zh-CN"/>
        </w:rPr>
        <w:t>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的分段应合理，连接部位不应置于穿墙、楼板孔洞内。</w:t>
      </w:r>
    </w:p>
    <w:p w:rsidR="002D1928" w:rsidRPr="000967C5" w14:paraId="721B1825"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当直线段桥架、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直线段长度超过30m时，应设置伸缩装置；当桥架跨越建筑物变形缝处时，应设置补偿装置。</w:t>
      </w:r>
    </w:p>
    <w:p w:rsidR="002D1928" w:rsidRPr="000967C5" w14:paraId="147A2CDE"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敷设在电气竖井内穿楼板处和穿越不同防火区的桥架、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，应有防火封堵措施。</w:t>
      </w:r>
    </w:p>
    <w:p w:rsidR="002D1928" w:rsidRPr="000967C5" w14:paraId="2E180A01"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对于敷设在室外的桥架、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，当进入室内或配电箱(柜)时应有防雨水措施。   </w:t>
      </w:r>
    </w:p>
    <w:p w:rsidR="002D1928" w:rsidRPr="000967C5" w14:paraId="6B449B88"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水平安装的支架间距为1500mm～2000mm，转角安装的支架间距宜为300mm～600mm；垂直安装的支架间距不应大于2000mm。</w:t>
      </w:r>
    </w:p>
    <w:p w:rsidR="002D1928" w:rsidRPr="000967C5" w14:paraId="420FA213"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采用圆钢吊架时，圆钢直径不得小于10mm，并</w:t>
      </w:r>
      <w:r w:rsidRPr="000967C5">
        <w:rPr>
          <w:rFonts w:asciiTheme="minorEastAsia" w:eastAsiaTheme="minorEastAsia" w:hAnsiTheme="minorEastAsia" w:hint="eastAsia"/>
          <w:sz w:val="21"/>
          <w:szCs w:val="21"/>
          <w:lang w:val="en-US" w:eastAsia="zh-CN"/>
        </w:rPr>
        <w:t>应有防晃措施</w:t>
      </w:r>
      <w:r w:rsidRPr="000967C5">
        <w:rPr>
          <w:rFonts w:asciiTheme="minorEastAsia" w:eastAsiaTheme="minorEastAsia" w:hAnsiTheme="minorEastAsia" w:hint="eastAsia"/>
          <w:sz w:val="21"/>
          <w:szCs w:val="21"/>
          <w:lang w:val="en-US" w:eastAsia="zh-CN"/>
        </w:rPr>
        <w:t>，在分支处或端部300mm～500mm处应有固定措施。</w:t>
      </w:r>
    </w:p>
    <w:p w:rsidR="002D1928" w:rsidRPr="000967C5" w14:paraId="6CC97B81" w14:textId="77777777">
      <w:pPr>
        <w:pStyle w:val="ReportLevel3"/>
        <w:keepNext w:val="0"/>
        <w:spacing w:before="240" w:beforeLines="100" w:after="240" w:afterLines="10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接地</w:t>
      </w:r>
    </w:p>
    <w:p w:rsidR="002D1928" w:rsidRPr="000967C5" w14:paraId="08940472"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的全长不大于30m时，不应少于2处与保护导体可靠连接；全长大于30m时，每隔20m～30m应增加一个连接点，起始端和终点端均应可靠接地。</w:t>
      </w:r>
    </w:p>
    <w:p w:rsidR="002D1928" w:rsidRPr="000967C5" w14:paraId="317B3134"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非镀锌桥架、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本体之间连接板的两端应采用截面不小于4mm2的铜芯跨接线跨接。</w:t>
      </w:r>
    </w:p>
    <w:p w:rsidR="002D1928" w:rsidRPr="000967C5" w14:paraId="5E1B5CAC"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镀锌桥架、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之间</w:t>
      </w:r>
      <w:r w:rsidRPr="000967C5">
        <w:rPr>
          <w:rFonts w:asciiTheme="minorEastAsia" w:eastAsiaTheme="minorEastAsia" w:hAnsiTheme="minorEastAsia" w:hint="eastAsia"/>
          <w:sz w:val="21"/>
          <w:szCs w:val="21"/>
          <w:lang w:val="en-US" w:eastAsia="zh-CN"/>
        </w:rPr>
        <w:t>不</w:t>
      </w:r>
      <w:r w:rsidRPr="000967C5">
        <w:rPr>
          <w:rFonts w:asciiTheme="minorEastAsia" w:eastAsiaTheme="minorEastAsia" w:hAnsiTheme="minorEastAsia" w:hint="eastAsia"/>
          <w:sz w:val="21"/>
          <w:szCs w:val="21"/>
          <w:lang w:val="en-US" w:eastAsia="zh-CN"/>
        </w:rPr>
        <w:t>跨接保护联结导体时，连接</w:t>
      </w:r>
      <w:r w:rsidRPr="000967C5">
        <w:rPr>
          <w:rFonts w:asciiTheme="minorEastAsia" w:eastAsiaTheme="minorEastAsia" w:hAnsiTheme="minorEastAsia" w:hint="eastAsia"/>
          <w:sz w:val="21"/>
          <w:szCs w:val="21"/>
          <w:lang w:val="en-US" w:eastAsia="zh-CN"/>
        </w:rPr>
        <w:t>板每端</w:t>
      </w:r>
      <w:r w:rsidRPr="000967C5">
        <w:rPr>
          <w:rFonts w:asciiTheme="minorEastAsia" w:eastAsiaTheme="minorEastAsia" w:hAnsiTheme="minorEastAsia" w:hint="eastAsia"/>
          <w:sz w:val="21"/>
          <w:szCs w:val="21"/>
          <w:lang w:val="en-US" w:eastAsia="zh-CN"/>
        </w:rPr>
        <w:t>不应少于2个有防松螺帽或防松垫圈的连接固定螺栓。</w:t>
      </w:r>
    </w:p>
    <w:p w:rsidR="002D1928" w:rsidRPr="000967C5" w14:paraId="5ABF28F2" w14:textId="77777777">
      <w:pPr>
        <w:pStyle w:val="ReportLevel4"/>
        <w:keepNext w:val="0"/>
        <w:spacing w:before="120" w:after="120"/>
        <w:rPr>
          <w:lang w:val="en-US" w:eastAsia="zh-CN"/>
        </w:rPr>
      </w:pPr>
      <w:r w:rsidRPr="000967C5">
        <w:rPr>
          <w:rFonts w:asciiTheme="minorEastAsia" w:eastAsiaTheme="minorEastAsia" w:hAnsiTheme="minorEastAsia" w:hint="eastAsia"/>
          <w:sz w:val="21"/>
          <w:szCs w:val="21"/>
          <w:lang w:val="en-US" w:eastAsia="zh-CN"/>
        </w:rPr>
        <w:t>当桥架、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表面有绝缘涂层时，应将接地点或需要电气连接处的绝缘涂层清理干净或其他确保电气连接的措施。</w:t>
      </w:r>
    </w:p>
    <w:p w:rsidR="002D1928" w:rsidRPr="000967C5" w14:paraId="7292AC6B" w14:textId="77777777">
      <w:pPr>
        <w:pStyle w:val="ReportLevel4"/>
        <w:keepNext w:val="0"/>
        <w:spacing w:before="120" w:after="120"/>
        <w:rPr>
          <w:rFonts w:asciiTheme="minorEastAsia" w:eastAsiaTheme="minorEastAsia" w:hAnsiTheme="minorEastAsia"/>
          <w:sz w:val="21"/>
          <w:szCs w:val="21"/>
          <w:lang w:val="en-US" w:eastAsia="zh-CN"/>
        </w:rPr>
      </w:pPr>
      <w:r w:rsidRPr="000967C5">
        <w:rPr>
          <w:rFonts w:asciiTheme="minorEastAsia" w:eastAsiaTheme="minorEastAsia" w:hAnsiTheme="minorEastAsia" w:hint="eastAsia"/>
          <w:sz w:val="21"/>
          <w:szCs w:val="21"/>
          <w:lang w:val="en-US" w:eastAsia="zh-CN"/>
        </w:rPr>
        <w:t>桥架、</w:t>
      </w:r>
      <w:r w:rsidRPr="000967C5">
        <w:rPr>
          <w:rFonts w:asciiTheme="minorEastAsia" w:eastAsiaTheme="minorEastAsia" w:hAnsiTheme="minorEastAsia"/>
          <w:sz w:val="21"/>
          <w:szCs w:val="21"/>
          <w:lang w:eastAsia="zh-CN"/>
        </w:rPr>
        <w:t>线槽</w:t>
      </w:r>
      <w:r w:rsidRPr="000967C5">
        <w:rPr>
          <w:rFonts w:asciiTheme="minorEastAsia" w:eastAsiaTheme="minorEastAsia" w:hAnsiTheme="minorEastAsia" w:hint="eastAsia"/>
          <w:sz w:val="21"/>
          <w:szCs w:val="21"/>
          <w:lang w:val="en-US" w:eastAsia="zh-CN"/>
        </w:rPr>
        <w:t>在出入建筑物时，应就近与总等电位接地装置进行联结。</w:t>
      </w:r>
    </w:p>
    <w:p w:rsidR="002D1928" w:rsidRPr="000967C5" w14:paraId="7FED8346" w14:textId="77777777">
      <w:pPr>
        <w:pStyle w:val="ReportLevel2"/>
        <w:spacing w:before="240" w:beforeLines="100" w:after="240" w:afterLines="100"/>
        <w:rPr>
          <w:rFonts w:asciiTheme="minorEastAsia" w:eastAsiaTheme="minorEastAsia" w:hAnsiTheme="minorEastAsia"/>
          <w:b/>
          <w:bCs/>
          <w:sz w:val="21"/>
          <w:szCs w:val="21"/>
          <w:lang w:eastAsia="zh-CN"/>
        </w:rPr>
      </w:pPr>
      <w:r w:rsidRPr="000967C5">
        <w:rPr>
          <w:rFonts w:asciiTheme="minorEastAsia" w:eastAsiaTheme="minorEastAsia" w:hAnsiTheme="minorEastAsia"/>
          <w:b/>
          <w:bCs/>
          <w:sz w:val="21"/>
          <w:szCs w:val="21"/>
          <w:lang w:eastAsia="zh-CN"/>
        </w:rPr>
        <w:t>金属电线管及其配件</w:t>
      </w:r>
      <w:bookmarkEnd w:id="290"/>
      <w:bookmarkEnd w:id="291"/>
      <w:bookmarkEnd w:id="292"/>
      <w:bookmarkEnd w:id="293"/>
    </w:p>
    <w:p w:rsidR="002D1928" w:rsidRPr="000967C5" w14:paraId="55D1FEC0"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配线系统须符合GB50303-2015之要求。电线管必须为符合BS4568：第1部分，热浸镀锌焊接钢管。电线管配件须符合BS4568：第2部分之要求。所有电线管采用螺纹丝扣连接。</w:t>
      </w:r>
    </w:p>
    <w:p w:rsidR="002D1928" w:rsidRPr="000967C5" w14:paraId="7427025C"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挠性电线管及配件必须符合BS731：第1部分，须为镀锌防水型，阻燃PVC外护套并内附一条单独的接地。</w:t>
      </w:r>
    </w:p>
    <w:p w:rsidR="002D1928" w:rsidRPr="000967C5" w14:paraId="179271DE"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电线管的最小直径为20毫米。</w:t>
      </w:r>
    </w:p>
    <w:p w:rsidR="002D1928" w:rsidRPr="000967C5" w14:paraId="68272198"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圆形</w:t>
      </w:r>
      <w:r w:rsidRPr="000967C5">
        <w:rPr>
          <w:rFonts w:asciiTheme="minorEastAsia" w:eastAsiaTheme="minorEastAsia" w:hAnsiTheme="minorEastAsia"/>
          <w:sz w:val="21"/>
          <w:szCs w:val="21"/>
          <w:lang w:eastAsia="zh-CN"/>
        </w:rPr>
        <w:t>电线管盒须为</w:t>
      </w:r>
      <w:r w:rsidRPr="000967C5">
        <w:rPr>
          <w:rFonts w:asciiTheme="minorEastAsia" w:eastAsiaTheme="minorEastAsia" w:hAnsiTheme="minorEastAsia"/>
          <w:sz w:val="21"/>
          <w:szCs w:val="21"/>
          <w:lang w:eastAsia="zh-CN"/>
        </w:rPr>
        <w:t>铸铁制，具有长内螺纹管口，供连接20毫米及25毫米电线管之接口。对埋入结构内暗藏系统须使用</w:t>
      </w:r>
      <w:r w:rsidRPr="000967C5">
        <w:rPr>
          <w:rFonts w:asciiTheme="minorEastAsia" w:eastAsiaTheme="minorEastAsia" w:hAnsiTheme="minorEastAsia"/>
          <w:sz w:val="21"/>
          <w:szCs w:val="21"/>
          <w:lang w:eastAsia="zh-CN"/>
        </w:rPr>
        <w:t>深型盒而</w:t>
      </w:r>
      <w:r w:rsidRPr="000967C5">
        <w:rPr>
          <w:rFonts w:asciiTheme="minorEastAsia" w:eastAsiaTheme="minorEastAsia" w:hAnsiTheme="minorEastAsia"/>
          <w:sz w:val="21"/>
          <w:szCs w:val="21"/>
          <w:lang w:eastAsia="zh-CN"/>
        </w:rPr>
        <w:t>对明装系统则须采用浅型盒。电线管盒内须有一只固定于底部的黄铜接地端子。</w:t>
      </w:r>
    </w:p>
    <w:p w:rsidR="002D1928" w:rsidRPr="000967C5" w14:paraId="4040BD27"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32毫米直径及以上的电线管须使用长方形的配线盒。配线盒须为深度不小于50毫米之铸铁盒，其大小尺寸须能使穿于电线管内最大尺寸的电缆得以拉入而不致使电缆过度弯曲。盒盖须与盒体为同样等级黄铜螺栓固定。配线盒须按电线管径之要求钻孔。</w:t>
      </w:r>
    </w:p>
    <w:p w:rsidR="002D1928" w:rsidRPr="000967C5" w14:paraId="0EA56174"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插座，照明</w:t>
      </w:r>
      <w:r w:rsidRPr="000967C5">
        <w:rPr>
          <w:rFonts w:asciiTheme="minorEastAsia" w:eastAsiaTheme="minorEastAsia" w:hAnsiTheme="minorEastAsia"/>
          <w:sz w:val="21"/>
          <w:szCs w:val="21"/>
          <w:lang w:eastAsia="zh-CN"/>
        </w:rPr>
        <w:t>开关等暗埋</w:t>
      </w:r>
      <w:r w:rsidRPr="000967C5">
        <w:rPr>
          <w:rFonts w:asciiTheme="minorEastAsia" w:eastAsiaTheme="minorEastAsia" w:hAnsiTheme="minorEastAsia"/>
          <w:sz w:val="21"/>
          <w:szCs w:val="21"/>
          <w:lang w:eastAsia="zh-CN"/>
        </w:rPr>
        <w:t>之</w:t>
      </w:r>
      <w:r w:rsidRPr="000967C5">
        <w:rPr>
          <w:rFonts w:asciiTheme="minorEastAsia" w:eastAsiaTheme="minorEastAsia" w:hAnsiTheme="minorEastAsia"/>
          <w:sz w:val="21"/>
          <w:szCs w:val="21"/>
          <w:lang w:eastAsia="zh-CN"/>
        </w:rPr>
        <w:t>出线盒须为</w:t>
      </w:r>
      <w:r w:rsidRPr="000967C5">
        <w:rPr>
          <w:rFonts w:asciiTheme="minorEastAsia" w:eastAsiaTheme="minorEastAsia" w:hAnsiTheme="minorEastAsia"/>
          <w:sz w:val="21"/>
          <w:szCs w:val="21"/>
          <w:lang w:eastAsia="zh-CN"/>
        </w:rPr>
        <w:t>热浸镀锌钢板制，符合BS1363及BS4662之要求，具有安装耳，足够的</w:t>
      </w:r>
      <w:r w:rsidRPr="000967C5">
        <w:rPr>
          <w:rFonts w:asciiTheme="minorEastAsia" w:eastAsiaTheme="minorEastAsia" w:hAnsiTheme="minorEastAsia"/>
          <w:sz w:val="21"/>
          <w:szCs w:val="21"/>
          <w:lang w:eastAsia="zh-CN"/>
        </w:rPr>
        <w:t>敲落孔及</w:t>
      </w:r>
      <w:r w:rsidRPr="000967C5">
        <w:rPr>
          <w:rFonts w:asciiTheme="minorEastAsia" w:eastAsiaTheme="minorEastAsia" w:hAnsiTheme="minorEastAsia"/>
          <w:sz w:val="21"/>
          <w:szCs w:val="21"/>
          <w:lang w:eastAsia="zh-CN"/>
        </w:rPr>
        <w:t>固定于底部之黄铜接地端子。</w:t>
      </w:r>
    </w:p>
    <w:p w:rsidR="002D1928" w:rsidRPr="000967C5" w14:paraId="79986246"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固定电线管之</w:t>
      </w:r>
      <w:r w:rsidRPr="000967C5">
        <w:rPr>
          <w:rFonts w:asciiTheme="minorEastAsia" w:eastAsiaTheme="minorEastAsia" w:hAnsiTheme="minorEastAsia"/>
          <w:sz w:val="21"/>
          <w:szCs w:val="21"/>
          <w:lang w:eastAsia="zh-CN"/>
        </w:rPr>
        <w:t>鞍形夹须由</w:t>
      </w:r>
      <w:r w:rsidRPr="000967C5">
        <w:rPr>
          <w:rFonts w:asciiTheme="minorEastAsia" w:eastAsiaTheme="minorEastAsia" w:hAnsiTheme="minorEastAsia"/>
          <w:sz w:val="21"/>
          <w:szCs w:val="21"/>
          <w:lang w:eastAsia="zh-CN"/>
        </w:rPr>
        <w:t>铸铁制，</w:t>
      </w:r>
      <w:r w:rsidRPr="000967C5">
        <w:rPr>
          <w:rFonts w:asciiTheme="minorEastAsia" w:eastAsiaTheme="minorEastAsia" w:hAnsiTheme="minorEastAsia"/>
          <w:sz w:val="21"/>
          <w:szCs w:val="21"/>
          <w:lang w:eastAsia="zh-CN"/>
        </w:rPr>
        <w:t>专为明装固定</w:t>
      </w:r>
      <w:r w:rsidRPr="000967C5">
        <w:rPr>
          <w:rFonts w:asciiTheme="minorEastAsia" w:eastAsiaTheme="minorEastAsia" w:hAnsiTheme="minorEastAsia"/>
          <w:sz w:val="21"/>
          <w:szCs w:val="21"/>
          <w:lang w:eastAsia="zh-CN"/>
        </w:rPr>
        <w:t>电线管而设计，使之距表面约10毫米。</w:t>
      </w:r>
    </w:p>
    <w:p w:rsidR="002D1928" w:rsidRPr="000967C5" w14:paraId="65FF0E0A"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对明装电线管须按规定使用明装的出线盒。</w:t>
      </w:r>
    </w:p>
    <w:p w:rsidR="002D1928" w:rsidRPr="000967C5" w14:paraId="04CA8428" w14:textId="77777777">
      <w:pPr>
        <w:pStyle w:val="ReportLevel3"/>
        <w:keepNext w:val="0"/>
        <w:spacing w:before="120" w:beforeLines="50" w:after="120" w:afterLines="50"/>
        <w:rPr>
          <w:rFonts w:asciiTheme="minorEastAsia" w:eastAsiaTheme="minorEastAsia" w:hAnsiTheme="minorEastAsia"/>
          <w:sz w:val="21"/>
          <w:szCs w:val="21"/>
          <w:lang w:eastAsia="zh-CN"/>
        </w:rPr>
      </w:pPr>
      <w:r w:rsidRPr="000967C5">
        <w:rPr>
          <w:rFonts w:asciiTheme="minorEastAsia" w:eastAsiaTheme="minorEastAsia" w:hAnsiTheme="minorEastAsia"/>
          <w:sz w:val="21"/>
          <w:szCs w:val="21"/>
          <w:lang w:eastAsia="zh-CN"/>
        </w:rPr>
        <w:t>电线管与配线盒，出线盒及开关装置之连接须用联接管箍和六角公螺纹套筒。</w:t>
      </w:r>
      <w:r w:rsidRPr="000967C5">
        <w:rPr>
          <w:rFonts w:asciiTheme="minorEastAsia" w:eastAsiaTheme="minorEastAsia" w:hAnsiTheme="minorEastAsia"/>
          <w:sz w:val="21"/>
          <w:szCs w:val="21"/>
          <w:lang w:eastAsia="zh-CN"/>
        </w:rPr>
        <w:br/>
      </w:r>
      <w:r w:rsidRPr="000967C5">
        <w:rPr>
          <w:rFonts w:asciiTheme="minorEastAsia" w:eastAsiaTheme="minorEastAsia" w:hAnsiTheme="minorEastAsia"/>
          <w:sz w:val="21"/>
          <w:szCs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https://d.book118.com/307026030002006050</w:t>
        </w:r>
      </w:hyperlink>
    </w:p>
    <w:p w:rsidR="002D1928" w:rsidRPr="000967C5">
      <w:pPr>
        <w:pStyle w:val="ReportLevel3"/>
        <w:keepNext w:val="0"/>
        <w:spacing w:before="120" w:beforeLines="50" w:after="120" w:afterLines="50"/>
        <w:rPr>
          <w:rFonts w:asciiTheme="minorEastAsia" w:eastAsiaTheme="minorEastAsia" w:hAnsiTheme="minorEastAsia"/>
          <w:sz w:val="21"/>
          <w:szCs w:val="21"/>
          <w:lang w:eastAsia="zh-CN"/>
        </w:rPr>
      </w:pPr>
    </w:p>
    <w:sectPr>
      <w:footerReference w:type="default" r:id="rId24"/>
      <w:type w:val="nextPage"/>
      <w:pgSz w:w="11906" w:h="16838"/>
      <w:pgMar w:top="1814" w:right="1418" w:bottom="1418" w:left="1814" w:header="851" w:footer="992" w:gutter="0"/>
      <w:pgNumType w:start="1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Frutiger 45 Light">
    <w:altName w:val="新宋体"/>
    <w:charset w:val="86"/>
    <w:family w:val="swiss"/>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PMingLiU">
    <w:altName w:val="Arial Unicode MS"/>
    <w:panose1 w:val="02010601000101010101"/>
    <w:charset w:val="88"/>
    <w:family w:val="roman"/>
    <w:pitch w:val="variable"/>
    <w:sig w:usb0="00000000"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全真中明體">
    <w:altName w:val="MingLiU-ExtB"/>
    <w:charset w:val="88"/>
    <w:family w:val="modern"/>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paraId="64F0024C"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paraId="66951AE3"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A52E39" w14:paraId="01356B48"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paraId="79616373" w14:textId="77777777">
    <w:pPr>
      <w:pStyle w:val="BodyText"/>
      <w:spacing w:line="14" w:lineRule="auto"/>
      <w:rPr>
        <w:sz w:val="20"/>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13</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16</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17</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18</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E39" w14:textId="77777777">
    <w:pPr>
      <w:pStyle w:val="Footer"/>
      <w:tabs>
        <w:tab w:val="clear" w:pos="4153"/>
        <w:tab w:val="clear" w:pos="8306"/>
        <w:tab w:val="right" w:pos="8647"/>
      </w:tabs>
      <w:rPr>
        <w:rFonts w:ascii="PMingLiU" w:hAnsi="PMingLiU"/>
        <w:sz w:val="18"/>
        <w:u w:val="single"/>
        <w:lang w:eastAsia="zh-TW"/>
      </w:rPr>
    </w:pPr>
    <w:r>
      <w:rPr>
        <w:rFonts w:ascii="PMingLiU" w:hAnsi="PMingLiU"/>
        <w:sz w:val="18"/>
        <w:u w:val="single"/>
        <w:lang w:eastAsia="zh-CN"/>
      </w:rPr>
      <w:tab/>
    </w:r>
  </w:p>
  <w:p w:rsidR="00A52E39" w14:textId="399B7808">
    <w:pPr>
      <w:pStyle w:val="Footer"/>
      <w:tabs>
        <w:tab w:val="clear" w:pos="4153"/>
        <w:tab w:val="center" w:pos="4536"/>
        <w:tab w:val="clear" w:pos="8306"/>
        <w:tab w:val="right" w:pos="8647"/>
      </w:tabs>
      <w:rPr>
        <w:rStyle w:val="PageNumber"/>
        <w:rFonts w:eastAsia="宋体"/>
        <w:sz w:val="18"/>
        <w:lang w:eastAsia="zh-CN"/>
      </w:rPr>
    </w:pPr>
    <w:r>
      <w:rPr>
        <w:rFonts w:eastAsia="宋体" w:hint="eastAsia"/>
        <w:sz w:val="18"/>
        <w:lang w:eastAsia="zh-CN"/>
      </w:rPr>
      <w:t>发电机及环保工程设备及安装工程</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19</w:t>
    </w:r>
    <w:r>
      <w:rPr>
        <w:rStyle w:val="PageNumber"/>
        <w:rFonts w:eastAsia="宋体"/>
        <w:sz w:val="18"/>
      </w:rPr>
      <w:fldChar w:fldCharType="end"/>
    </w:r>
    <w:r>
      <w:rPr>
        <w:rStyle w:val="PageNumber"/>
        <w:rFonts w:eastAsia="宋体" w:hint="eastAsia"/>
        <w:sz w:val="18"/>
        <w:lang w:eastAsia="zh-CN"/>
      </w:rPr>
      <w:t>页</w:t>
    </w:r>
  </w:p>
  <w:p w:rsidR="00A52E39" w14:textId="77777777">
    <w:pPr>
      <w:pStyle w:val="Footer"/>
      <w:rPr>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第二部分</w:t>
    </w:r>
    <w:r>
      <w:rPr>
        <w:rStyle w:val="PageNumber"/>
        <w:rFonts w:eastAsia="宋体"/>
        <w:sz w:val="18"/>
        <w:lang w:eastAsia="zh-CN"/>
      </w:rPr>
      <w:t>)</w:t>
    </w:r>
  </w:p>
  <w:p w:rsidR="00A52E39" w14:textId="77777777">
    <w:pPr>
      <w:pStyle w:val="BodyText"/>
      <w:spacing w:line="14" w:lineRule="auto"/>
      <w:rPr>
        <w:sz w:val="20"/>
        <w:lang w:eastAsia="zh-CN"/>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852940"/>
    <w:multiLevelType w:val="singleLevel"/>
    <w:tmpl w:val="92852940"/>
    <w:lvl w:ilvl="0">
      <w:start w:val="1"/>
      <w:numFmt w:val="upperLetter"/>
      <w:lvlText w:val="%1."/>
      <w:lvlJc w:val="left"/>
      <w:pPr>
        <w:ind w:left="425" w:hanging="425"/>
      </w:pPr>
      <w:rPr>
        <w:rFonts w:hint="default"/>
      </w:rPr>
    </w:lvl>
  </w:abstractNum>
  <w:abstractNum w:abstractNumId="1">
    <w:nsid w:val="A3317530"/>
    <w:multiLevelType w:val="multilevel"/>
    <w:tmpl w:val="A3317530"/>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nsid w:val="DB3F3F98"/>
    <w:multiLevelType w:val="multilevel"/>
    <w:tmpl w:val="DB3F3F98"/>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
    <w:nsid w:val="E0DF6BF3"/>
    <w:multiLevelType w:val="multilevel"/>
    <w:tmpl w:val="E0DF6BF3"/>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nsid w:val="F24154C2"/>
    <w:multiLevelType w:val="multilevel"/>
    <w:tmpl w:val="F24154C2"/>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6">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7">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8">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9">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10">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11">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12">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13">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14">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5">
    <w:nsid w:val="001B3EB8"/>
    <w:multiLevelType w:val="multilevel"/>
    <w:tmpl w:val="001B3EB8"/>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16">
    <w:nsid w:val="025241A0"/>
    <w:multiLevelType w:val="multilevel"/>
    <w:tmpl w:val="025241A0"/>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17">
    <w:nsid w:val="07DB0D40"/>
    <w:multiLevelType w:val="multilevel"/>
    <w:tmpl w:val="07DB0D40"/>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18">
    <w:nsid w:val="0A063506"/>
    <w:multiLevelType w:val="multilevel"/>
    <w:tmpl w:val="0A063506"/>
    <w:lvl w:ilvl="0">
      <w:start w:val="1"/>
      <w:numFmt w:val="bullet"/>
      <w:lvlText w:val=""/>
      <w:lvlJc w:val="left"/>
      <w:pPr>
        <w:ind w:left="2520" w:hanging="420"/>
      </w:pPr>
      <w:rPr>
        <w:rFonts w:ascii="Wingdings" w:hAnsi="Wingdings" w:hint="default"/>
      </w:rPr>
    </w:lvl>
    <w:lvl w:ilvl="1">
      <w:start w:val="1"/>
      <w:numFmt w:val="bullet"/>
      <w:lvlText w:val=""/>
      <w:lvlJc w:val="left"/>
      <w:pPr>
        <w:ind w:left="2940" w:hanging="420"/>
      </w:pPr>
      <w:rPr>
        <w:rFonts w:ascii="Wingdings" w:hAnsi="Wingdings" w:hint="default"/>
      </w:rPr>
    </w:lvl>
    <w:lvl w:ilvl="2">
      <w:start w:val="1"/>
      <w:numFmt w:val="bullet"/>
      <w:lvlText w:val=""/>
      <w:lvlJc w:val="left"/>
      <w:pPr>
        <w:ind w:left="3360" w:hanging="420"/>
      </w:pPr>
      <w:rPr>
        <w:rFonts w:ascii="Wingdings" w:hAnsi="Wingdings" w:hint="default"/>
      </w:rPr>
    </w:lvl>
    <w:lvl w:ilvl="3">
      <w:start w:val="1"/>
      <w:numFmt w:val="bullet"/>
      <w:lvlText w:val=""/>
      <w:lvlJc w:val="left"/>
      <w:pPr>
        <w:ind w:left="3780" w:hanging="420"/>
      </w:pPr>
      <w:rPr>
        <w:rFonts w:ascii="Wingdings" w:hAnsi="Wingdings" w:hint="default"/>
      </w:rPr>
    </w:lvl>
    <w:lvl w:ilvl="4">
      <w:start w:val="1"/>
      <w:numFmt w:val="bullet"/>
      <w:lvlText w:val=""/>
      <w:lvlJc w:val="left"/>
      <w:pPr>
        <w:ind w:left="4200" w:hanging="420"/>
      </w:pPr>
      <w:rPr>
        <w:rFonts w:ascii="Wingdings" w:hAnsi="Wingdings" w:hint="default"/>
      </w:rPr>
    </w:lvl>
    <w:lvl w:ilvl="5">
      <w:start w:val="1"/>
      <w:numFmt w:val="bullet"/>
      <w:lvlText w:val=""/>
      <w:lvlJc w:val="left"/>
      <w:pPr>
        <w:ind w:left="4620" w:hanging="420"/>
      </w:pPr>
      <w:rPr>
        <w:rFonts w:ascii="Wingdings" w:hAnsi="Wingdings" w:hint="default"/>
      </w:rPr>
    </w:lvl>
    <w:lvl w:ilvl="6">
      <w:start w:val="1"/>
      <w:numFmt w:val="bullet"/>
      <w:lvlText w:val=""/>
      <w:lvlJc w:val="left"/>
      <w:pPr>
        <w:ind w:left="5040" w:hanging="420"/>
      </w:pPr>
      <w:rPr>
        <w:rFonts w:ascii="Wingdings" w:hAnsi="Wingdings" w:hint="default"/>
      </w:rPr>
    </w:lvl>
    <w:lvl w:ilvl="7">
      <w:start w:val="1"/>
      <w:numFmt w:val="bullet"/>
      <w:lvlText w:val=""/>
      <w:lvlJc w:val="left"/>
      <w:pPr>
        <w:ind w:left="5460" w:hanging="420"/>
      </w:pPr>
      <w:rPr>
        <w:rFonts w:ascii="Wingdings" w:hAnsi="Wingdings" w:hint="default"/>
      </w:rPr>
    </w:lvl>
    <w:lvl w:ilvl="8">
      <w:start w:val="1"/>
      <w:numFmt w:val="bullet"/>
      <w:lvlText w:val=""/>
      <w:lvlJc w:val="left"/>
      <w:pPr>
        <w:ind w:left="5880" w:hanging="420"/>
      </w:pPr>
      <w:rPr>
        <w:rFonts w:ascii="Wingdings" w:hAnsi="Wingdings" w:hint="default"/>
      </w:rPr>
    </w:lvl>
  </w:abstractNum>
  <w:abstractNum w:abstractNumId="19">
    <w:nsid w:val="0BBF4E8A"/>
    <w:multiLevelType w:val="multilevel"/>
    <w:tmpl w:val="0BBF4E8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20">
    <w:nsid w:val="0BF60606"/>
    <w:multiLevelType w:val="multilevel"/>
    <w:tmpl w:val="0BF60606"/>
    <w:lvl w:ilvl="0">
      <w:start w:val="1"/>
      <w:numFmt w:val="lowerLetter"/>
      <w:lvlText w:val="%1)"/>
      <w:lvlJc w:val="left"/>
      <w:pPr>
        <w:ind w:left="1920" w:hanging="420"/>
      </w:pPr>
    </w:lvl>
    <w:lvl w:ilvl="1">
      <w:start w:val="1"/>
      <w:numFmt w:val="lowerLetter"/>
      <w:lvlText w:val="%2)"/>
      <w:lvlJc w:val="left"/>
      <w:pPr>
        <w:ind w:left="2340" w:hanging="420"/>
      </w:pPr>
    </w:lvl>
    <w:lvl w:ilvl="2">
      <w:start w:val="1"/>
      <w:numFmt w:val="lowerRoman"/>
      <w:lvlText w:val="%3."/>
      <w:lvlJc w:val="right"/>
      <w:pPr>
        <w:ind w:left="2760" w:hanging="420"/>
      </w:pPr>
    </w:lvl>
    <w:lvl w:ilvl="3">
      <w:start w:val="1"/>
      <w:numFmt w:val="decimal"/>
      <w:lvlText w:val="%4."/>
      <w:lvlJc w:val="left"/>
      <w:pPr>
        <w:ind w:left="3180" w:hanging="420"/>
      </w:pPr>
    </w:lvl>
    <w:lvl w:ilvl="4">
      <w:start w:val="1"/>
      <w:numFmt w:val="lowerLetter"/>
      <w:lvlText w:val="%5)"/>
      <w:lvlJc w:val="left"/>
      <w:pPr>
        <w:ind w:left="3600" w:hanging="420"/>
      </w:pPr>
    </w:lvl>
    <w:lvl w:ilvl="5">
      <w:start w:val="1"/>
      <w:numFmt w:val="lowerRoman"/>
      <w:lvlText w:val="%6."/>
      <w:lvlJc w:val="right"/>
      <w:pPr>
        <w:ind w:left="4020" w:hanging="420"/>
      </w:pPr>
    </w:lvl>
    <w:lvl w:ilvl="6">
      <w:start w:val="1"/>
      <w:numFmt w:val="decimal"/>
      <w:lvlText w:val="%7."/>
      <w:lvlJc w:val="left"/>
      <w:pPr>
        <w:ind w:left="4440" w:hanging="420"/>
      </w:pPr>
    </w:lvl>
    <w:lvl w:ilvl="7">
      <w:start w:val="1"/>
      <w:numFmt w:val="lowerLetter"/>
      <w:lvlText w:val="%8)"/>
      <w:lvlJc w:val="left"/>
      <w:pPr>
        <w:ind w:left="4860" w:hanging="420"/>
      </w:pPr>
    </w:lvl>
    <w:lvl w:ilvl="8">
      <w:start w:val="1"/>
      <w:numFmt w:val="lowerRoman"/>
      <w:lvlText w:val="%9."/>
      <w:lvlJc w:val="right"/>
      <w:pPr>
        <w:ind w:left="5280" w:hanging="420"/>
      </w:pPr>
    </w:lvl>
  </w:abstractNum>
  <w:abstractNum w:abstractNumId="21">
    <w:nsid w:val="0CEA297C"/>
    <w:multiLevelType w:val="multilevel"/>
    <w:tmpl w:val="0CEA297C"/>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22">
    <w:nsid w:val="0D4257AD"/>
    <w:multiLevelType w:val="multilevel"/>
    <w:tmpl w:val="0D4257AD"/>
    <w:lvl w:ilvl="0">
      <w:start w:val="1"/>
      <w:numFmt w:val="bullet"/>
      <w:lvlText w:val=""/>
      <w:lvlJc w:val="left"/>
      <w:pPr>
        <w:ind w:left="2520" w:hanging="420"/>
      </w:pPr>
      <w:rPr>
        <w:rFonts w:ascii="Wingdings" w:hAnsi="Wingdings" w:hint="default"/>
      </w:rPr>
    </w:lvl>
    <w:lvl w:ilvl="1">
      <w:start w:val="1"/>
      <w:numFmt w:val="bullet"/>
      <w:lvlText w:val=""/>
      <w:lvlJc w:val="left"/>
      <w:pPr>
        <w:ind w:left="2940" w:hanging="420"/>
      </w:pPr>
      <w:rPr>
        <w:rFonts w:ascii="Wingdings" w:hAnsi="Wingdings" w:hint="default"/>
      </w:rPr>
    </w:lvl>
    <w:lvl w:ilvl="2">
      <w:start w:val="1"/>
      <w:numFmt w:val="bullet"/>
      <w:lvlText w:val=""/>
      <w:lvlJc w:val="left"/>
      <w:pPr>
        <w:ind w:left="3360" w:hanging="420"/>
      </w:pPr>
      <w:rPr>
        <w:rFonts w:ascii="Wingdings" w:hAnsi="Wingdings" w:hint="default"/>
      </w:rPr>
    </w:lvl>
    <w:lvl w:ilvl="3">
      <w:start w:val="1"/>
      <w:numFmt w:val="bullet"/>
      <w:lvlText w:val=""/>
      <w:lvlJc w:val="left"/>
      <w:pPr>
        <w:ind w:left="3780" w:hanging="420"/>
      </w:pPr>
      <w:rPr>
        <w:rFonts w:ascii="Wingdings" w:hAnsi="Wingdings" w:hint="default"/>
      </w:rPr>
    </w:lvl>
    <w:lvl w:ilvl="4">
      <w:start w:val="1"/>
      <w:numFmt w:val="bullet"/>
      <w:lvlText w:val=""/>
      <w:lvlJc w:val="left"/>
      <w:pPr>
        <w:ind w:left="4200" w:hanging="420"/>
      </w:pPr>
      <w:rPr>
        <w:rFonts w:ascii="Wingdings" w:hAnsi="Wingdings" w:hint="default"/>
      </w:rPr>
    </w:lvl>
    <w:lvl w:ilvl="5">
      <w:start w:val="1"/>
      <w:numFmt w:val="bullet"/>
      <w:lvlText w:val=""/>
      <w:lvlJc w:val="left"/>
      <w:pPr>
        <w:ind w:left="4620" w:hanging="420"/>
      </w:pPr>
      <w:rPr>
        <w:rFonts w:ascii="Wingdings" w:hAnsi="Wingdings" w:hint="default"/>
      </w:rPr>
    </w:lvl>
    <w:lvl w:ilvl="6">
      <w:start w:val="1"/>
      <w:numFmt w:val="bullet"/>
      <w:lvlText w:val=""/>
      <w:lvlJc w:val="left"/>
      <w:pPr>
        <w:ind w:left="5040" w:hanging="420"/>
      </w:pPr>
      <w:rPr>
        <w:rFonts w:ascii="Wingdings" w:hAnsi="Wingdings" w:hint="default"/>
      </w:rPr>
    </w:lvl>
    <w:lvl w:ilvl="7">
      <w:start w:val="1"/>
      <w:numFmt w:val="bullet"/>
      <w:lvlText w:val=""/>
      <w:lvlJc w:val="left"/>
      <w:pPr>
        <w:ind w:left="5460" w:hanging="420"/>
      </w:pPr>
      <w:rPr>
        <w:rFonts w:ascii="Wingdings" w:hAnsi="Wingdings" w:hint="default"/>
      </w:rPr>
    </w:lvl>
    <w:lvl w:ilvl="8">
      <w:start w:val="1"/>
      <w:numFmt w:val="bullet"/>
      <w:lvlText w:val=""/>
      <w:lvlJc w:val="left"/>
      <w:pPr>
        <w:ind w:left="5880" w:hanging="420"/>
      </w:pPr>
      <w:rPr>
        <w:rFonts w:ascii="Wingdings" w:hAnsi="Wingdings" w:hint="default"/>
      </w:rPr>
    </w:lvl>
  </w:abstractNum>
  <w:abstractNum w:abstractNumId="23">
    <w:nsid w:val="0E1A347B"/>
    <w:multiLevelType w:val="multilevel"/>
    <w:tmpl w:val="0E1A347B"/>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24">
    <w:nsid w:val="10B92E1F"/>
    <w:multiLevelType w:val="multilevel"/>
    <w:tmpl w:val="10B92E1F"/>
    <w:lvl w:ilvl="0">
      <w:start w:val="1"/>
      <w:numFmt w:val="decimal"/>
      <w:lvlText w:val="%1)"/>
      <w:lvlJc w:val="left"/>
      <w:pPr>
        <w:tabs>
          <w:tab w:val="left" w:pos="2880"/>
        </w:tabs>
        <w:ind w:left="2880" w:hanging="360"/>
      </w:pPr>
      <w:rPr>
        <w:rFonts w:hint="default"/>
      </w:rPr>
    </w:lvl>
    <w:lvl w:ilvl="1">
      <w:start w:val="1"/>
      <w:numFmt w:val="upperLetter"/>
      <w:pStyle w:val="Spec8-Normal"/>
      <w:lvlText w:val="%2)"/>
      <w:lvlJc w:val="left"/>
      <w:pPr>
        <w:tabs>
          <w:tab w:val="left" w:pos="2160"/>
        </w:tabs>
        <w:ind w:left="2160" w:hanging="720"/>
      </w:pPr>
      <w:rPr>
        <w:rFonts w:ascii="Times New Roman" w:eastAsia="宋体" w:hAnsi="Times New Roman" w:cs="Times New Roman" w:hint="default"/>
        <w:sz w:val="24"/>
      </w:rPr>
    </w:lvl>
    <w:lvl w:ilvl="2">
      <w:start w:val="1"/>
      <w:numFmt w:val="bullet"/>
      <w:lvlText w:val=""/>
      <w:lvlJc w:val="left"/>
      <w:pPr>
        <w:tabs>
          <w:tab w:val="left" w:pos="2700"/>
        </w:tabs>
        <w:ind w:left="2700" w:hanging="360"/>
      </w:pPr>
      <w:rPr>
        <w:rFonts w:ascii="Symbol" w:hAnsi="Symbol" w:hint="default"/>
      </w:rPr>
    </w:lvl>
    <w:lvl w:ilvl="3">
      <w:start w:val="1"/>
      <w:numFmt w:val="decimal"/>
      <w:lvlText w:val="%4)"/>
      <w:lvlJc w:val="left"/>
      <w:pPr>
        <w:tabs>
          <w:tab w:val="left" w:pos="3240"/>
        </w:tabs>
        <w:ind w:left="3240" w:hanging="360"/>
      </w:pPr>
      <w:rPr>
        <w:rFonts w:hint="default"/>
      </w:r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5">
    <w:nsid w:val="116E5CC8"/>
    <w:multiLevelType w:val="multilevel"/>
    <w:tmpl w:val="116E5CC8"/>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26">
    <w:nsid w:val="12C24DC2"/>
    <w:multiLevelType w:val="multilevel"/>
    <w:tmpl w:val="12C24DC2"/>
    <w:lvl w:ilvl="0">
      <w:start w:val="1"/>
      <w:numFmt w:val="lowerLetter"/>
      <w:lvlText w:val="%1)"/>
      <w:lvlJc w:val="left"/>
      <w:pPr>
        <w:ind w:left="2122" w:hanging="420"/>
      </w:pPr>
      <w:rPr>
        <w:rFonts w:ascii="Times New Roman" w:hAnsi="Times New Roman" w:cs="Times New Roman" w:hint="default"/>
        <w:sz w:val="21"/>
        <w:szCs w:val="21"/>
      </w:rPr>
    </w:lvl>
    <w:lvl w:ilvl="1">
      <w:start w:val="1"/>
      <w:numFmt w:val="lowerLetter"/>
      <w:lvlText w:val="%2)"/>
      <w:lvlJc w:val="left"/>
      <w:pPr>
        <w:ind w:left="2542" w:hanging="420"/>
      </w:pPr>
    </w:lvl>
    <w:lvl w:ilvl="2">
      <w:start w:val="1"/>
      <w:numFmt w:val="lowerRoman"/>
      <w:lvlText w:val="%3."/>
      <w:lvlJc w:val="right"/>
      <w:pPr>
        <w:ind w:left="2962" w:hanging="420"/>
      </w:pPr>
    </w:lvl>
    <w:lvl w:ilvl="3">
      <w:start w:val="1"/>
      <w:numFmt w:val="decimal"/>
      <w:lvlText w:val="%4."/>
      <w:lvlJc w:val="left"/>
      <w:pPr>
        <w:ind w:left="3382" w:hanging="420"/>
      </w:pPr>
    </w:lvl>
    <w:lvl w:ilvl="4">
      <w:start w:val="1"/>
      <w:numFmt w:val="lowerLetter"/>
      <w:lvlText w:val="%5)"/>
      <w:lvlJc w:val="left"/>
      <w:pPr>
        <w:ind w:left="3802" w:hanging="420"/>
      </w:pPr>
    </w:lvl>
    <w:lvl w:ilvl="5">
      <w:start w:val="1"/>
      <w:numFmt w:val="lowerRoman"/>
      <w:lvlText w:val="%6."/>
      <w:lvlJc w:val="right"/>
      <w:pPr>
        <w:ind w:left="4222" w:hanging="420"/>
      </w:pPr>
    </w:lvl>
    <w:lvl w:ilvl="6">
      <w:start w:val="1"/>
      <w:numFmt w:val="decimal"/>
      <w:lvlText w:val="%7."/>
      <w:lvlJc w:val="left"/>
      <w:pPr>
        <w:ind w:left="4642" w:hanging="420"/>
      </w:pPr>
    </w:lvl>
    <w:lvl w:ilvl="7">
      <w:start w:val="1"/>
      <w:numFmt w:val="lowerLetter"/>
      <w:lvlText w:val="%8)"/>
      <w:lvlJc w:val="left"/>
      <w:pPr>
        <w:ind w:left="5062" w:hanging="420"/>
      </w:pPr>
    </w:lvl>
    <w:lvl w:ilvl="8">
      <w:start w:val="1"/>
      <w:numFmt w:val="lowerRoman"/>
      <w:lvlText w:val="%9."/>
      <w:lvlJc w:val="right"/>
      <w:pPr>
        <w:ind w:left="5482" w:hanging="420"/>
      </w:pPr>
    </w:lvl>
  </w:abstractNum>
  <w:abstractNum w:abstractNumId="27">
    <w:nsid w:val="13A37C82"/>
    <w:multiLevelType w:val="multilevel"/>
    <w:tmpl w:val="13A37C82"/>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8">
    <w:nsid w:val="14D3199E"/>
    <w:multiLevelType w:val="multilevel"/>
    <w:tmpl w:val="14D3199E"/>
    <w:lvl w:ilvl="0">
      <w:start w:val="1"/>
      <w:numFmt w:val="decimal"/>
      <w:lvlText w:val="%1)"/>
      <w:lvlJc w:val="left"/>
      <w:pPr>
        <w:ind w:left="1555" w:hanging="420"/>
      </w:pPr>
    </w:lvl>
    <w:lvl w:ilvl="1">
      <w:start w:val="1"/>
      <w:numFmt w:val="lowerLetter"/>
      <w:lvlText w:val="%2)"/>
      <w:lvlJc w:val="left"/>
      <w:pPr>
        <w:ind w:left="1833" w:hanging="420"/>
      </w:pPr>
    </w:lvl>
    <w:lvl w:ilvl="2">
      <w:start w:val="1"/>
      <w:numFmt w:val="lowerRoman"/>
      <w:lvlText w:val="%3."/>
      <w:lvlJc w:val="right"/>
      <w:pPr>
        <w:ind w:left="2253" w:hanging="420"/>
      </w:p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abstractNum w:abstractNumId="29">
    <w:nsid w:val="160C6C86"/>
    <w:multiLevelType w:val="multilevel"/>
    <w:tmpl w:val="160C6C86"/>
    <w:lvl w:ilvl="0">
      <w:start w:val="1"/>
      <w:numFmt w:val="decimal"/>
      <w:lvlText w:val="%1)"/>
      <w:lvlJc w:val="left"/>
      <w:pPr>
        <w:tabs>
          <w:tab w:val="left" w:pos="420"/>
        </w:tabs>
        <w:ind w:left="420" w:hanging="42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0">
    <w:nsid w:val="179F5D39"/>
    <w:multiLevelType w:val="multilevel"/>
    <w:tmpl w:val="179F5D39"/>
    <w:lvl w:ilvl="0">
      <w:start w:val="1"/>
      <w:numFmt w:val="decimal"/>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cs="Times New Roman" w:hint="default"/>
        <w:i w:val="0"/>
        <w:iCs w:val="0"/>
        <w:caps w:val="0"/>
        <w:smallCaps w:val="0"/>
        <w:strike w:val="0"/>
        <w:dstrike w:val="0"/>
        <w:vanish w:val="0"/>
        <w:color w:val="00000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2">
      <w:start w:val="1"/>
      <w:numFmt w:val="decimal"/>
      <w:pStyle w:val="ReportLevel3"/>
      <w:lvlText w:val="%1.%2.%3"/>
      <w:lvlJc w:val="left"/>
      <w:pPr>
        <w:tabs>
          <w:tab w:val="left" w:pos="1077"/>
        </w:tabs>
        <w:ind w:left="1077" w:hanging="1077"/>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77" w:hanging="1077"/>
      </w:pPr>
      <w:rPr>
        <w:rFonts w:ascii="Times New Roman" w:hAnsi="Times New Roman" w:cs="Times New Roman" w:hint="default"/>
        <w:b w:val="0"/>
        <w:i w:val="0"/>
        <w:color w:val="auto"/>
        <w:sz w:val="21"/>
        <w:szCs w:val="21"/>
      </w:rPr>
    </w:lvl>
    <w:lvl w:ilvl="4">
      <w:start w:val="1"/>
      <w:numFmt w:val="decimal"/>
      <w:lvlText w:val="%1.%2.%3.%4.%5."/>
      <w:lvlJc w:val="left"/>
      <w:pPr>
        <w:tabs>
          <w:tab w:val="left" w:pos="720"/>
        </w:tabs>
        <w:ind w:left="720" w:hanging="720"/>
      </w:pPr>
      <w:rPr>
        <w:rFonts w:ascii="Times New Roman" w:hAnsi="Times New Roman" w:hint="default"/>
      </w:rPr>
    </w:lvl>
    <w:lvl w:ilvl="5">
      <w:start w:val="1"/>
      <w:numFmt w:val="decimal"/>
      <w:lvlText w:val="%1.%2.%3.%4.%5.%6."/>
      <w:lvlJc w:val="left"/>
      <w:pPr>
        <w:tabs>
          <w:tab w:val="left" w:pos="720"/>
        </w:tabs>
        <w:ind w:left="720" w:hanging="720"/>
      </w:pPr>
      <w:rPr>
        <w:rFonts w:hint="default"/>
      </w:rPr>
    </w:lvl>
    <w:lvl w:ilvl="6">
      <w:start w:val="1"/>
      <w:numFmt w:val="decimal"/>
      <w:lvlText w:val="%1.%2.%3.%4.%5.%6.%7."/>
      <w:lvlJc w:val="left"/>
      <w:pPr>
        <w:tabs>
          <w:tab w:val="left" w:pos="720"/>
        </w:tabs>
        <w:ind w:left="720" w:hanging="720"/>
      </w:pPr>
      <w:rPr>
        <w:rFonts w:hint="default"/>
      </w:rPr>
    </w:lvl>
    <w:lvl w:ilvl="7">
      <w:start w:val="1"/>
      <w:numFmt w:val="decimal"/>
      <w:lvlText w:val="%1.%2.%3.%4.%5.%6.%7.%8."/>
      <w:lvlJc w:val="left"/>
      <w:pPr>
        <w:tabs>
          <w:tab w:val="left" w:pos="720"/>
        </w:tabs>
        <w:ind w:left="720" w:hanging="720"/>
      </w:pPr>
      <w:rPr>
        <w:rFonts w:hint="default"/>
      </w:rPr>
    </w:lvl>
    <w:lvl w:ilvl="8">
      <w:start w:val="1"/>
      <w:numFmt w:val="decimal"/>
      <w:lvlText w:val="%1.%2.%3.%4.%5.%6.%7.%8.%9."/>
      <w:lvlJc w:val="left"/>
      <w:pPr>
        <w:tabs>
          <w:tab w:val="left" w:pos="720"/>
        </w:tabs>
        <w:ind w:left="720" w:hanging="720"/>
      </w:pPr>
      <w:rPr>
        <w:rFonts w:hint="default"/>
      </w:rPr>
    </w:lvl>
  </w:abstractNum>
  <w:abstractNum w:abstractNumId="31">
    <w:nsid w:val="180952BD"/>
    <w:multiLevelType w:val="multilevel"/>
    <w:tmpl w:val="180952BD"/>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32">
    <w:nsid w:val="18D01551"/>
    <w:multiLevelType w:val="multilevel"/>
    <w:tmpl w:val="18D01551"/>
    <w:lvl w:ilvl="0">
      <w:start w:val="1"/>
      <w:numFmt w:val="decimal"/>
      <w:pStyle w:val="ReportList2"/>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1260"/>
        </w:tabs>
        <w:ind w:left="1260" w:hanging="360"/>
      </w:pPr>
    </w:lvl>
    <w:lvl w:ilvl="2">
      <w:start w:val="1"/>
      <w:numFmt w:val="lowerRoman"/>
      <w:lvlText w:val="%3."/>
      <w:lvlJc w:val="right"/>
      <w:pPr>
        <w:tabs>
          <w:tab w:val="left" w:pos="1980"/>
        </w:tabs>
        <w:ind w:left="1980" w:hanging="180"/>
      </w:pPr>
    </w:lvl>
    <w:lvl w:ilvl="3">
      <w:start w:val="1"/>
      <w:numFmt w:val="decimal"/>
      <w:lvlText w:val="%4."/>
      <w:lvlJc w:val="left"/>
      <w:pPr>
        <w:tabs>
          <w:tab w:val="left" w:pos="2700"/>
        </w:tabs>
        <w:ind w:left="2700" w:hanging="360"/>
      </w:pPr>
    </w:lvl>
    <w:lvl w:ilvl="4">
      <w:start w:val="1"/>
      <w:numFmt w:val="lowerLetter"/>
      <w:lvlText w:val="%5."/>
      <w:lvlJc w:val="left"/>
      <w:pPr>
        <w:tabs>
          <w:tab w:val="left" w:pos="3420"/>
        </w:tabs>
        <w:ind w:left="3420" w:hanging="360"/>
      </w:pPr>
    </w:lvl>
    <w:lvl w:ilvl="5">
      <w:start w:val="1"/>
      <w:numFmt w:val="lowerRoman"/>
      <w:lvlText w:val="%6."/>
      <w:lvlJc w:val="right"/>
      <w:pPr>
        <w:tabs>
          <w:tab w:val="left" w:pos="4140"/>
        </w:tabs>
        <w:ind w:left="4140" w:hanging="180"/>
      </w:pPr>
    </w:lvl>
    <w:lvl w:ilvl="6">
      <w:start w:val="1"/>
      <w:numFmt w:val="decimal"/>
      <w:lvlText w:val="%7."/>
      <w:lvlJc w:val="left"/>
      <w:pPr>
        <w:tabs>
          <w:tab w:val="left" w:pos="4860"/>
        </w:tabs>
        <w:ind w:left="4860" w:hanging="360"/>
      </w:pPr>
    </w:lvl>
    <w:lvl w:ilvl="7">
      <w:start w:val="1"/>
      <w:numFmt w:val="lowerLetter"/>
      <w:lvlText w:val="%8."/>
      <w:lvlJc w:val="left"/>
      <w:pPr>
        <w:tabs>
          <w:tab w:val="left" w:pos="5580"/>
        </w:tabs>
        <w:ind w:left="5580" w:hanging="360"/>
      </w:pPr>
    </w:lvl>
    <w:lvl w:ilvl="8">
      <w:start w:val="1"/>
      <w:numFmt w:val="lowerRoman"/>
      <w:lvlText w:val="%9."/>
      <w:lvlJc w:val="right"/>
      <w:pPr>
        <w:tabs>
          <w:tab w:val="left" w:pos="6300"/>
        </w:tabs>
        <w:ind w:left="6300" w:hanging="180"/>
      </w:pPr>
    </w:lvl>
  </w:abstractNum>
  <w:abstractNum w:abstractNumId="33">
    <w:nsid w:val="1A2AC339"/>
    <w:multiLevelType w:val="multilevel"/>
    <w:tmpl w:val="1A2AC339"/>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4">
    <w:nsid w:val="1A7E7DFE"/>
    <w:multiLevelType w:val="multilevel"/>
    <w:tmpl w:val="1A7E7DFE"/>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5">
    <w:nsid w:val="1D8C4C1E"/>
    <w:multiLevelType w:val="multilevel"/>
    <w:tmpl w:val="1D8C4C1E"/>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6">
    <w:nsid w:val="1DE91935"/>
    <w:multiLevelType w:val="multilevel"/>
    <w:tmpl w:val="1DE91935"/>
    <w:lvl w:ilvl="0">
      <w:start w:val="1"/>
      <w:numFmt w:val="bullet"/>
      <w:lvlText w:val=""/>
      <w:lvlJc w:val="left"/>
      <w:pPr>
        <w:ind w:left="2520" w:hanging="420"/>
      </w:pPr>
      <w:rPr>
        <w:rFonts w:ascii="Wingdings" w:hAnsi="Wingdings" w:hint="default"/>
      </w:rPr>
    </w:lvl>
    <w:lvl w:ilvl="1">
      <w:start w:val="1"/>
      <w:numFmt w:val="bullet"/>
      <w:lvlText w:val=""/>
      <w:lvlJc w:val="left"/>
      <w:pPr>
        <w:ind w:left="2940" w:hanging="420"/>
      </w:pPr>
      <w:rPr>
        <w:rFonts w:ascii="Wingdings" w:hAnsi="Wingdings" w:hint="default"/>
      </w:rPr>
    </w:lvl>
    <w:lvl w:ilvl="2">
      <w:start w:val="1"/>
      <w:numFmt w:val="bullet"/>
      <w:lvlText w:val=""/>
      <w:lvlJc w:val="left"/>
      <w:pPr>
        <w:ind w:left="3360" w:hanging="420"/>
      </w:pPr>
      <w:rPr>
        <w:rFonts w:ascii="Wingdings" w:hAnsi="Wingdings" w:hint="default"/>
      </w:rPr>
    </w:lvl>
    <w:lvl w:ilvl="3">
      <w:start w:val="1"/>
      <w:numFmt w:val="bullet"/>
      <w:lvlText w:val=""/>
      <w:lvlJc w:val="left"/>
      <w:pPr>
        <w:ind w:left="3780" w:hanging="420"/>
      </w:pPr>
      <w:rPr>
        <w:rFonts w:ascii="Wingdings" w:hAnsi="Wingdings" w:hint="default"/>
      </w:rPr>
    </w:lvl>
    <w:lvl w:ilvl="4">
      <w:start w:val="1"/>
      <w:numFmt w:val="bullet"/>
      <w:lvlText w:val=""/>
      <w:lvlJc w:val="left"/>
      <w:pPr>
        <w:ind w:left="4200" w:hanging="420"/>
      </w:pPr>
      <w:rPr>
        <w:rFonts w:ascii="Wingdings" w:hAnsi="Wingdings" w:hint="default"/>
      </w:rPr>
    </w:lvl>
    <w:lvl w:ilvl="5">
      <w:start w:val="1"/>
      <w:numFmt w:val="bullet"/>
      <w:lvlText w:val=""/>
      <w:lvlJc w:val="left"/>
      <w:pPr>
        <w:ind w:left="4620" w:hanging="420"/>
      </w:pPr>
      <w:rPr>
        <w:rFonts w:ascii="Wingdings" w:hAnsi="Wingdings" w:hint="default"/>
      </w:rPr>
    </w:lvl>
    <w:lvl w:ilvl="6">
      <w:start w:val="1"/>
      <w:numFmt w:val="bullet"/>
      <w:lvlText w:val=""/>
      <w:lvlJc w:val="left"/>
      <w:pPr>
        <w:ind w:left="5040" w:hanging="420"/>
      </w:pPr>
      <w:rPr>
        <w:rFonts w:ascii="Wingdings" w:hAnsi="Wingdings" w:hint="default"/>
      </w:rPr>
    </w:lvl>
    <w:lvl w:ilvl="7">
      <w:start w:val="1"/>
      <w:numFmt w:val="bullet"/>
      <w:lvlText w:val=""/>
      <w:lvlJc w:val="left"/>
      <w:pPr>
        <w:ind w:left="5460" w:hanging="420"/>
      </w:pPr>
      <w:rPr>
        <w:rFonts w:ascii="Wingdings" w:hAnsi="Wingdings" w:hint="default"/>
      </w:rPr>
    </w:lvl>
    <w:lvl w:ilvl="8">
      <w:start w:val="1"/>
      <w:numFmt w:val="bullet"/>
      <w:lvlText w:val=""/>
      <w:lvlJc w:val="left"/>
      <w:pPr>
        <w:ind w:left="5880" w:hanging="420"/>
      </w:pPr>
      <w:rPr>
        <w:rFonts w:ascii="Wingdings" w:hAnsi="Wingdings" w:hint="default"/>
      </w:rPr>
    </w:lvl>
  </w:abstractNum>
  <w:abstractNum w:abstractNumId="37">
    <w:nsid w:val="1F1222FF"/>
    <w:multiLevelType w:val="multilevel"/>
    <w:tmpl w:val="1F1222FF"/>
    <w:lvl w:ilvl="0">
      <w:start w:val="1"/>
      <w:numFmt w:val="lowerLetter"/>
      <w:lvlText w:val="%1)"/>
      <w:lvlJc w:val="left"/>
      <w:pPr>
        <w:ind w:left="1920" w:hanging="420"/>
      </w:pPr>
    </w:lvl>
    <w:lvl w:ilvl="1">
      <w:start w:val="1"/>
      <w:numFmt w:val="lowerLetter"/>
      <w:lvlText w:val="%2)"/>
      <w:lvlJc w:val="left"/>
      <w:pPr>
        <w:ind w:left="2340" w:hanging="420"/>
      </w:pPr>
    </w:lvl>
    <w:lvl w:ilvl="2">
      <w:start w:val="1"/>
      <w:numFmt w:val="lowerRoman"/>
      <w:lvlText w:val="%3."/>
      <w:lvlJc w:val="right"/>
      <w:pPr>
        <w:ind w:left="2760" w:hanging="420"/>
      </w:pPr>
    </w:lvl>
    <w:lvl w:ilvl="3">
      <w:start w:val="1"/>
      <w:numFmt w:val="decimal"/>
      <w:lvlText w:val="%4."/>
      <w:lvlJc w:val="left"/>
      <w:pPr>
        <w:ind w:left="3180" w:hanging="420"/>
      </w:pPr>
    </w:lvl>
    <w:lvl w:ilvl="4">
      <w:start w:val="1"/>
      <w:numFmt w:val="lowerLetter"/>
      <w:lvlText w:val="%5)"/>
      <w:lvlJc w:val="left"/>
      <w:pPr>
        <w:ind w:left="3600" w:hanging="420"/>
      </w:pPr>
    </w:lvl>
    <w:lvl w:ilvl="5">
      <w:start w:val="1"/>
      <w:numFmt w:val="lowerRoman"/>
      <w:lvlText w:val="%6."/>
      <w:lvlJc w:val="right"/>
      <w:pPr>
        <w:ind w:left="4020" w:hanging="420"/>
      </w:pPr>
    </w:lvl>
    <w:lvl w:ilvl="6">
      <w:start w:val="1"/>
      <w:numFmt w:val="decimal"/>
      <w:lvlText w:val="%7."/>
      <w:lvlJc w:val="left"/>
      <w:pPr>
        <w:ind w:left="4440" w:hanging="420"/>
      </w:pPr>
    </w:lvl>
    <w:lvl w:ilvl="7">
      <w:start w:val="1"/>
      <w:numFmt w:val="lowerLetter"/>
      <w:lvlText w:val="%8)"/>
      <w:lvlJc w:val="left"/>
      <w:pPr>
        <w:ind w:left="4860" w:hanging="420"/>
      </w:pPr>
    </w:lvl>
    <w:lvl w:ilvl="8">
      <w:start w:val="1"/>
      <w:numFmt w:val="lowerRoman"/>
      <w:lvlText w:val="%9."/>
      <w:lvlJc w:val="right"/>
      <w:pPr>
        <w:ind w:left="5280" w:hanging="420"/>
      </w:pPr>
    </w:lvl>
  </w:abstractNum>
  <w:abstractNum w:abstractNumId="38">
    <w:nsid w:val="1FAD7381"/>
    <w:multiLevelType w:val="multilevel"/>
    <w:tmpl w:val="1FAD7381"/>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39">
    <w:nsid w:val="205E7FC4"/>
    <w:multiLevelType w:val="multilevel"/>
    <w:tmpl w:val="205E7FC4"/>
    <w:lvl w:ilvl="0">
      <w:start w:val="1"/>
      <w:numFmt w:val="lowerLetter"/>
      <w:lvlText w:val="%1)"/>
      <w:lvlJc w:val="left"/>
      <w:pPr>
        <w:ind w:left="1920" w:hanging="420"/>
      </w:pPr>
    </w:lvl>
    <w:lvl w:ilvl="1">
      <w:start w:val="1"/>
      <w:numFmt w:val="lowerLetter"/>
      <w:lvlText w:val="%2)"/>
      <w:lvlJc w:val="left"/>
      <w:pPr>
        <w:ind w:left="2340" w:hanging="420"/>
      </w:pPr>
    </w:lvl>
    <w:lvl w:ilvl="2">
      <w:start w:val="1"/>
      <w:numFmt w:val="lowerRoman"/>
      <w:lvlText w:val="%3."/>
      <w:lvlJc w:val="right"/>
      <w:pPr>
        <w:ind w:left="2760" w:hanging="420"/>
      </w:pPr>
    </w:lvl>
    <w:lvl w:ilvl="3">
      <w:start w:val="1"/>
      <w:numFmt w:val="decimal"/>
      <w:lvlText w:val="%4."/>
      <w:lvlJc w:val="left"/>
      <w:pPr>
        <w:ind w:left="3180" w:hanging="420"/>
      </w:pPr>
    </w:lvl>
    <w:lvl w:ilvl="4">
      <w:start w:val="1"/>
      <w:numFmt w:val="lowerLetter"/>
      <w:lvlText w:val="%5)"/>
      <w:lvlJc w:val="left"/>
      <w:pPr>
        <w:ind w:left="3600" w:hanging="420"/>
      </w:pPr>
    </w:lvl>
    <w:lvl w:ilvl="5">
      <w:start w:val="1"/>
      <w:numFmt w:val="lowerRoman"/>
      <w:lvlText w:val="%6."/>
      <w:lvlJc w:val="right"/>
      <w:pPr>
        <w:ind w:left="4020" w:hanging="420"/>
      </w:pPr>
    </w:lvl>
    <w:lvl w:ilvl="6">
      <w:start w:val="1"/>
      <w:numFmt w:val="decimal"/>
      <w:lvlText w:val="%7."/>
      <w:lvlJc w:val="left"/>
      <w:pPr>
        <w:ind w:left="4440" w:hanging="420"/>
      </w:pPr>
    </w:lvl>
    <w:lvl w:ilvl="7">
      <w:start w:val="1"/>
      <w:numFmt w:val="lowerLetter"/>
      <w:lvlText w:val="%8)"/>
      <w:lvlJc w:val="left"/>
      <w:pPr>
        <w:ind w:left="4860" w:hanging="420"/>
      </w:pPr>
    </w:lvl>
    <w:lvl w:ilvl="8">
      <w:start w:val="1"/>
      <w:numFmt w:val="lowerRoman"/>
      <w:lvlText w:val="%9."/>
      <w:lvlJc w:val="right"/>
      <w:pPr>
        <w:ind w:left="5280" w:hanging="420"/>
      </w:pPr>
    </w:lvl>
  </w:abstractNum>
  <w:abstractNum w:abstractNumId="40">
    <w:nsid w:val="20CE2E96"/>
    <w:multiLevelType w:val="multilevel"/>
    <w:tmpl w:val="20CE2E96"/>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267"/>
        </w:tabs>
        <w:ind w:left="1267" w:hanging="360"/>
      </w:pPr>
    </w:lvl>
    <w:lvl w:ilvl="2">
      <w:start w:val="1"/>
      <w:numFmt w:val="decimal"/>
      <w:pStyle w:val="Level10"/>
      <w:lvlText w:val="(%3)"/>
      <w:lvlJc w:val="left"/>
      <w:pPr>
        <w:tabs>
          <w:tab w:val="left" w:pos="2167"/>
        </w:tabs>
        <w:ind w:left="2167" w:hanging="360"/>
      </w:pPr>
      <w:rPr>
        <w:rFonts w:hint="default"/>
      </w:rPr>
    </w:lvl>
    <w:lvl w:ilvl="3">
      <w:start w:val="1"/>
      <w:numFmt w:val="decimal"/>
      <w:lvlText w:val="%4."/>
      <w:lvlJc w:val="left"/>
      <w:pPr>
        <w:tabs>
          <w:tab w:val="left" w:pos="2707"/>
        </w:tabs>
        <w:ind w:left="2707" w:hanging="360"/>
      </w:pPr>
    </w:lvl>
    <w:lvl w:ilvl="4">
      <w:start w:val="1"/>
      <w:numFmt w:val="lowerLetter"/>
      <w:lvlText w:val="%5."/>
      <w:lvlJc w:val="left"/>
      <w:pPr>
        <w:tabs>
          <w:tab w:val="left" w:pos="3427"/>
        </w:tabs>
        <w:ind w:left="3427" w:hanging="360"/>
      </w:pPr>
    </w:lvl>
    <w:lvl w:ilvl="5">
      <w:start w:val="1"/>
      <w:numFmt w:val="lowerRoman"/>
      <w:lvlText w:val="%6."/>
      <w:lvlJc w:val="right"/>
      <w:pPr>
        <w:tabs>
          <w:tab w:val="left" w:pos="4147"/>
        </w:tabs>
        <w:ind w:left="4147" w:hanging="180"/>
      </w:pPr>
    </w:lvl>
    <w:lvl w:ilvl="6">
      <w:start w:val="1"/>
      <w:numFmt w:val="decimal"/>
      <w:lvlText w:val="%7."/>
      <w:lvlJc w:val="left"/>
      <w:pPr>
        <w:tabs>
          <w:tab w:val="left" w:pos="4867"/>
        </w:tabs>
        <w:ind w:left="4867" w:hanging="360"/>
      </w:pPr>
    </w:lvl>
    <w:lvl w:ilvl="7">
      <w:start w:val="1"/>
      <w:numFmt w:val="lowerLetter"/>
      <w:lvlText w:val="%8."/>
      <w:lvlJc w:val="left"/>
      <w:pPr>
        <w:tabs>
          <w:tab w:val="left" w:pos="5587"/>
        </w:tabs>
        <w:ind w:left="5587" w:hanging="360"/>
      </w:pPr>
    </w:lvl>
    <w:lvl w:ilvl="8">
      <w:start w:val="1"/>
      <w:numFmt w:val="lowerRoman"/>
      <w:lvlText w:val="%9."/>
      <w:lvlJc w:val="right"/>
      <w:pPr>
        <w:tabs>
          <w:tab w:val="left" w:pos="6307"/>
        </w:tabs>
        <w:ind w:left="6307" w:hanging="180"/>
      </w:pPr>
    </w:lvl>
  </w:abstractNum>
  <w:abstractNum w:abstractNumId="41">
    <w:nsid w:val="212A0DC9"/>
    <w:multiLevelType w:val="multilevel"/>
    <w:tmpl w:val="212A0DC9"/>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42">
    <w:nsid w:val="21CF461A"/>
    <w:multiLevelType w:val="multilevel"/>
    <w:tmpl w:val="21CF461A"/>
    <w:lvl w:ilvl="0">
      <w:start w:val="1"/>
      <w:numFmt w:val="decimal"/>
      <w:lvlText w:val="%1)"/>
      <w:lvlJc w:val="left"/>
      <w:pPr>
        <w:tabs>
          <w:tab w:val="left" w:pos="1656"/>
        </w:tabs>
        <w:ind w:left="1656" w:hanging="576"/>
      </w:pPr>
      <w:rPr>
        <w:rFonts w:hint="eastAsia"/>
      </w:rPr>
    </w:lvl>
    <w:lvl w:ilvl="1">
      <w:start w:val="1"/>
      <w:numFmt w:val="lowerLetter"/>
      <w:lvlText w:val="%2)"/>
      <w:lvlJc w:val="left"/>
      <w:pPr>
        <w:tabs>
          <w:tab w:val="left" w:pos="2160"/>
        </w:tabs>
        <w:ind w:left="2160" w:hanging="504"/>
      </w:pPr>
      <w:rPr>
        <w:rFonts w:hint="default"/>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3">
    <w:nsid w:val="227D5A75"/>
    <w:multiLevelType w:val="multilevel"/>
    <w:tmpl w:val="227D5A75"/>
    <w:lvl w:ilvl="0">
      <w:start w:val="1"/>
      <w:numFmt w:val="lowerLetter"/>
      <w:lvlText w:val="%1)"/>
      <w:lvlJc w:val="left"/>
      <w:pPr>
        <w:ind w:left="1920" w:hanging="420"/>
      </w:pPr>
    </w:lvl>
    <w:lvl w:ilvl="1">
      <w:start w:val="1"/>
      <w:numFmt w:val="lowerLetter"/>
      <w:lvlText w:val="%2)"/>
      <w:lvlJc w:val="left"/>
      <w:pPr>
        <w:ind w:left="2340" w:hanging="420"/>
      </w:pPr>
    </w:lvl>
    <w:lvl w:ilvl="2">
      <w:start w:val="1"/>
      <w:numFmt w:val="lowerRoman"/>
      <w:lvlText w:val="%3."/>
      <w:lvlJc w:val="right"/>
      <w:pPr>
        <w:ind w:left="2760" w:hanging="420"/>
      </w:pPr>
    </w:lvl>
    <w:lvl w:ilvl="3">
      <w:start w:val="1"/>
      <w:numFmt w:val="decimal"/>
      <w:lvlText w:val="%4."/>
      <w:lvlJc w:val="left"/>
      <w:pPr>
        <w:ind w:left="3180" w:hanging="420"/>
      </w:pPr>
    </w:lvl>
    <w:lvl w:ilvl="4">
      <w:start w:val="1"/>
      <w:numFmt w:val="lowerLetter"/>
      <w:lvlText w:val="%5)"/>
      <w:lvlJc w:val="left"/>
      <w:pPr>
        <w:ind w:left="3600" w:hanging="420"/>
      </w:pPr>
    </w:lvl>
    <w:lvl w:ilvl="5">
      <w:start w:val="1"/>
      <w:numFmt w:val="lowerRoman"/>
      <w:lvlText w:val="%6."/>
      <w:lvlJc w:val="right"/>
      <w:pPr>
        <w:ind w:left="4020" w:hanging="420"/>
      </w:pPr>
    </w:lvl>
    <w:lvl w:ilvl="6">
      <w:start w:val="1"/>
      <w:numFmt w:val="decimal"/>
      <w:lvlText w:val="%7."/>
      <w:lvlJc w:val="left"/>
      <w:pPr>
        <w:ind w:left="4440" w:hanging="420"/>
      </w:pPr>
    </w:lvl>
    <w:lvl w:ilvl="7">
      <w:start w:val="1"/>
      <w:numFmt w:val="lowerLetter"/>
      <w:lvlText w:val="%8)"/>
      <w:lvlJc w:val="left"/>
      <w:pPr>
        <w:ind w:left="4860" w:hanging="420"/>
      </w:pPr>
    </w:lvl>
    <w:lvl w:ilvl="8">
      <w:start w:val="1"/>
      <w:numFmt w:val="lowerRoman"/>
      <w:lvlText w:val="%9."/>
      <w:lvlJc w:val="right"/>
      <w:pPr>
        <w:ind w:left="5280" w:hanging="420"/>
      </w:pPr>
    </w:lvl>
  </w:abstractNum>
  <w:abstractNum w:abstractNumId="44">
    <w:nsid w:val="22CB6D86"/>
    <w:multiLevelType w:val="multilevel"/>
    <w:tmpl w:val="22CB6D86"/>
    <w:lvl w:ilvl="0">
      <w:start w:val="1"/>
      <w:numFmt w:val="decimal"/>
      <w:lvlText w:val="%1)"/>
      <w:lvlJc w:val="left"/>
      <w:pPr>
        <w:tabs>
          <w:tab w:val="left" w:pos="480"/>
        </w:tabs>
        <w:ind w:left="480" w:hanging="420"/>
      </w:pPr>
    </w:lvl>
    <w:lvl w:ilvl="1">
      <w:start w:val="1"/>
      <w:numFmt w:val="lowerLetter"/>
      <w:lvlText w:val="%2)"/>
      <w:lvlJc w:val="left"/>
      <w:pPr>
        <w:tabs>
          <w:tab w:val="left" w:pos="900"/>
        </w:tabs>
        <w:ind w:left="900" w:hanging="420"/>
      </w:pPr>
    </w:lvl>
    <w:lvl w:ilvl="2">
      <w:start w:val="1"/>
      <w:numFmt w:val="lowerRoman"/>
      <w:lvlText w:val="%3."/>
      <w:lvlJc w:val="right"/>
      <w:pPr>
        <w:tabs>
          <w:tab w:val="left" w:pos="1320"/>
        </w:tabs>
        <w:ind w:left="1320" w:hanging="420"/>
      </w:pPr>
    </w:lvl>
    <w:lvl w:ilvl="3">
      <w:start w:val="1"/>
      <w:numFmt w:val="decimal"/>
      <w:lvlText w:val="%4."/>
      <w:lvlJc w:val="left"/>
      <w:pPr>
        <w:tabs>
          <w:tab w:val="left" w:pos="1740"/>
        </w:tabs>
        <w:ind w:left="1740" w:hanging="420"/>
      </w:pPr>
    </w:lvl>
    <w:lvl w:ilvl="4">
      <w:start w:val="1"/>
      <w:numFmt w:val="lowerLetter"/>
      <w:lvlText w:val="%5)"/>
      <w:lvlJc w:val="left"/>
      <w:pPr>
        <w:tabs>
          <w:tab w:val="left" w:pos="2160"/>
        </w:tabs>
        <w:ind w:left="2160" w:hanging="420"/>
      </w:pPr>
    </w:lvl>
    <w:lvl w:ilvl="5">
      <w:start w:val="1"/>
      <w:numFmt w:val="lowerRoman"/>
      <w:lvlText w:val="%6."/>
      <w:lvlJc w:val="right"/>
      <w:pPr>
        <w:tabs>
          <w:tab w:val="left" w:pos="2580"/>
        </w:tabs>
        <w:ind w:left="2580" w:hanging="420"/>
      </w:pPr>
    </w:lvl>
    <w:lvl w:ilvl="6">
      <w:start w:val="1"/>
      <w:numFmt w:val="decimal"/>
      <w:lvlText w:val="%7."/>
      <w:lvlJc w:val="left"/>
      <w:pPr>
        <w:tabs>
          <w:tab w:val="left" w:pos="3000"/>
        </w:tabs>
        <w:ind w:left="3000" w:hanging="420"/>
      </w:pPr>
    </w:lvl>
    <w:lvl w:ilvl="7">
      <w:start w:val="1"/>
      <w:numFmt w:val="lowerLetter"/>
      <w:lvlText w:val="%8)"/>
      <w:lvlJc w:val="left"/>
      <w:pPr>
        <w:tabs>
          <w:tab w:val="left" w:pos="3420"/>
        </w:tabs>
        <w:ind w:left="3420" w:hanging="420"/>
      </w:pPr>
    </w:lvl>
    <w:lvl w:ilvl="8">
      <w:start w:val="1"/>
      <w:numFmt w:val="lowerRoman"/>
      <w:lvlText w:val="%9."/>
      <w:lvlJc w:val="right"/>
      <w:pPr>
        <w:tabs>
          <w:tab w:val="left" w:pos="3840"/>
        </w:tabs>
        <w:ind w:left="3840" w:hanging="420"/>
      </w:pPr>
    </w:lvl>
  </w:abstractNum>
  <w:abstractNum w:abstractNumId="45">
    <w:nsid w:val="22F66915"/>
    <w:multiLevelType w:val="multilevel"/>
    <w:tmpl w:val="22F66915"/>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46">
    <w:nsid w:val="23593BCF"/>
    <w:multiLevelType w:val="multilevel"/>
    <w:tmpl w:val="23593BCF"/>
    <w:lvl w:ilvl="0">
      <w:start w:val="1"/>
      <w:numFmt w:val="decimal"/>
      <w:lvlText w:val="%1)"/>
      <w:lvlJc w:val="left"/>
      <w:pPr>
        <w:tabs>
          <w:tab w:val="left" w:pos="1656"/>
        </w:tabs>
        <w:ind w:left="1656" w:hanging="576"/>
      </w:pPr>
      <w:rPr>
        <w:rFonts w:hint="eastAsia"/>
      </w:rPr>
    </w:lvl>
    <w:lvl w:ilvl="1">
      <w:start w:val="1"/>
      <w:numFmt w:val="lowerLetter"/>
      <w:lvlText w:val="%2)"/>
      <w:lvlJc w:val="left"/>
      <w:pPr>
        <w:tabs>
          <w:tab w:val="left" w:pos="2160"/>
        </w:tabs>
        <w:ind w:left="2160" w:hanging="504"/>
      </w:pPr>
      <w:rPr>
        <w:rFonts w:hint="default"/>
      </w:rPr>
    </w:lvl>
    <w:lvl w:ilvl="2">
      <w:start w:val="1"/>
      <w:numFmt w:val="lowerRoman"/>
      <w:lvlText w:val="%3)"/>
      <w:lvlJc w:val="left"/>
      <w:pPr>
        <w:tabs>
          <w:tab w:val="left" w:pos="2736"/>
        </w:tabs>
        <w:ind w:left="2736" w:hanging="576"/>
      </w:pPr>
      <w:rPr>
        <w:rFonts w:hint="default"/>
      </w:rPr>
    </w:lvl>
    <w:lvl w:ilvl="3">
      <w:start w:val="6"/>
      <w:numFmt w:val="lowerLetter"/>
      <w:lvlText w:val="%4)"/>
      <w:lvlJc w:val="left"/>
      <w:pPr>
        <w:tabs>
          <w:tab w:val="left" w:pos="2160"/>
        </w:tabs>
        <w:ind w:left="2160" w:hanging="504"/>
      </w:pPr>
      <w:rPr>
        <w:rFonts w:hint="default"/>
      </w:rPr>
    </w:lvl>
    <w:lvl w:ilvl="4">
      <w:start w:val="1"/>
      <w:numFmt w:val="decimal"/>
      <w:lvlText w:val="%5)"/>
      <w:lvlJc w:val="left"/>
      <w:pPr>
        <w:tabs>
          <w:tab w:val="left" w:pos="1656"/>
        </w:tabs>
        <w:ind w:left="1656" w:hanging="576"/>
      </w:pPr>
      <w:rPr>
        <w:rFonts w:ascii="Times New Roman" w:hAnsi="Times New Roman" w:cs="Times New Roman" w:hint="default"/>
      </w:r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7">
    <w:nsid w:val="23750919"/>
    <w:multiLevelType w:val="multilevel"/>
    <w:tmpl w:val="23750919"/>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48">
    <w:nsid w:val="2603058A"/>
    <w:multiLevelType w:val="multilevel"/>
    <w:tmpl w:val="2603058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49">
    <w:nsid w:val="26414E4D"/>
    <w:multiLevelType w:val="multilevel"/>
    <w:tmpl w:val="26414E4D"/>
    <w:lvl w:ilvl="0">
      <w:start w:val="1"/>
      <w:numFmt w:val="decimal"/>
      <w:lvlText w:val="%1)"/>
      <w:lvlJc w:val="left"/>
      <w:pPr>
        <w:tabs>
          <w:tab w:val="left" w:pos="1656"/>
        </w:tabs>
        <w:ind w:left="1656" w:hanging="576"/>
      </w:pPr>
      <w:rPr>
        <w:rFonts w:hint="eastAsia"/>
      </w:rPr>
    </w:lvl>
    <w:lvl w:ilvl="1">
      <w:start w:val="24"/>
      <w:numFmt w:val="decimal"/>
      <w:lvlText w:val="%2."/>
      <w:lvlJc w:val="left"/>
      <w:pPr>
        <w:tabs>
          <w:tab w:val="left" w:pos="1680"/>
        </w:tabs>
        <w:ind w:left="1680" w:hanging="60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0">
    <w:nsid w:val="26EF5483"/>
    <w:multiLevelType w:val="multilevel"/>
    <w:tmpl w:val="26EF5483"/>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27812DD6"/>
    <w:multiLevelType w:val="multilevel"/>
    <w:tmpl w:val="27812DD6"/>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52">
    <w:nsid w:val="28AA2DB0"/>
    <w:multiLevelType w:val="multilevel"/>
    <w:tmpl w:val="28AA2DB0"/>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3">
    <w:nsid w:val="296E2AE5"/>
    <w:multiLevelType w:val="multilevel"/>
    <w:tmpl w:val="296E2AE5"/>
    <w:lvl w:ilvl="0">
      <w:start w:val="1"/>
      <w:numFmt w:val="lowerLetter"/>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54">
    <w:nsid w:val="29A02CD3"/>
    <w:multiLevelType w:val="multilevel"/>
    <w:tmpl w:val="29A02CD3"/>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55">
    <w:nsid w:val="2A8D2831"/>
    <w:multiLevelType w:val="multilevel"/>
    <w:tmpl w:val="2A8D2831"/>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56">
    <w:nsid w:val="2D443B8D"/>
    <w:multiLevelType w:val="multilevel"/>
    <w:tmpl w:val="2D443B8D"/>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301601AB"/>
    <w:multiLevelType w:val="multilevel"/>
    <w:tmpl w:val="301601AB"/>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58">
    <w:nsid w:val="30AC0255"/>
    <w:multiLevelType w:val="multilevel"/>
    <w:tmpl w:val="30AC0255"/>
    <w:lvl w:ilvl="0">
      <w:start w:val="1"/>
      <w:numFmt w:val="lowerLetter"/>
      <w:lvlText w:val="%1)"/>
      <w:lvlJc w:val="left"/>
      <w:pPr>
        <w:tabs>
          <w:tab w:val="left" w:pos="2268"/>
        </w:tabs>
        <w:ind w:left="2268" w:hanging="567"/>
      </w:pPr>
      <w:rPr>
        <w:rFonts w:hint="default"/>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59">
    <w:nsid w:val="32D25412"/>
    <w:multiLevelType w:val="multilevel"/>
    <w:tmpl w:val="32D25412"/>
    <w:lvl w:ilvl="0">
      <w:start w:val="1"/>
      <w:numFmt w:val="lowerLetter"/>
      <w:lvlText w:val="%1)"/>
      <w:lvlJc w:val="left"/>
      <w:pPr>
        <w:ind w:left="1917" w:hanging="420"/>
      </w:pPr>
    </w:lvl>
    <w:lvl w:ilvl="1">
      <w:start w:val="1"/>
      <w:numFmt w:val="lowerLetter"/>
      <w:lvlText w:val="%2)"/>
      <w:lvlJc w:val="left"/>
      <w:pPr>
        <w:ind w:left="2337" w:hanging="420"/>
      </w:pPr>
    </w:lvl>
    <w:lvl w:ilvl="2">
      <w:start w:val="1"/>
      <w:numFmt w:val="lowerRoman"/>
      <w:lvlText w:val="%3."/>
      <w:lvlJc w:val="right"/>
      <w:pPr>
        <w:ind w:left="2757" w:hanging="420"/>
      </w:pPr>
    </w:lvl>
    <w:lvl w:ilvl="3">
      <w:start w:val="1"/>
      <w:numFmt w:val="decimal"/>
      <w:lvlText w:val="%4."/>
      <w:lvlJc w:val="left"/>
      <w:pPr>
        <w:ind w:left="3177" w:hanging="420"/>
      </w:pPr>
    </w:lvl>
    <w:lvl w:ilvl="4">
      <w:start w:val="1"/>
      <w:numFmt w:val="lowerLetter"/>
      <w:lvlText w:val="%5)"/>
      <w:lvlJc w:val="left"/>
      <w:pPr>
        <w:ind w:left="3597" w:hanging="420"/>
      </w:pPr>
    </w:lvl>
    <w:lvl w:ilvl="5">
      <w:start w:val="1"/>
      <w:numFmt w:val="lowerRoman"/>
      <w:lvlText w:val="%6."/>
      <w:lvlJc w:val="right"/>
      <w:pPr>
        <w:ind w:left="4017" w:hanging="420"/>
      </w:pPr>
    </w:lvl>
    <w:lvl w:ilvl="6">
      <w:start w:val="1"/>
      <w:numFmt w:val="decimal"/>
      <w:lvlText w:val="%7."/>
      <w:lvlJc w:val="left"/>
      <w:pPr>
        <w:ind w:left="4437" w:hanging="420"/>
      </w:pPr>
    </w:lvl>
    <w:lvl w:ilvl="7">
      <w:start w:val="1"/>
      <w:numFmt w:val="lowerLetter"/>
      <w:lvlText w:val="%8)"/>
      <w:lvlJc w:val="left"/>
      <w:pPr>
        <w:ind w:left="4857" w:hanging="420"/>
      </w:pPr>
    </w:lvl>
    <w:lvl w:ilvl="8">
      <w:start w:val="1"/>
      <w:numFmt w:val="lowerRoman"/>
      <w:lvlText w:val="%9."/>
      <w:lvlJc w:val="right"/>
      <w:pPr>
        <w:ind w:left="5277" w:hanging="420"/>
      </w:pPr>
    </w:lvl>
  </w:abstractNum>
  <w:abstractNum w:abstractNumId="60">
    <w:nsid w:val="34345B63"/>
    <w:multiLevelType w:val="multilevel"/>
    <w:tmpl w:val="34345B63"/>
    <w:lvl w:ilvl="0">
      <w:start w:val="1"/>
      <w:numFmt w:val="decimal"/>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61">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62">
    <w:nsid w:val="34C10895"/>
    <w:multiLevelType w:val="multilevel"/>
    <w:tmpl w:val="34C10895"/>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38CE6CF5"/>
    <w:multiLevelType w:val="multilevel"/>
    <w:tmpl w:val="38CE6CF5"/>
    <w:lvl w:ilvl="0">
      <w:start w:val="1"/>
      <w:numFmt w:val="bullet"/>
      <w:lvlText w:val=""/>
      <w:lvlJc w:val="left"/>
      <w:pPr>
        <w:ind w:left="2520" w:hanging="420"/>
      </w:pPr>
      <w:rPr>
        <w:rFonts w:ascii="Wingdings" w:hAnsi="Wingdings" w:hint="default"/>
      </w:rPr>
    </w:lvl>
    <w:lvl w:ilvl="1">
      <w:start w:val="1"/>
      <w:numFmt w:val="bullet"/>
      <w:lvlText w:val=""/>
      <w:lvlJc w:val="left"/>
      <w:pPr>
        <w:ind w:left="2940" w:hanging="420"/>
      </w:pPr>
      <w:rPr>
        <w:rFonts w:ascii="Wingdings" w:hAnsi="Wingdings" w:hint="default"/>
      </w:rPr>
    </w:lvl>
    <w:lvl w:ilvl="2">
      <w:start w:val="1"/>
      <w:numFmt w:val="bullet"/>
      <w:lvlText w:val=""/>
      <w:lvlJc w:val="left"/>
      <w:pPr>
        <w:ind w:left="3360" w:hanging="420"/>
      </w:pPr>
      <w:rPr>
        <w:rFonts w:ascii="Wingdings" w:hAnsi="Wingdings" w:hint="default"/>
      </w:rPr>
    </w:lvl>
    <w:lvl w:ilvl="3">
      <w:start w:val="1"/>
      <w:numFmt w:val="bullet"/>
      <w:lvlText w:val=""/>
      <w:lvlJc w:val="left"/>
      <w:pPr>
        <w:ind w:left="3780" w:hanging="420"/>
      </w:pPr>
      <w:rPr>
        <w:rFonts w:ascii="Wingdings" w:hAnsi="Wingdings" w:hint="default"/>
      </w:rPr>
    </w:lvl>
    <w:lvl w:ilvl="4">
      <w:start w:val="1"/>
      <w:numFmt w:val="bullet"/>
      <w:lvlText w:val=""/>
      <w:lvlJc w:val="left"/>
      <w:pPr>
        <w:ind w:left="4200" w:hanging="420"/>
      </w:pPr>
      <w:rPr>
        <w:rFonts w:ascii="Wingdings" w:hAnsi="Wingdings" w:hint="default"/>
      </w:rPr>
    </w:lvl>
    <w:lvl w:ilvl="5">
      <w:start w:val="1"/>
      <w:numFmt w:val="bullet"/>
      <w:lvlText w:val=""/>
      <w:lvlJc w:val="left"/>
      <w:pPr>
        <w:ind w:left="4620" w:hanging="420"/>
      </w:pPr>
      <w:rPr>
        <w:rFonts w:ascii="Wingdings" w:hAnsi="Wingdings" w:hint="default"/>
      </w:rPr>
    </w:lvl>
    <w:lvl w:ilvl="6">
      <w:start w:val="1"/>
      <w:numFmt w:val="bullet"/>
      <w:lvlText w:val=""/>
      <w:lvlJc w:val="left"/>
      <w:pPr>
        <w:ind w:left="5040" w:hanging="420"/>
      </w:pPr>
      <w:rPr>
        <w:rFonts w:ascii="Wingdings" w:hAnsi="Wingdings" w:hint="default"/>
      </w:rPr>
    </w:lvl>
    <w:lvl w:ilvl="7">
      <w:start w:val="1"/>
      <w:numFmt w:val="bullet"/>
      <w:lvlText w:val=""/>
      <w:lvlJc w:val="left"/>
      <w:pPr>
        <w:ind w:left="5460" w:hanging="420"/>
      </w:pPr>
      <w:rPr>
        <w:rFonts w:ascii="Wingdings" w:hAnsi="Wingdings" w:hint="default"/>
      </w:rPr>
    </w:lvl>
    <w:lvl w:ilvl="8">
      <w:start w:val="1"/>
      <w:numFmt w:val="bullet"/>
      <w:lvlText w:val=""/>
      <w:lvlJc w:val="left"/>
      <w:pPr>
        <w:ind w:left="5880" w:hanging="420"/>
      </w:pPr>
      <w:rPr>
        <w:rFonts w:ascii="Wingdings" w:hAnsi="Wingdings" w:hint="default"/>
      </w:rPr>
    </w:lvl>
  </w:abstractNum>
  <w:abstractNum w:abstractNumId="64">
    <w:nsid w:val="3BB12DAF"/>
    <w:multiLevelType w:val="multilevel"/>
    <w:tmpl w:val="3BB12DAF"/>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3C19516D"/>
    <w:multiLevelType w:val="multilevel"/>
    <w:tmpl w:val="3C19516D"/>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66">
    <w:nsid w:val="3CE0224E"/>
    <w:multiLevelType w:val="hybridMultilevel"/>
    <w:tmpl w:val="681A34A8"/>
    <w:lvl w:ilvl="0">
      <w:start w:val="1"/>
      <w:numFmt w:val="upperLetter"/>
      <w:lvlText w:val="%1."/>
      <w:lvlJc w:val="left"/>
      <w:pPr>
        <w:ind w:left="2096" w:hanging="440"/>
      </w:pPr>
    </w:lvl>
    <w:lvl w:ilvl="1" w:tentative="1">
      <w:start w:val="1"/>
      <w:numFmt w:val="lowerLetter"/>
      <w:lvlText w:val="%2)"/>
      <w:lvlJc w:val="left"/>
      <w:pPr>
        <w:ind w:left="2536" w:hanging="440"/>
      </w:pPr>
    </w:lvl>
    <w:lvl w:ilvl="2" w:tentative="1">
      <w:start w:val="1"/>
      <w:numFmt w:val="lowerRoman"/>
      <w:lvlText w:val="%3."/>
      <w:lvlJc w:val="right"/>
      <w:pPr>
        <w:ind w:left="2976" w:hanging="440"/>
      </w:pPr>
    </w:lvl>
    <w:lvl w:ilvl="3" w:tentative="1">
      <w:start w:val="1"/>
      <w:numFmt w:val="decimal"/>
      <w:lvlText w:val="%4."/>
      <w:lvlJc w:val="left"/>
      <w:pPr>
        <w:ind w:left="3416" w:hanging="440"/>
      </w:pPr>
    </w:lvl>
    <w:lvl w:ilvl="4" w:tentative="1">
      <w:start w:val="1"/>
      <w:numFmt w:val="lowerLetter"/>
      <w:lvlText w:val="%5)"/>
      <w:lvlJc w:val="left"/>
      <w:pPr>
        <w:ind w:left="3856" w:hanging="440"/>
      </w:pPr>
    </w:lvl>
    <w:lvl w:ilvl="5" w:tentative="1">
      <w:start w:val="1"/>
      <w:numFmt w:val="lowerRoman"/>
      <w:lvlText w:val="%6."/>
      <w:lvlJc w:val="right"/>
      <w:pPr>
        <w:ind w:left="4296" w:hanging="440"/>
      </w:pPr>
    </w:lvl>
    <w:lvl w:ilvl="6" w:tentative="1">
      <w:start w:val="1"/>
      <w:numFmt w:val="decimal"/>
      <w:lvlText w:val="%7."/>
      <w:lvlJc w:val="left"/>
      <w:pPr>
        <w:ind w:left="4736" w:hanging="440"/>
      </w:pPr>
    </w:lvl>
    <w:lvl w:ilvl="7" w:tentative="1">
      <w:start w:val="1"/>
      <w:numFmt w:val="lowerLetter"/>
      <w:lvlText w:val="%8)"/>
      <w:lvlJc w:val="left"/>
      <w:pPr>
        <w:ind w:left="5176" w:hanging="440"/>
      </w:pPr>
    </w:lvl>
    <w:lvl w:ilvl="8" w:tentative="1">
      <w:start w:val="1"/>
      <w:numFmt w:val="lowerRoman"/>
      <w:lvlText w:val="%9."/>
      <w:lvlJc w:val="right"/>
      <w:pPr>
        <w:ind w:left="5616" w:hanging="440"/>
      </w:pPr>
    </w:lvl>
  </w:abstractNum>
  <w:abstractNum w:abstractNumId="67">
    <w:nsid w:val="3F682A18"/>
    <w:multiLevelType w:val="multilevel"/>
    <w:tmpl w:val="3F682A18"/>
    <w:lvl w:ilvl="0">
      <w:start w:val="1"/>
      <w:numFmt w:val="bullet"/>
      <w:pStyle w:val="Spec6-Subicons"/>
      <w:lvlText w:val=""/>
      <w:lvlJc w:val="left"/>
      <w:pPr>
        <w:tabs>
          <w:tab w:val="left" w:pos="2790"/>
        </w:tabs>
        <w:ind w:left="2790" w:hanging="360"/>
      </w:pPr>
      <w:rPr>
        <w:rFonts w:ascii="Symbol" w:hAnsi="Symbol" w:hint="default"/>
      </w:rPr>
    </w:lvl>
    <w:lvl w:ilvl="1">
      <w:start w:val="1"/>
      <w:numFmt w:val="bullet"/>
      <w:lvlText w:val="o"/>
      <w:lvlJc w:val="left"/>
      <w:pPr>
        <w:tabs>
          <w:tab w:val="left" w:pos="3510"/>
        </w:tabs>
        <w:ind w:left="3510" w:hanging="360"/>
      </w:pPr>
      <w:rPr>
        <w:rFonts w:ascii="Courier New" w:hAnsi="Courier New" w:cs="Courier New" w:hint="default"/>
      </w:rPr>
    </w:lvl>
    <w:lvl w:ilvl="2">
      <w:start w:val="1"/>
      <w:numFmt w:val="bullet"/>
      <w:lvlText w:val=""/>
      <w:lvlJc w:val="left"/>
      <w:pPr>
        <w:tabs>
          <w:tab w:val="left" w:pos="4230"/>
        </w:tabs>
        <w:ind w:left="4230" w:hanging="360"/>
      </w:pPr>
      <w:rPr>
        <w:rFonts w:ascii="Wingdings" w:hAnsi="Wingdings" w:hint="default"/>
      </w:rPr>
    </w:lvl>
    <w:lvl w:ilvl="3">
      <w:start w:val="1"/>
      <w:numFmt w:val="bullet"/>
      <w:lvlText w:val=""/>
      <w:lvlJc w:val="left"/>
      <w:pPr>
        <w:tabs>
          <w:tab w:val="left" w:pos="4950"/>
        </w:tabs>
        <w:ind w:left="4950" w:hanging="360"/>
      </w:pPr>
      <w:rPr>
        <w:rFonts w:ascii="Symbol" w:hAnsi="Symbol" w:hint="default"/>
      </w:rPr>
    </w:lvl>
    <w:lvl w:ilvl="4">
      <w:start w:val="1"/>
      <w:numFmt w:val="bullet"/>
      <w:lvlText w:val="o"/>
      <w:lvlJc w:val="left"/>
      <w:pPr>
        <w:tabs>
          <w:tab w:val="left" w:pos="5670"/>
        </w:tabs>
        <w:ind w:left="5670" w:hanging="360"/>
      </w:pPr>
      <w:rPr>
        <w:rFonts w:ascii="Courier New" w:hAnsi="Courier New" w:cs="Courier New" w:hint="default"/>
      </w:rPr>
    </w:lvl>
    <w:lvl w:ilvl="5">
      <w:start w:val="1"/>
      <w:numFmt w:val="bullet"/>
      <w:lvlText w:val=""/>
      <w:lvlJc w:val="left"/>
      <w:pPr>
        <w:tabs>
          <w:tab w:val="left" w:pos="6390"/>
        </w:tabs>
        <w:ind w:left="6390" w:hanging="360"/>
      </w:pPr>
      <w:rPr>
        <w:rFonts w:ascii="Wingdings" w:hAnsi="Wingdings" w:hint="default"/>
      </w:rPr>
    </w:lvl>
    <w:lvl w:ilvl="6">
      <w:start w:val="1"/>
      <w:numFmt w:val="bullet"/>
      <w:lvlText w:val=""/>
      <w:lvlJc w:val="left"/>
      <w:pPr>
        <w:tabs>
          <w:tab w:val="left" w:pos="7110"/>
        </w:tabs>
        <w:ind w:left="7110" w:hanging="360"/>
      </w:pPr>
      <w:rPr>
        <w:rFonts w:ascii="Symbol" w:hAnsi="Symbol" w:hint="default"/>
      </w:rPr>
    </w:lvl>
    <w:lvl w:ilvl="7">
      <w:start w:val="1"/>
      <w:numFmt w:val="bullet"/>
      <w:lvlText w:val="o"/>
      <w:lvlJc w:val="left"/>
      <w:pPr>
        <w:tabs>
          <w:tab w:val="left" w:pos="7830"/>
        </w:tabs>
        <w:ind w:left="7830" w:hanging="360"/>
      </w:pPr>
      <w:rPr>
        <w:rFonts w:ascii="Courier New" w:hAnsi="Courier New" w:cs="Courier New" w:hint="default"/>
      </w:rPr>
    </w:lvl>
    <w:lvl w:ilvl="8">
      <w:start w:val="1"/>
      <w:numFmt w:val="bullet"/>
      <w:lvlText w:val=""/>
      <w:lvlJc w:val="left"/>
      <w:pPr>
        <w:tabs>
          <w:tab w:val="left" w:pos="8550"/>
        </w:tabs>
        <w:ind w:left="8550" w:hanging="360"/>
      </w:pPr>
      <w:rPr>
        <w:rFonts w:ascii="Wingdings" w:hAnsi="Wingdings" w:hint="default"/>
      </w:rPr>
    </w:lvl>
  </w:abstractNum>
  <w:abstractNum w:abstractNumId="68">
    <w:nsid w:val="3FA02FA6"/>
    <w:multiLevelType w:val="multilevel"/>
    <w:tmpl w:val="3FA02FA6"/>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9">
    <w:nsid w:val="40635F79"/>
    <w:multiLevelType w:val="multilevel"/>
    <w:tmpl w:val="40635F79"/>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70">
    <w:nsid w:val="41A46593"/>
    <w:multiLevelType w:val="multilevel"/>
    <w:tmpl w:val="41A46593"/>
    <w:lvl w:ilvl="0">
      <w:start w:val="1"/>
      <w:numFmt w:val="decimal"/>
      <w:lvlText w:val="%1)"/>
      <w:lvlJc w:val="left"/>
      <w:pPr>
        <w:tabs>
          <w:tab w:val="left" w:pos="2880"/>
        </w:tabs>
        <w:ind w:left="2880" w:hanging="360"/>
      </w:pPr>
      <w:rPr>
        <w:rFonts w:ascii="Times New Roman" w:hAnsi="Times New Roman" w:hint="default"/>
        <w:b w:val="0"/>
        <w:i w:val="0"/>
        <w:sz w:val="21"/>
        <w:szCs w:val="21"/>
      </w:rPr>
    </w:lvl>
    <w:lvl w:ilvl="1">
      <w:start w:val="1"/>
      <w:numFmt w:val="lowerLetter"/>
      <w:lvlText w:val="%2."/>
      <w:lvlJc w:val="left"/>
      <w:pPr>
        <w:tabs>
          <w:tab w:val="left" w:pos="2880"/>
        </w:tabs>
        <w:ind w:left="2880" w:hanging="360"/>
      </w:pPr>
    </w:lvl>
    <w:lvl w:ilvl="2">
      <w:start w:val="1"/>
      <w:numFmt w:val="lowerRoman"/>
      <w:lvlText w:val="%3."/>
      <w:lvlJc w:val="right"/>
      <w:pPr>
        <w:tabs>
          <w:tab w:val="left" w:pos="3600"/>
        </w:tabs>
        <w:ind w:left="3600" w:hanging="180"/>
      </w:pPr>
    </w:lvl>
    <w:lvl w:ilvl="3">
      <w:start w:val="1"/>
      <w:numFmt w:val="decimal"/>
      <w:lvlText w:val="%4."/>
      <w:lvlJc w:val="left"/>
      <w:pPr>
        <w:tabs>
          <w:tab w:val="left" w:pos="4320"/>
        </w:tabs>
        <w:ind w:left="4320" w:hanging="360"/>
      </w:pPr>
    </w:lvl>
    <w:lvl w:ilvl="4">
      <w:start w:val="1"/>
      <w:numFmt w:val="lowerLetter"/>
      <w:lvlText w:val="%5."/>
      <w:lvlJc w:val="left"/>
      <w:pPr>
        <w:tabs>
          <w:tab w:val="left" w:pos="5040"/>
        </w:tabs>
        <w:ind w:left="5040" w:hanging="360"/>
      </w:pPr>
    </w:lvl>
    <w:lvl w:ilvl="5">
      <w:start w:val="1"/>
      <w:numFmt w:val="lowerRoman"/>
      <w:lvlText w:val="%6."/>
      <w:lvlJc w:val="right"/>
      <w:pPr>
        <w:tabs>
          <w:tab w:val="left" w:pos="5760"/>
        </w:tabs>
        <w:ind w:left="5760" w:hanging="180"/>
      </w:pPr>
    </w:lvl>
    <w:lvl w:ilvl="6">
      <w:start w:val="1"/>
      <w:numFmt w:val="decimal"/>
      <w:lvlText w:val="%7."/>
      <w:lvlJc w:val="left"/>
      <w:pPr>
        <w:tabs>
          <w:tab w:val="left" w:pos="6480"/>
        </w:tabs>
        <w:ind w:left="6480" w:hanging="360"/>
      </w:pPr>
    </w:lvl>
    <w:lvl w:ilvl="7">
      <w:start w:val="1"/>
      <w:numFmt w:val="lowerLetter"/>
      <w:lvlText w:val="%8."/>
      <w:lvlJc w:val="left"/>
      <w:pPr>
        <w:tabs>
          <w:tab w:val="left" w:pos="7200"/>
        </w:tabs>
        <w:ind w:left="7200" w:hanging="360"/>
      </w:pPr>
    </w:lvl>
    <w:lvl w:ilvl="8">
      <w:start w:val="1"/>
      <w:numFmt w:val="lowerRoman"/>
      <w:lvlText w:val="%9."/>
      <w:lvlJc w:val="right"/>
      <w:pPr>
        <w:tabs>
          <w:tab w:val="left" w:pos="7920"/>
        </w:tabs>
        <w:ind w:left="7920" w:hanging="180"/>
      </w:pPr>
    </w:lvl>
  </w:abstractNum>
  <w:abstractNum w:abstractNumId="71">
    <w:nsid w:val="44C862C4"/>
    <w:multiLevelType w:val="multilevel"/>
    <w:tmpl w:val="44C862C4"/>
    <w:lvl w:ilvl="0">
      <w:start w:val="1"/>
      <w:numFmt w:val="decimal"/>
      <w:lvlText w:val="%1)"/>
      <w:lvlJc w:val="left"/>
      <w:pPr>
        <w:tabs>
          <w:tab w:val="left" w:pos="1656"/>
        </w:tabs>
        <w:ind w:left="1656" w:hanging="576"/>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2">
    <w:nsid w:val="466B3427"/>
    <w:multiLevelType w:val="multilevel"/>
    <w:tmpl w:val="466B3427"/>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73">
    <w:nsid w:val="479C7271"/>
    <w:multiLevelType w:val="multilevel"/>
    <w:tmpl w:val="479C7271"/>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nsid w:val="495C1CEC"/>
    <w:multiLevelType w:val="multilevel"/>
    <w:tmpl w:val="495C1CEC"/>
    <w:lvl w:ilvl="0">
      <w:start w:val="1"/>
      <w:numFmt w:val="decimal"/>
      <w:lvlText w:val="%1)"/>
      <w:lvlJc w:val="left"/>
      <w:pPr>
        <w:tabs>
          <w:tab w:val="left" w:pos="3600"/>
        </w:tabs>
        <w:ind w:left="3600" w:hanging="360"/>
      </w:pPr>
      <w:rPr>
        <w:rFonts w:hint="eastAsia"/>
      </w:rPr>
    </w:lvl>
    <w:lvl w:ilvl="1">
      <w:start w:val="1"/>
      <w:numFmt w:val="decimal"/>
      <w:lvlText w:val="%2)"/>
      <w:lvlJc w:val="left"/>
      <w:pPr>
        <w:tabs>
          <w:tab w:val="left" w:pos="1440"/>
        </w:tabs>
        <w:ind w:left="1440" w:hanging="360"/>
      </w:pPr>
      <w:rPr>
        <w:rFonts w:hint="default"/>
      </w:rPr>
    </w:lvl>
    <w:lvl w:ilvl="2">
      <w:start w:val="1"/>
      <w:numFmt w:val="decimal"/>
      <w:lvlText w:val="%3)"/>
      <w:lvlJc w:val="left"/>
      <w:pPr>
        <w:tabs>
          <w:tab w:val="left" w:pos="2340"/>
        </w:tabs>
        <w:ind w:left="2340" w:hanging="360"/>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5">
    <w:nsid w:val="4A9E4FCD"/>
    <w:multiLevelType w:val="multilevel"/>
    <w:tmpl w:val="4A9E4FCD"/>
    <w:lvl w:ilvl="0">
      <w:start w:val="1"/>
      <w:numFmt w:val="taiwaneseCountingThousand"/>
      <w:lvlText w:val="第%1章"/>
      <w:lvlJc w:val="left"/>
      <w:pPr>
        <w:tabs>
          <w:tab w:val="left" w:pos="1701"/>
        </w:tabs>
        <w:ind w:left="1701" w:hanging="1701"/>
      </w:pPr>
      <w:rPr>
        <w:rFonts w:ascii="Arial Bold" w:eastAsia="宋体" w:hAnsi="Arial Bold" w:hint="default"/>
        <w:b/>
        <w:i w:val="0"/>
        <w:color w:val="auto"/>
        <w:sz w:val="28"/>
        <w:szCs w:val="28"/>
        <w:lang w:val="en-US"/>
        <w14:shadow w14:blurRad="0" w14:dist="0" w14:dir="0" w14:sx="0" w14:sy="0" w14:kx="0" w14:ky="0" w14:algn="none">
          <w14:srgbClr w14:val="000000"/>
        </w14:shadow>
      </w:rPr>
    </w:lvl>
    <w:lvl w:ilvl="1">
      <w:start w:val="1"/>
      <w:numFmt w:val="decimal"/>
      <w:isLgl/>
      <w:lvlText w:val="%1.%2"/>
      <w:lvlJc w:val="left"/>
      <w:pPr>
        <w:tabs>
          <w:tab w:val="left" w:pos="567"/>
        </w:tabs>
        <w:ind w:left="567" w:hanging="567"/>
      </w:pPr>
      <w:rPr>
        <w:rFonts w:ascii="Arial" w:eastAsia="宋体" w:hAnsi="Arial" w:hint="default"/>
        <w:b w:val="0"/>
        <w:i w:val="0"/>
        <w:color w:val="auto"/>
        <w:sz w:val="22"/>
        <w:szCs w:val="22"/>
      </w:rPr>
    </w:lvl>
    <w:lvl w:ilvl="2">
      <w:start w:val="1"/>
      <w:numFmt w:val="decimal"/>
      <w:pStyle w:val="Spec2-Nos"/>
      <w:isLgl/>
      <w:lvlText w:val="%1.%2.%3"/>
      <w:lvlJc w:val="left"/>
      <w:pPr>
        <w:tabs>
          <w:tab w:val="left" w:pos="1134"/>
        </w:tabs>
        <w:ind w:left="1134" w:hanging="680"/>
      </w:pPr>
      <w:rPr>
        <w:rFonts w:ascii="Arial" w:eastAsia="宋体" w:hAnsi="Arial" w:hint="default"/>
        <w:b w:val="0"/>
        <w:i w:val="0"/>
        <w:sz w:val="22"/>
        <w:szCs w:val="22"/>
      </w:rPr>
    </w:lvl>
    <w:lvl w:ilvl="3">
      <w:start w:val="1"/>
      <w:numFmt w:val="upperLetter"/>
      <w:pStyle w:val="Spec3-Points"/>
      <w:lvlText w:val="%4."/>
      <w:lvlJc w:val="left"/>
      <w:pPr>
        <w:tabs>
          <w:tab w:val="left" w:pos="1588"/>
        </w:tabs>
        <w:ind w:left="1588" w:hanging="454"/>
      </w:pPr>
      <w:rPr>
        <w:rFonts w:ascii="Arial" w:eastAsia="宋体" w:hAnsi="Arial" w:hint="default"/>
        <w:b w:val="0"/>
        <w:i w:val="0"/>
        <w:sz w:val="22"/>
        <w:szCs w:val="22"/>
      </w:rPr>
    </w:lvl>
    <w:lvl w:ilvl="4">
      <w:start w:val="1"/>
      <w:numFmt w:val="decimal"/>
      <w:lvlText w:val="%5."/>
      <w:lvlJc w:val="left"/>
      <w:pPr>
        <w:tabs>
          <w:tab w:val="left" w:pos="1494"/>
        </w:tabs>
        <w:ind w:left="1494" w:hanging="360"/>
      </w:pPr>
      <w:rPr>
        <w:rFonts w:ascii="华文楷体" w:eastAsia="华文楷体" w:hAnsi="华文楷体" w:hint="eastAsia"/>
        <w:b w:val="0"/>
        <w:i w:val="0"/>
        <w:color w:val="auto"/>
        <w:sz w:val="22"/>
        <w:szCs w:val="22"/>
        <w:lang w:val="en-US"/>
        <w14:shadow w14:blurRad="0" w14:dist="0" w14:dir="0" w14:sx="0" w14:sy="0" w14:kx="0" w14:ky="0" w14:algn="none">
          <w14:srgbClr w14:val="000000"/>
        </w14:shadow>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upperLetter"/>
      <w:lvlText w:val="%8)"/>
      <w:lvlJc w:val="left"/>
      <w:pPr>
        <w:tabs>
          <w:tab w:val="left" w:pos="3240"/>
        </w:tabs>
        <w:ind w:left="3240" w:hanging="720"/>
      </w:pPr>
      <w:rPr>
        <w:rFonts w:ascii="Arial" w:eastAsia="宋体" w:hAnsi="Arial" w:hint="default"/>
        <w:b w:val="0"/>
        <w:i w:val="0"/>
        <w:color w:val="auto"/>
        <w:sz w:val="24"/>
        <w:szCs w:val="28"/>
        <w:lang w:val="en-US"/>
        <w14:shadow w14:blurRad="0" w14:dist="0" w14:dir="0" w14:sx="0" w14:sy="0" w14:kx="0" w14:ky="0" w14:algn="none">
          <w14:srgbClr w14:val="000000"/>
        </w14:shadow>
      </w:rPr>
    </w:lvl>
    <w:lvl w:ilvl="8">
      <w:start w:val="1"/>
      <w:numFmt w:val="bullet"/>
      <w:lvlText w:val=""/>
      <w:lvlJc w:val="left"/>
      <w:pPr>
        <w:tabs>
          <w:tab w:val="left" w:pos="3240"/>
        </w:tabs>
        <w:ind w:left="3240" w:hanging="360"/>
      </w:pPr>
      <w:rPr>
        <w:rFonts w:ascii="Symbol" w:hAnsi="Symbol" w:hint="default"/>
      </w:rPr>
    </w:lvl>
  </w:abstractNum>
  <w:abstractNum w:abstractNumId="76">
    <w:nsid w:val="4AE749FB"/>
    <w:multiLevelType w:val="multilevel"/>
    <w:tmpl w:val="4AE749FB"/>
    <w:lvl w:ilvl="0">
      <w:start w:val="1"/>
      <w:numFmt w:val="decimal"/>
      <w:lvlText w:val="%1)"/>
      <w:lvlJc w:val="left"/>
      <w:pPr>
        <w:tabs>
          <w:tab w:val="left" w:pos="4176"/>
        </w:tabs>
        <w:ind w:left="4176" w:hanging="720"/>
      </w:pPr>
      <w:rPr>
        <w:rFonts w:hint="eastAsia"/>
      </w:rPr>
    </w:lvl>
    <w:lvl w:ilvl="1">
      <w:start w:val="1"/>
      <w:numFmt w:val="lowerLetter"/>
      <w:lvlText w:val="%2."/>
      <w:lvlJc w:val="left"/>
      <w:pPr>
        <w:tabs>
          <w:tab w:val="left" w:pos="2736"/>
        </w:tabs>
        <w:ind w:left="2736" w:hanging="360"/>
      </w:pPr>
    </w:lvl>
    <w:lvl w:ilvl="2">
      <w:start w:val="1"/>
      <w:numFmt w:val="lowerRoman"/>
      <w:lvlText w:val="%3."/>
      <w:lvlJc w:val="right"/>
      <w:pPr>
        <w:tabs>
          <w:tab w:val="left" w:pos="3456"/>
        </w:tabs>
        <w:ind w:left="3456" w:hanging="180"/>
      </w:pPr>
    </w:lvl>
    <w:lvl w:ilvl="3">
      <w:start w:val="1"/>
      <w:numFmt w:val="decimal"/>
      <w:lvlText w:val="%4."/>
      <w:lvlJc w:val="left"/>
      <w:pPr>
        <w:tabs>
          <w:tab w:val="left" w:pos="4176"/>
        </w:tabs>
        <w:ind w:left="4176" w:hanging="360"/>
      </w:pPr>
    </w:lvl>
    <w:lvl w:ilvl="4">
      <w:start w:val="1"/>
      <w:numFmt w:val="lowerLetter"/>
      <w:lvlText w:val="%5."/>
      <w:lvlJc w:val="left"/>
      <w:pPr>
        <w:tabs>
          <w:tab w:val="left" w:pos="4896"/>
        </w:tabs>
        <w:ind w:left="4896" w:hanging="360"/>
      </w:pPr>
    </w:lvl>
    <w:lvl w:ilvl="5">
      <w:start w:val="1"/>
      <w:numFmt w:val="lowerRoman"/>
      <w:lvlText w:val="%6."/>
      <w:lvlJc w:val="right"/>
      <w:pPr>
        <w:tabs>
          <w:tab w:val="left" w:pos="5616"/>
        </w:tabs>
        <w:ind w:left="5616" w:hanging="180"/>
      </w:pPr>
    </w:lvl>
    <w:lvl w:ilvl="6">
      <w:start w:val="1"/>
      <w:numFmt w:val="decimal"/>
      <w:lvlText w:val="%7."/>
      <w:lvlJc w:val="left"/>
      <w:pPr>
        <w:tabs>
          <w:tab w:val="left" w:pos="6336"/>
        </w:tabs>
        <w:ind w:left="6336" w:hanging="360"/>
      </w:pPr>
    </w:lvl>
    <w:lvl w:ilvl="7">
      <w:start w:val="1"/>
      <w:numFmt w:val="lowerLetter"/>
      <w:lvlText w:val="%8."/>
      <w:lvlJc w:val="left"/>
      <w:pPr>
        <w:tabs>
          <w:tab w:val="left" w:pos="7056"/>
        </w:tabs>
        <w:ind w:left="7056" w:hanging="360"/>
      </w:pPr>
    </w:lvl>
    <w:lvl w:ilvl="8">
      <w:start w:val="1"/>
      <w:numFmt w:val="lowerRoman"/>
      <w:lvlText w:val="%9."/>
      <w:lvlJc w:val="right"/>
      <w:pPr>
        <w:tabs>
          <w:tab w:val="left" w:pos="7776"/>
        </w:tabs>
        <w:ind w:left="7776" w:hanging="180"/>
      </w:pPr>
    </w:lvl>
  </w:abstractNum>
  <w:abstractNum w:abstractNumId="77">
    <w:nsid w:val="4B180CB2"/>
    <w:multiLevelType w:val="multilevel"/>
    <w:tmpl w:val="4B180CB2"/>
    <w:lvl w:ilvl="0">
      <w:start w:val="1"/>
      <w:numFmt w:val="decimal"/>
      <w:lvlText w:val="%1)"/>
      <w:lvlJc w:val="left"/>
      <w:pPr>
        <w:tabs>
          <w:tab w:val="left" w:pos="420"/>
        </w:tabs>
        <w:ind w:left="420" w:hanging="42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8">
    <w:nsid w:val="4B1B7ED4"/>
    <w:multiLevelType w:val="multilevel"/>
    <w:tmpl w:val="4B1B7ED4"/>
    <w:lvl w:ilvl="0">
      <w:start w:val="1"/>
      <w:numFmt w:val="lowerLetter"/>
      <w:lvlText w:val="%1)"/>
      <w:lvlJc w:val="left"/>
      <w:pPr>
        <w:ind w:left="2040" w:hanging="360"/>
      </w:pPr>
      <w:rPr>
        <w:rFonts w:hint="eastAsia"/>
      </w:rPr>
    </w:lvl>
    <w:lvl w:ilvl="1">
      <w:start w:val="1"/>
      <w:numFmt w:val="lowerLetter"/>
      <w:lvlText w:val="%2."/>
      <w:lvlJc w:val="left"/>
      <w:pPr>
        <w:ind w:left="2760" w:hanging="360"/>
      </w:pPr>
    </w:lvl>
    <w:lvl w:ilvl="2">
      <w:start w:val="1"/>
      <w:numFmt w:val="lowerRoman"/>
      <w:lvlText w:val="%3."/>
      <w:lvlJc w:val="right"/>
      <w:pPr>
        <w:ind w:left="3480" w:hanging="180"/>
      </w:pPr>
    </w:lvl>
    <w:lvl w:ilvl="3">
      <w:start w:val="1"/>
      <w:numFmt w:val="decimal"/>
      <w:lvlText w:val="%4."/>
      <w:lvlJc w:val="left"/>
      <w:pPr>
        <w:ind w:left="4200" w:hanging="360"/>
      </w:pPr>
    </w:lvl>
    <w:lvl w:ilvl="4">
      <w:start w:val="1"/>
      <w:numFmt w:val="lowerLetter"/>
      <w:lvlText w:val="%5."/>
      <w:lvlJc w:val="left"/>
      <w:pPr>
        <w:ind w:left="4920" w:hanging="360"/>
      </w:pPr>
    </w:lvl>
    <w:lvl w:ilvl="5">
      <w:start w:val="1"/>
      <w:numFmt w:val="lowerRoman"/>
      <w:lvlText w:val="%6."/>
      <w:lvlJc w:val="right"/>
      <w:pPr>
        <w:ind w:left="5640" w:hanging="180"/>
      </w:pPr>
    </w:lvl>
    <w:lvl w:ilvl="6">
      <w:start w:val="1"/>
      <w:numFmt w:val="decimal"/>
      <w:lvlText w:val="%7."/>
      <w:lvlJc w:val="left"/>
      <w:pPr>
        <w:ind w:left="6360" w:hanging="360"/>
      </w:pPr>
    </w:lvl>
    <w:lvl w:ilvl="7">
      <w:start w:val="1"/>
      <w:numFmt w:val="lowerLetter"/>
      <w:lvlText w:val="%8."/>
      <w:lvlJc w:val="left"/>
      <w:pPr>
        <w:ind w:left="7080" w:hanging="360"/>
      </w:pPr>
    </w:lvl>
    <w:lvl w:ilvl="8">
      <w:start w:val="1"/>
      <w:numFmt w:val="lowerRoman"/>
      <w:lvlText w:val="%9."/>
      <w:lvlJc w:val="right"/>
      <w:pPr>
        <w:ind w:left="7800" w:hanging="180"/>
      </w:pPr>
    </w:lvl>
  </w:abstractNum>
  <w:abstractNum w:abstractNumId="79">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80">
    <w:nsid w:val="4DA31A91"/>
    <w:multiLevelType w:val="multilevel"/>
    <w:tmpl w:val="4DA31A91"/>
    <w:lvl w:ilvl="0">
      <w:start w:val="1"/>
      <w:numFmt w:val="lowerLetter"/>
      <w:lvlText w:val="(%1)"/>
      <w:lvlJc w:val="left"/>
      <w:pPr>
        <w:tabs>
          <w:tab w:val="left" w:pos="1440"/>
        </w:tabs>
        <w:ind w:left="1440" w:hanging="360"/>
      </w:pPr>
      <w:rPr>
        <w:rFonts w:hint="default"/>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1">
    <w:nsid w:val="4E846CC4"/>
    <w:multiLevelType w:val="multilevel"/>
    <w:tmpl w:val="4E846CC4"/>
    <w:lvl w:ilvl="0">
      <w:start w:val="1"/>
      <w:numFmt w:val="decimal"/>
      <w:lvlText w:val="%1)"/>
      <w:lvlJc w:val="left"/>
      <w:pPr>
        <w:tabs>
          <w:tab w:val="left" w:pos="1701"/>
        </w:tabs>
        <w:ind w:left="1701" w:hanging="621"/>
      </w:pPr>
      <w:rPr>
        <w:rFonts w:hint="eastAsia"/>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2">
    <w:nsid w:val="4EF3078F"/>
    <w:multiLevelType w:val="multilevel"/>
    <w:tmpl w:val="4EF3078F"/>
    <w:lvl w:ilvl="0">
      <w:start w:val="1"/>
      <w:numFmt w:val="decimal"/>
      <w:lvlText w:val="%1)"/>
      <w:lvlJc w:val="left"/>
      <w:pPr>
        <w:tabs>
          <w:tab w:val="left" w:pos="1656"/>
        </w:tabs>
        <w:ind w:left="1656" w:hanging="576"/>
      </w:pPr>
      <w:rPr>
        <w:rFonts w:hint="eastAsia"/>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83">
    <w:nsid w:val="4F326B12"/>
    <w:multiLevelType w:val="multilevel"/>
    <w:tmpl w:val="4F326B12"/>
    <w:lvl w:ilvl="0">
      <w:start w:val="1"/>
      <w:numFmt w:val="decimal"/>
      <w:lvlText w:val="%1)"/>
      <w:lvlJc w:val="left"/>
      <w:pPr>
        <w:tabs>
          <w:tab w:val="left" w:pos="3096"/>
        </w:tabs>
        <w:ind w:left="3096" w:hanging="576"/>
      </w:pPr>
      <w:rPr>
        <w:rFonts w:hint="eastAsia"/>
      </w:rPr>
    </w:lvl>
    <w:lvl w:ilvl="1">
      <w:start w:val="1"/>
      <w:numFmt w:val="ideographTraditional"/>
      <w:lvlText w:val="%2、"/>
      <w:lvlJc w:val="left"/>
      <w:pPr>
        <w:tabs>
          <w:tab w:val="left" w:pos="2400"/>
        </w:tabs>
        <w:ind w:left="2400" w:hanging="480"/>
      </w:pPr>
    </w:lvl>
    <w:lvl w:ilvl="2">
      <w:start w:val="1"/>
      <w:numFmt w:val="lowerRoman"/>
      <w:lvlText w:val="%3."/>
      <w:lvlJc w:val="right"/>
      <w:pPr>
        <w:tabs>
          <w:tab w:val="left" w:pos="2880"/>
        </w:tabs>
        <w:ind w:left="2880" w:hanging="480"/>
      </w:p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abstractNum w:abstractNumId="84">
    <w:nsid w:val="4F4B35BA"/>
    <w:multiLevelType w:val="multilevel"/>
    <w:tmpl w:val="4F4B35BA"/>
    <w:lvl w:ilvl="0">
      <w:start w:val="1"/>
      <w:numFmt w:val="decimal"/>
      <w:lvlText w:val="%1)"/>
      <w:lvlJc w:val="left"/>
      <w:pPr>
        <w:ind w:left="1497" w:hanging="420"/>
      </w:p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85">
    <w:nsid w:val="510EABB5"/>
    <w:multiLevelType w:val="multilevel"/>
    <w:tmpl w:val="13A37C82"/>
    <w:lvl w:ilvl="0">
      <w:start w:val="1"/>
      <w:numFmt w:val="decimal"/>
      <w:lvlText w:val="%1)"/>
      <w:lvlJc w:val="left"/>
      <w:pPr>
        <w:tabs>
          <w:tab w:val="left" w:pos="1656"/>
        </w:tabs>
        <w:ind w:left="1656" w:hanging="576"/>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6">
    <w:nsid w:val="51370362"/>
    <w:multiLevelType w:val="multilevel"/>
    <w:tmpl w:val="51370362"/>
    <w:lvl w:ilvl="0">
      <w:start w:val="1"/>
      <w:numFmt w:val="bullet"/>
      <w:lvlText w:val=""/>
      <w:lvlJc w:val="left"/>
      <w:pPr>
        <w:ind w:left="2520" w:hanging="420"/>
      </w:pPr>
      <w:rPr>
        <w:rFonts w:ascii="Wingdings" w:hAnsi="Wingdings" w:hint="default"/>
      </w:rPr>
    </w:lvl>
    <w:lvl w:ilvl="1">
      <w:start w:val="1"/>
      <w:numFmt w:val="bullet"/>
      <w:lvlText w:val=""/>
      <w:lvlJc w:val="left"/>
      <w:pPr>
        <w:ind w:left="2940" w:hanging="420"/>
      </w:pPr>
      <w:rPr>
        <w:rFonts w:ascii="Wingdings" w:hAnsi="Wingdings" w:hint="default"/>
      </w:rPr>
    </w:lvl>
    <w:lvl w:ilvl="2">
      <w:start w:val="1"/>
      <w:numFmt w:val="bullet"/>
      <w:lvlText w:val=""/>
      <w:lvlJc w:val="left"/>
      <w:pPr>
        <w:ind w:left="3360" w:hanging="420"/>
      </w:pPr>
      <w:rPr>
        <w:rFonts w:ascii="Wingdings" w:hAnsi="Wingdings" w:hint="default"/>
      </w:rPr>
    </w:lvl>
    <w:lvl w:ilvl="3">
      <w:start w:val="1"/>
      <w:numFmt w:val="bullet"/>
      <w:lvlText w:val=""/>
      <w:lvlJc w:val="left"/>
      <w:pPr>
        <w:ind w:left="3780" w:hanging="420"/>
      </w:pPr>
      <w:rPr>
        <w:rFonts w:ascii="Wingdings" w:hAnsi="Wingdings" w:hint="default"/>
      </w:rPr>
    </w:lvl>
    <w:lvl w:ilvl="4">
      <w:start w:val="1"/>
      <w:numFmt w:val="bullet"/>
      <w:lvlText w:val=""/>
      <w:lvlJc w:val="left"/>
      <w:pPr>
        <w:ind w:left="4200" w:hanging="420"/>
      </w:pPr>
      <w:rPr>
        <w:rFonts w:ascii="Wingdings" w:hAnsi="Wingdings" w:hint="default"/>
      </w:rPr>
    </w:lvl>
    <w:lvl w:ilvl="5">
      <w:start w:val="1"/>
      <w:numFmt w:val="bullet"/>
      <w:lvlText w:val=""/>
      <w:lvlJc w:val="left"/>
      <w:pPr>
        <w:ind w:left="4620" w:hanging="420"/>
      </w:pPr>
      <w:rPr>
        <w:rFonts w:ascii="Wingdings" w:hAnsi="Wingdings" w:hint="default"/>
      </w:rPr>
    </w:lvl>
    <w:lvl w:ilvl="6">
      <w:start w:val="1"/>
      <w:numFmt w:val="bullet"/>
      <w:lvlText w:val=""/>
      <w:lvlJc w:val="left"/>
      <w:pPr>
        <w:ind w:left="5040" w:hanging="420"/>
      </w:pPr>
      <w:rPr>
        <w:rFonts w:ascii="Wingdings" w:hAnsi="Wingdings" w:hint="default"/>
      </w:rPr>
    </w:lvl>
    <w:lvl w:ilvl="7">
      <w:start w:val="1"/>
      <w:numFmt w:val="bullet"/>
      <w:lvlText w:val=""/>
      <w:lvlJc w:val="left"/>
      <w:pPr>
        <w:ind w:left="5460" w:hanging="420"/>
      </w:pPr>
      <w:rPr>
        <w:rFonts w:ascii="Wingdings" w:hAnsi="Wingdings" w:hint="default"/>
      </w:rPr>
    </w:lvl>
    <w:lvl w:ilvl="8">
      <w:start w:val="1"/>
      <w:numFmt w:val="bullet"/>
      <w:lvlText w:val=""/>
      <w:lvlJc w:val="left"/>
      <w:pPr>
        <w:ind w:left="5880" w:hanging="420"/>
      </w:pPr>
      <w:rPr>
        <w:rFonts w:ascii="Wingdings" w:hAnsi="Wingdings" w:hint="default"/>
      </w:rPr>
    </w:lvl>
  </w:abstractNum>
  <w:abstractNum w:abstractNumId="87">
    <w:nsid w:val="524555E8"/>
    <w:multiLevelType w:val="multilevel"/>
    <w:tmpl w:val="524555E8"/>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8">
    <w:nsid w:val="54D2455E"/>
    <w:multiLevelType w:val="multilevel"/>
    <w:tmpl w:val="54D2455E"/>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decimal"/>
      <w:lvlText w:val="%2)"/>
      <w:lvlJc w:val="left"/>
      <w:pPr>
        <w:tabs>
          <w:tab w:val="left" w:pos="1701"/>
        </w:tabs>
        <w:ind w:left="1701" w:hanging="621"/>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9">
    <w:nsid w:val="54F44E9E"/>
    <w:multiLevelType w:val="multilevel"/>
    <w:tmpl w:val="54F44E9E"/>
    <w:lvl w:ilvl="0">
      <w:start w:val="1"/>
      <w:numFmt w:val="decimal"/>
      <w:pStyle w:val="Heading1"/>
      <w:lvlText w:val="%1.0"/>
      <w:lvlJc w:val="left"/>
      <w:pPr>
        <w:tabs>
          <w:tab w:val="left" w:pos="720"/>
        </w:tabs>
        <w:ind w:left="720" w:hanging="720"/>
      </w:pPr>
      <w:rPr>
        <w:rFonts w:ascii="Times New Roman" w:hAnsi="Times New Roman" w:hint="default"/>
        <w:b/>
        <w:i w:val="0"/>
        <w:caps w:val="0"/>
        <w:sz w:val="24"/>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90">
    <w:nsid w:val="55FF7016"/>
    <w:multiLevelType w:val="multilevel"/>
    <w:tmpl w:val="55FF7016"/>
    <w:lvl w:ilvl="0">
      <w:start w:val="1"/>
      <w:numFmt w:val="lowerLetter"/>
      <w:lvlText w:val="%1)"/>
      <w:lvlJc w:val="left"/>
      <w:pPr>
        <w:ind w:left="1917" w:hanging="420"/>
      </w:pPr>
    </w:lvl>
    <w:lvl w:ilvl="1">
      <w:start w:val="1"/>
      <w:numFmt w:val="lowerLetter"/>
      <w:lvlText w:val="%2)"/>
      <w:lvlJc w:val="left"/>
      <w:pPr>
        <w:ind w:left="2337" w:hanging="420"/>
      </w:pPr>
    </w:lvl>
    <w:lvl w:ilvl="2">
      <w:start w:val="1"/>
      <w:numFmt w:val="lowerRoman"/>
      <w:lvlText w:val="%3."/>
      <w:lvlJc w:val="right"/>
      <w:pPr>
        <w:ind w:left="2757" w:hanging="420"/>
      </w:pPr>
    </w:lvl>
    <w:lvl w:ilvl="3">
      <w:start w:val="1"/>
      <w:numFmt w:val="decimal"/>
      <w:lvlText w:val="%4."/>
      <w:lvlJc w:val="left"/>
      <w:pPr>
        <w:ind w:left="3177" w:hanging="420"/>
      </w:pPr>
    </w:lvl>
    <w:lvl w:ilvl="4">
      <w:start w:val="1"/>
      <w:numFmt w:val="lowerLetter"/>
      <w:lvlText w:val="%5)"/>
      <w:lvlJc w:val="left"/>
      <w:pPr>
        <w:ind w:left="3597" w:hanging="420"/>
      </w:pPr>
    </w:lvl>
    <w:lvl w:ilvl="5">
      <w:start w:val="1"/>
      <w:numFmt w:val="lowerRoman"/>
      <w:lvlText w:val="%6."/>
      <w:lvlJc w:val="right"/>
      <w:pPr>
        <w:ind w:left="4017" w:hanging="420"/>
      </w:pPr>
    </w:lvl>
    <w:lvl w:ilvl="6">
      <w:start w:val="1"/>
      <w:numFmt w:val="decimal"/>
      <w:lvlText w:val="%7."/>
      <w:lvlJc w:val="left"/>
      <w:pPr>
        <w:ind w:left="4437" w:hanging="420"/>
      </w:pPr>
    </w:lvl>
    <w:lvl w:ilvl="7">
      <w:start w:val="1"/>
      <w:numFmt w:val="lowerLetter"/>
      <w:lvlText w:val="%8)"/>
      <w:lvlJc w:val="left"/>
      <w:pPr>
        <w:ind w:left="4857" w:hanging="420"/>
      </w:pPr>
    </w:lvl>
    <w:lvl w:ilvl="8">
      <w:start w:val="1"/>
      <w:numFmt w:val="lowerRoman"/>
      <w:lvlText w:val="%9."/>
      <w:lvlJc w:val="right"/>
      <w:pPr>
        <w:ind w:left="5277" w:hanging="420"/>
      </w:pPr>
    </w:lvl>
  </w:abstractNum>
  <w:abstractNum w:abstractNumId="91">
    <w:nsid w:val="5BA04E25"/>
    <w:multiLevelType w:val="multilevel"/>
    <w:tmpl w:val="5BA04E25"/>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92">
    <w:nsid w:val="5C016813"/>
    <w:multiLevelType w:val="multilevel"/>
    <w:tmpl w:val="5C016813"/>
    <w:lvl w:ilvl="0">
      <w:start w:val="1"/>
      <w:numFmt w:val="decimal"/>
      <w:lvlText w:val="%1)"/>
      <w:lvlJc w:val="left"/>
      <w:pPr>
        <w:ind w:left="1555" w:hanging="420"/>
      </w:p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abstractNum w:abstractNumId="93">
    <w:nsid w:val="649F7A47"/>
    <w:multiLevelType w:val="multilevel"/>
    <w:tmpl w:val="649F7A47"/>
    <w:lvl w:ilvl="0">
      <w:start w:val="1"/>
      <w:numFmt w:val="decimal"/>
      <w:lvlText w:val="%1)"/>
      <w:lvlJc w:val="left"/>
      <w:pPr>
        <w:tabs>
          <w:tab w:val="left" w:pos="4680"/>
        </w:tabs>
        <w:ind w:left="4680" w:hanging="360"/>
      </w:pPr>
      <w:rPr>
        <w:rFonts w:hint="eastAsia"/>
      </w:rPr>
    </w:lvl>
    <w:lvl w:ilvl="1">
      <w:start w:val="1"/>
      <w:numFmt w:val="decimal"/>
      <w:lvlText w:val="%2)"/>
      <w:lvlJc w:val="left"/>
      <w:pPr>
        <w:tabs>
          <w:tab w:val="left" w:pos="1701"/>
        </w:tabs>
        <w:ind w:left="1701" w:hanging="621"/>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4">
    <w:nsid w:val="65E60550"/>
    <w:multiLevelType w:val="multilevel"/>
    <w:tmpl w:val="65E60550"/>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5">
    <w:nsid w:val="6BD9221B"/>
    <w:multiLevelType w:val="multilevel"/>
    <w:tmpl w:val="6BD9221B"/>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6">
    <w:nsid w:val="6DA531FD"/>
    <w:multiLevelType w:val="multilevel"/>
    <w:tmpl w:val="6DA531FD"/>
    <w:lvl w:ilvl="0">
      <w:start w:val="1"/>
      <w:numFmt w:val="decimal"/>
      <w:lvlText w:val="%1)"/>
      <w:lvlJc w:val="left"/>
      <w:pPr>
        <w:ind w:left="1497" w:hanging="420"/>
      </w:pPr>
    </w:lvl>
    <w:lvl w:ilvl="1">
      <w:start w:val="1"/>
      <w:numFmt w:val="lowerLetter"/>
      <w:lvlText w:val="%2)"/>
      <w:lvlJc w:val="left"/>
      <w:pPr>
        <w:ind w:left="1492" w:hanging="420"/>
      </w:pPr>
    </w:lvl>
    <w:lvl w:ilvl="2">
      <w:start w:val="1"/>
      <w:numFmt w:val="lowerRoman"/>
      <w:lvlText w:val="%3."/>
      <w:lvlJc w:val="right"/>
      <w:pPr>
        <w:ind w:left="1912" w:hanging="420"/>
      </w:pPr>
    </w:lvl>
    <w:lvl w:ilvl="3">
      <w:start w:val="1"/>
      <w:numFmt w:val="decimal"/>
      <w:lvlText w:val="%4."/>
      <w:lvlJc w:val="left"/>
      <w:pPr>
        <w:ind w:left="2332" w:hanging="420"/>
      </w:pPr>
    </w:lvl>
    <w:lvl w:ilvl="4">
      <w:start w:val="1"/>
      <w:numFmt w:val="lowerLetter"/>
      <w:lvlText w:val="%5)"/>
      <w:lvlJc w:val="left"/>
      <w:pPr>
        <w:ind w:left="2752" w:hanging="420"/>
      </w:pPr>
    </w:lvl>
    <w:lvl w:ilvl="5">
      <w:start w:val="1"/>
      <w:numFmt w:val="lowerRoman"/>
      <w:lvlText w:val="%6."/>
      <w:lvlJc w:val="right"/>
      <w:pPr>
        <w:ind w:left="3172" w:hanging="420"/>
      </w:pPr>
    </w:lvl>
    <w:lvl w:ilvl="6">
      <w:start w:val="1"/>
      <w:numFmt w:val="decimal"/>
      <w:lvlText w:val="%7."/>
      <w:lvlJc w:val="left"/>
      <w:pPr>
        <w:ind w:left="3592" w:hanging="420"/>
      </w:pPr>
    </w:lvl>
    <w:lvl w:ilvl="7">
      <w:start w:val="1"/>
      <w:numFmt w:val="lowerLetter"/>
      <w:lvlText w:val="%8)"/>
      <w:lvlJc w:val="left"/>
      <w:pPr>
        <w:ind w:left="4012" w:hanging="420"/>
      </w:pPr>
    </w:lvl>
    <w:lvl w:ilvl="8">
      <w:start w:val="1"/>
      <w:numFmt w:val="lowerRoman"/>
      <w:lvlText w:val="%9."/>
      <w:lvlJc w:val="right"/>
      <w:pPr>
        <w:ind w:left="4432" w:hanging="420"/>
      </w:pPr>
    </w:lvl>
  </w:abstractNum>
  <w:abstractNum w:abstractNumId="97">
    <w:nsid w:val="712018A1"/>
    <w:multiLevelType w:val="multilevel"/>
    <w:tmpl w:val="712018A1"/>
    <w:lvl w:ilvl="0">
      <w:start w:val="1"/>
      <w:numFmt w:val="upper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tter"/>
      <w:lvlText w:val="%1%2."/>
      <w:lvlJc w:val="left"/>
      <w:pPr>
        <w:tabs>
          <w:tab w:val="left" w:pos="1080"/>
        </w:tabs>
        <w:ind w:left="1080" w:hanging="1080"/>
      </w:pPr>
      <w:rPr>
        <w:rFonts w:ascii="Arial" w:hAnsi="Arial" w:hint="default"/>
        <w:b/>
        <w:i w:val="0"/>
        <w:caps/>
        <w:sz w:val="24"/>
      </w:rPr>
    </w:lvl>
    <w:lvl w:ilvl="2">
      <w:start w:val="1"/>
      <w:numFmt w:val="decimal"/>
      <w:lvlText w:val="%1%2.%3"/>
      <w:lvlJc w:val="left"/>
      <w:pPr>
        <w:tabs>
          <w:tab w:val="left" w:pos="1080"/>
        </w:tabs>
        <w:ind w:left="1080" w:hanging="1080"/>
      </w:pPr>
      <w:rPr>
        <w:rFonts w:ascii="Arial" w:hAnsi="Arial" w:hint="default"/>
        <w:b/>
        <w:i w:val="0"/>
        <w:sz w:val="24"/>
      </w:rPr>
    </w:lvl>
    <w:lvl w:ilvl="3">
      <w:start w:val="1"/>
      <w:numFmt w:val="decimal"/>
      <w:lvlText w:val="%1%2.%3.%4"/>
      <w:lvlJc w:val="left"/>
      <w:pPr>
        <w:tabs>
          <w:tab w:val="left" w:pos="2160"/>
        </w:tabs>
        <w:ind w:left="2160" w:hanging="1080"/>
      </w:pPr>
      <w:rPr>
        <w:rFonts w:ascii="Arial" w:hAnsi="Arial" w:hint="default"/>
        <w:b/>
        <w:i w:val="0"/>
        <w:sz w:val="20"/>
      </w:rPr>
    </w:lvl>
    <w:lvl w:ilvl="4">
      <w:start w:val="1"/>
      <w:numFmt w:val="decimal"/>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98">
    <w:nsid w:val="717D240D"/>
    <w:multiLevelType w:val="multilevel"/>
    <w:tmpl w:val="717D240D"/>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99">
    <w:nsid w:val="71DF3C24"/>
    <w:multiLevelType w:val="multilevel"/>
    <w:tmpl w:val="71DF3C24"/>
    <w:lvl w:ilvl="0">
      <w:start w:val="1"/>
      <w:numFmt w:val="decimal"/>
      <w:lvlText w:val="%1)"/>
      <w:lvlJc w:val="left"/>
      <w:pPr>
        <w:tabs>
          <w:tab w:val="left" w:pos="1656"/>
        </w:tabs>
        <w:ind w:left="1656" w:hanging="576"/>
      </w:pPr>
      <w:rPr>
        <w:rFonts w:hint="eastAsia"/>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100">
    <w:nsid w:val="728D58A3"/>
    <w:multiLevelType w:val="multilevel"/>
    <w:tmpl w:val="728D58A3"/>
    <w:lvl w:ilvl="0">
      <w:start w:val="1"/>
      <w:numFmt w:val="lowerLetter"/>
      <w:lvlText w:val="%1)"/>
      <w:lvlJc w:val="left"/>
      <w:pPr>
        <w:ind w:left="1920" w:hanging="420"/>
      </w:pPr>
    </w:lvl>
    <w:lvl w:ilvl="1">
      <w:start w:val="1"/>
      <w:numFmt w:val="lowerLetter"/>
      <w:lvlText w:val="%2)"/>
      <w:lvlJc w:val="left"/>
      <w:pPr>
        <w:ind w:left="2340" w:hanging="420"/>
      </w:pPr>
    </w:lvl>
    <w:lvl w:ilvl="2">
      <w:start w:val="1"/>
      <w:numFmt w:val="lowerRoman"/>
      <w:lvlText w:val="%3."/>
      <w:lvlJc w:val="right"/>
      <w:pPr>
        <w:ind w:left="2760" w:hanging="420"/>
      </w:pPr>
    </w:lvl>
    <w:lvl w:ilvl="3">
      <w:start w:val="1"/>
      <w:numFmt w:val="decimal"/>
      <w:lvlText w:val="%4."/>
      <w:lvlJc w:val="left"/>
      <w:pPr>
        <w:ind w:left="3180" w:hanging="420"/>
      </w:pPr>
    </w:lvl>
    <w:lvl w:ilvl="4">
      <w:start w:val="1"/>
      <w:numFmt w:val="lowerLetter"/>
      <w:lvlText w:val="%5)"/>
      <w:lvlJc w:val="left"/>
      <w:pPr>
        <w:ind w:left="3600" w:hanging="420"/>
      </w:pPr>
    </w:lvl>
    <w:lvl w:ilvl="5">
      <w:start w:val="1"/>
      <w:numFmt w:val="lowerRoman"/>
      <w:lvlText w:val="%6."/>
      <w:lvlJc w:val="right"/>
      <w:pPr>
        <w:ind w:left="4020" w:hanging="420"/>
      </w:pPr>
    </w:lvl>
    <w:lvl w:ilvl="6">
      <w:start w:val="1"/>
      <w:numFmt w:val="decimal"/>
      <w:lvlText w:val="%7."/>
      <w:lvlJc w:val="left"/>
      <w:pPr>
        <w:ind w:left="4440" w:hanging="420"/>
      </w:pPr>
    </w:lvl>
    <w:lvl w:ilvl="7">
      <w:start w:val="1"/>
      <w:numFmt w:val="lowerLetter"/>
      <w:lvlText w:val="%8)"/>
      <w:lvlJc w:val="left"/>
      <w:pPr>
        <w:ind w:left="4860" w:hanging="420"/>
      </w:pPr>
    </w:lvl>
    <w:lvl w:ilvl="8">
      <w:start w:val="1"/>
      <w:numFmt w:val="lowerRoman"/>
      <w:lvlText w:val="%9."/>
      <w:lvlJc w:val="right"/>
      <w:pPr>
        <w:ind w:left="5280" w:hanging="420"/>
      </w:pPr>
    </w:lvl>
  </w:abstractNum>
  <w:abstractNum w:abstractNumId="101">
    <w:nsid w:val="751275DE"/>
    <w:multiLevelType w:val="multilevel"/>
    <w:tmpl w:val="751275DE"/>
    <w:lvl w:ilvl="0">
      <w:start w:val="1"/>
      <w:numFmt w:val="decimal"/>
      <w:lvlText w:val="%1)"/>
      <w:lvlJc w:val="left"/>
      <w:pPr>
        <w:tabs>
          <w:tab w:val="left" w:pos="1500"/>
        </w:tabs>
        <w:ind w:left="1500" w:hanging="420"/>
      </w:p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102">
    <w:nsid w:val="7636509E"/>
    <w:multiLevelType w:val="multilevel"/>
    <w:tmpl w:val="7636509E"/>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103">
    <w:nsid w:val="786F1C85"/>
    <w:multiLevelType w:val="multilevel"/>
    <w:tmpl w:val="786F1C85"/>
    <w:lvl w:ilvl="0">
      <w:start w:val="1"/>
      <w:numFmt w:val="lowerRoman"/>
      <w:lvlText w:val="%1."/>
      <w:lvlJc w:val="right"/>
      <w:pPr>
        <w:ind w:left="2100" w:hanging="420"/>
      </w:pPr>
    </w:lvl>
    <w:lvl w:ilvl="1">
      <w:start w:val="1"/>
      <w:numFmt w:val="lowerLetter"/>
      <w:lvlText w:val="%2)"/>
      <w:lvlJc w:val="left"/>
      <w:pPr>
        <w:ind w:left="2520" w:hanging="420"/>
      </w:pPr>
    </w:lvl>
    <w:lvl w:ilvl="2">
      <w:start w:val="1"/>
      <w:numFmt w:val="lowerRoman"/>
      <w:lvlText w:val="%3."/>
      <w:lvlJc w:val="right"/>
      <w:pPr>
        <w:ind w:left="2940" w:hanging="420"/>
      </w:pPr>
    </w:lvl>
    <w:lvl w:ilvl="3">
      <w:start w:val="1"/>
      <w:numFmt w:val="decimal"/>
      <w:lvlText w:val="%4."/>
      <w:lvlJc w:val="left"/>
      <w:pPr>
        <w:ind w:left="3360" w:hanging="420"/>
      </w:pPr>
    </w:lvl>
    <w:lvl w:ilvl="4">
      <w:start w:val="1"/>
      <w:numFmt w:val="lowerLetter"/>
      <w:lvlText w:val="%5)"/>
      <w:lvlJc w:val="left"/>
      <w:pPr>
        <w:ind w:left="3780" w:hanging="420"/>
      </w:pPr>
    </w:lvl>
    <w:lvl w:ilvl="5">
      <w:start w:val="1"/>
      <w:numFmt w:val="lowerRoman"/>
      <w:lvlText w:val="%6."/>
      <w:lvlJc w:val="right"/>
      <w:pPr>
        <w:ind w:left="4200" w:hanging="420"/>
      </w:pPr>
    </w:lvl>
    <w:lvl w:ilvl="6">
      <w:start w:val="1"/>
      <w:numFmt w:val="decimal"/>
      <w:lvlText w:val="%7."/>
      <w:lvlJc w:val="left"/>
      <w:pPr>
        <w:ind w:left="4620" w:hanging="420"/>
      </w:pPr>
    </w:lvl>
    <w:lvl w:ilvl="7">
      <w:start w:val="1"/>
      <w:numFmt w:val="lowerLetter"/>
      <w:lvlText w:val="%8)"/>
      <w:lvlJc w:val="left"/>
      <w:pPr>
        <w:ind w:left="5040" w:hanging="420"/>
      </w:pPr>
    </w:lvl>
    <w:lvl w:ilvl="8">
      <w:start w:val="1"/>
      <w:numFmt w:val="lowerRoman"/>
      <w:lvlText w:val="%9."/>
      <w:lvlJc w:val="right"/>
      <w:pPr>
        <w:ind w:left="5460" w:hanging="420"/>
      </w:pPr>
    </w:lvl>
  </w:abstractNum>
  <w:abstractNum w:abstractNumId="104">
    <w:nsid w:val="7972665E"/>
    <w:multiLevelType w:val="multilevel"/>
    <w:tmpl w:val="7972665E"/>
    <w:lvl w:ilvl="0">
      <w:start w:val="1"/>
      <w:numFmt w:val="decimal"/>
      <w:lvlText w:val="%1."/>
      <w:lvlJc w:val="left"/>
      <w:pPr>
        <w:tabs>
          <w:tab w:val="left" w:pos="1080"/>
        </w:tabs>
        <w:ind w:left="1080" w:hanging="1080"/>
      </w:pPr>
      <w:rPr>
        <w:rFonts w:ascii="Arial" w:hAnsi="Arial" w:hint="default"/>
        <w:b/>
        <w:sz w:val="20"/>
      </w:rPr>
    </w:lvl>
    <w:lvl w:ilvl="1">
      <w:start w:val="1"/>
      <w:numFmt w:val="decimal"/>
      <w:lvlText w:val="%1.%2"/>
      <w:lvlJc w:val="left"/>
      <w:pPr>
        <w:tabs>
          <w:tab w:val="left" w:pos="1080"/>
        </w:tabs>
        <w:ind w:left="1080" w:hanging="1080"/>
      </w:pPr>
      <w:rPr>
        <w:rFonts w:ascii="Arial" w:hAnsi="Arial" w:hint="default"/>
        <w:b/>
        <w:sz w:val="20"/>
      </w:rPr>
    </w:lvl>
    <w:lvl w:ilvl="2">
      <w:start w:val="1"/>
      <w:numFmt w:val="decimal"/>
      <w:lvlText w:val="%1.%2.%3"/>
      <w:lvlJc w:val="left"/>
      <w:pPr>
        <w:tabs>
          <w:tab w:val="left" w:pos="1080"/>
        </w:tabs>
        <w:ind w:left="1080" w:hanging="1080"/>
      </w:pPr>
      <w:rPr>
        <w:rFonts w:ascii="Arial" w:hAnsi="Arial" w:hint="default"/>
        <w:b/>
        <w:sz w:val="20"/>
      </w:rPr>
    </w:lvl>
    <w:lvl w:ilvl="3">
      <w:start w:val="1"/>
      <w:numFmt w:val="decimal"/>
      <w:pStyle w:val="Level20"/>
      <w:lvlText w:val="%1.%2.%3.%4"/>
      <w:lvlJc w:val="left"/>
      <w:pPr>
        <w:tabs>
          <w:tab w:val="left" w:pos="2016"/>
        </w:tabs>
        <w:ind w:left="2016" w:hanging="936"/>
      </w:pPr>
      <w:rPr>
        <w:rFonts w:ascii="Arial" w:hAnsi="Arial" w:hint="default"/>
        <w:b/>
        <w:sz w:val="20"/>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105">
    <w:nsid w:val="7B803EBC"/>
    <w:multiLevelType w:val="singleLevel"/>
    <w:tmpl w:val="7B803EBC"/>
    <w:lvl w:ilvl="0">
      <w:start w:val="1"/>
      <w:numFmt w:val="upperLetter"/>
      <w:pStyle w:val="ListAlpha"/>
      <w:lvlText w:val="%1."/>
      <w:lvlJc w:val="left"/>
      <w:pPr>
        <w:tabs>
          <w:tab w:val="left" w:pos="1701"/>
        </w:tabs>
        <w:ind w:left="1701" w:hanging="567"/>
      </w:pPr>
      <w:rPr>
        <w:rFonts w:ascii="Frutiger 45 Light" w:hAnsi="Frutiger 45 Light" w:hint="default"/>
        <w:b w:val="0"/>
        <w:i w:val="0"/>
        <w:sz w:val="22"/>
      </w:rPr>
    </w:lvl>
  </w:abstractNum>
  <w:abstractNum w:abstractNumId="106">
    <w:nsid w:val="7BCB1F72"/>
    <w:multiLevelType w:val="multilevel"/>
    <w:tmpl w:val="7BCB1F72"/>
    <w:lvl w:ilvl="0">
      <w:start w:val="1"/>
      <w:numFmt w:val="decimal"/>
      <w:lvlText w:val="%1)"/>
      <w:lvlJc w:val="left"/>
      <w:pPr>
        <w:tabs>
          <w:tab w:val="left" w:pos="1656"/>
        </w:tabs>
        <w:ind w:left="1656" w:hanging="576"/>
      </w:pPr>
      <w:rPr>
        <w:rFonts w:hint="eastAsia"/>
      </w:rPr>
    </w:lvl>
    <w:lvl w:ilvl="1">
      <w:start w:val="9"/>
      <w:numFmt w:val="decimal"/>
      <w:lvlText w:val="%2."/>
      <w:lvlJc w:val="left"/>
      <w:pPr>
        <w:tabs>
          <w:tab w:val="left" w:pos="1620"/>
        </w:tabs>
        <w:ind w:left="1620" w:hanging="540"/>
      </w:pPr>
      <w:rPr>
        <w:rFonts w:eastAsia="宋体"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7">
    <w:nsid w:val="7BCD3E58"/>
    <w:multiLevelType w:val="multilevel"/>
    <w:tmpl w:val="7BCD3E58"/>
    <w:lvl w:ilvl="0">
      <w:start w:val="1"/>
      <w:numFmt w:val="bullet"/>
      <w:lvlText w:val=""/>
      <w:lvlJc w:val="left"/>
      <w:pPr>
        <w:ind w:left="2520" w:hanging="420"/>
      </w:pPr>
      <w:rPr>
        <w:rFonts w:ascii="Wingdings" w:hAnsi="Wingdings" w:hint="default"/>
      </w:rPr>
    </w:lvl>
    <w:lvl w:ilvl="1">
      <w:start w:val="1"/>
      <w:numFmt w:val="bullet"/>
      <w:lvlText w:val=""/>
      <w:lvlJc w:val="left"/>
      <w:pPr>
        <w:ind w:left="2940" w:hanging="420"/>
      </w:pPr>
      <w:rPr>
        <w:rFonts w:ascii="Wingdings" w:hAnsi="Wingdings" w:hint="default"/>
      </w:rPr>
    </w:lvl>
    <w:lvl w:ilvl="2">
      <w:start w:val="1"/>
      <w:numFmt w:val="bullet"/>
      <w:lvlText w:val=""/>
      <w:lvlJc w:val="left"/>
      <w:pPr>
        <w:ind w:left="3360" w:hanging="420"/>
      </w:pPr>
      <w:rPr>
        <w:rFonts w:ascii="Wingdings" w:hAnsi="Wingdings" w:hint="default"/>
      </w:rPr>
    </w:lvl>
    <w:lvl w:ilvl="3">
      <w:start w:val="1"/>
      <w:numFmt w:val="bullet"/>
      <w:lvlText w:val=""/>
      <w:lvlJc w:val="left"/>
      <w:pPr>
        <w:ind w:left="3780" w:hanging="420"/>
      </w:pPr>
      <w:rPr>
        <w:rFonts w:ascii="Wingdings" w:hAnsi="Wingdings" w:hint="default"/>
      </w:rPr>
    </w:lvl>
    <w:lvl w:ilvl="4">
      <w:start w:val="1"/>
      <w:numFmt w:val="bullet"/>
      <w:lvlText w:val=""/>
      <w:lvlJc w:val="left"/>
      <w:pPr>
        <w:ind w:left="4200" w:hanging="420"/>
      </w:pPr>
      <w:rPr>
        <w:rFonts w:ascii="Wingdings" w:hAnsi="Wingdings" w:hint="default"/>
      </w:rPr>
    </w:lvl>
    <w:lvl w:ilvl="5">
      <w:start w:val="1"/>
      <w:numFmt w:val="bullet"/>
      <w:lvlText w:val=""/>
      <w:lvlJc w:val="left"/>
      <w:pPr>
        <w:ind w:left="4620" w:hanging="420"/>
      </w:pPr>
      <w:rPr>
        <w:rFonts w:ascii="Wingdings" w:hAnsi="Wingdings" w:hint="default"/>
      </w:rPr>
    </w:lvl>
    <w:lvl w:ilvl="6">
      <w:start w:val="1"/>
      <w:numFmt w:val="bullet"/>
      <w:lvlText w:val=""/>
      <w:lvlJc w:val="left"/>
      <w:pPr>
        <w:ind w:left="5040" w:hanging="420"/>
      </w:pPr>
      <w:rPr>
        <w:rFonts w:ascii="Wingdings" w:hAnsi="Wingdings" w:hint="default"/>
      </w:rPr>
    </w:lvl>
    <w:lvl w:ilvl="7">
      <w:start w:val="1"/>
      <w:numFmt w:val="bullet"/>
      <w:lvlText w:val=""/>
      <w:lvlJc w:val="left"/>
      <w:pPr>
        <w:ind w:left="5460" w:hanging="420"/>
      </w:pPr>
      <w:rPr>
        <w:rFonts w:ascii="Wingdings" w:hAnsi="Wingdings" w:hint="default"/>
      </w:rPr>
    </w:lvl>
    <w:lvl w:ilvl="8">
      <w:start w:val="1"/>
      <w:numFmt w:val="bullet"/>
      <w:lvlText w:val=""/>
      <w:lvlJc w:val="left"/>
      <w:pPr>
        <w:ind w:left="5880" w:hanging="420"/>
      </w:pPr>
      <w:rPr>
        <w:rFonts w:ascii="Wingdings" w:hAnsi="Wingdings" w:hint="default"/>
      </w:rPr>
    </w:lvl>
  </w:abstractNum>
  <w:abstractNum w:abstractNumId="108">
    <w:nsid w:val="7CFC26EA"/>
    <w:multiLevelType w:val="multilevel"/>
    <w:tmpl w:val="7CFC26EA"/>
    <w:lvl w:ilvl="0">
      <w:start w:val="6"/>
      <w:numFmt w:val="decimal"/>
      <w:lvlText w:val="%1"/>
      <w:lvlJc w:val="left"/>
      <w:pPr>
        <w:tabs>
          <w:tab w:val="left" w:pos="1253"/>
        </w:tabs>
        <w:ind w:left="1253" w:hanging="720"/>
      </w:pPr>
      <w:rPr>
        <w:rFonts w:ascii="Times New Roman Bold" w:hAnsi="Times New Roman Bold" w:hint="default"/>
        <w:b/>
        <w:i w:val="0"/>
        <w:color w:val="auto"/>
        <w:sz w:val="22"/>
      </w:rPr>
    </w:lvl>
    <w:lvl w:ilvl="1">
      <w:start w:val="1"/>
      <w:numFmt w:val="decimal"/>
      <w:lvlText w:val="%1.%2"/>
      <w:lvlJc w:val="left"/>
      <w:pPr>
        <w:tabs>
          <w:tab w:val="left" w:pos="2102"/>
        </w:tabs>
        <w:ind w:left="2102" w:hanging="849"/>
      </w:pPr>
      <w:rPr>
        <w:rFonts w:ascii="Arial Black" w:hAnsi="Arial Black" w:hint="default"/>
        <w:b w:val="0"/>
        <w:i w:val="0"/>
        <w:sz w:val="20"/>
      </w:rPr>
    </w:lvl>
    <w:lvl w:ilvl="2">
      <w:start w:val="1"/>
      <w:numFmt w:val="decimal"/>
      <w:lvlText w:val="%1.%2.%3"/>
      <w:lvlJc w:val="left"/>
      <w:pPr>
        <w:tabs>
          <w:tab w:val="left" w:pos="2102"/>
        </w:tabs>
        <w:ind w:left="2102" w:hanging="849"/>
      </w:pPr>
      <w:rPr>
        <w:rFonts w:ascii="Arial Black" w:hAnsi="Arial Black" w:hint="default"/>
        <w:b w:val="0"/>
        <w:i w:val="0"/>
        <w:sz w:val="18"/>
      </w:rPr>
    </w:lvl>
    <w:lvl w:ilvl="3">
      <w:start w:val="1"/>
      <w:numFmt w:val="decimal"/>
      <w:pStyle w:val="SubLevel4"/>
      <w:lvlText w:val="%1.%2.%3.%4"/>
      <w:lvlJc w:val="left"/>
      <w:pPr>
        <w:tabs>
          <w:tab w:val="left" w:pos="2304"/>
        </w:tabs>
        <w:ind w:left="2304" w:hanging="1051"/>
      </w:pPr>
      <w:rPr>
        <w:rFonts w:ascii="Arial Black" w:hAnsi="Arial Black" w:hint="default"/>
        <w:b w:val="0"/>
        <w:i w:val="0"/>
        <w:sz w:val="18"/>
      </w:rPr>
    </w:lvl>
    <w:lvl w:ilvl="4">
      <w:start w:val="1"/>
      <w:numFmt w:val="decimal"/>
      <w:lvlText w:val="%1.%2.%3.%4.%5"/>
      <w:lvlJc w:val="left"/>
      <w:pPr>
        <w:tabs>
          <w:tab w:val="left" w:pos="1852"/>
        </w:tabs>
        <w:ind w:left="1852" w:hanging="1080"/>
      </w:pPr>
      <w:rPr>
        <w:rFonts w:hint="default"/>
      </w:rPr>
    </w:lvl>
    <w:lvl w:ilvl="5">
      <w:start w:val="1"/>
      <w:numFmt w:val="decimal"/>
      <w:lvlText w:val="%1.%2.%3.%4.%5.%6"/>
      <w:lvlJc w:val="left"/>
      <w:pPr>
        <w:tabs>
          <w:tab w:val="left" w:pos="1852"/>
        </w:tabs>
        <w:ind w:left="1852" w:hanging="1080"/>
      </w:pPr>
      <w:rPr>
        <w:rFonts w:hint="default"/>
      </w:rPr>
    </w:lvl>
    <w:lvl w:ilvl="6">
      <w:start w:val="1"/>
      <w:numFmt w:val="decimal"/>
      <w:lvlText w:val="%1.%2.%3.%4.%5.%6.%7"/>
      <w:lvlJc w:val="left"/>
      <w:pPr>
        <w:tabs>
          <w:tab w:val="left" w:pos="2212"/>
        </w:tabs>
        <w:ind w:left="2212" w:hanging="1440"/>
      </w:pPr>
      <w:rPr>
        <w:rFonts w:hint="default"/>
      </w:rPr>
    </w:lvl>
    <w:lvl w:ilvl="7">
      <w:start w:val="1"/>
      <w:numFmt w:val="decimal"/>
      <w:lvlText w:val="%1.%2.%3.%4.%5.%6.%7.%8"/>
      <w:lvlJc w:val="left"/>
      <w:pPr>
        <w:tabs>
          <w:tab w:val="left" w:pos="2212"/>
        </w:tabs>
        <w:ind w:left="2212" w:hanging="1440"/>
      </w:pPr>
      <w:rPr>
        <w:rFonts w:hint="default"/>
      </w:rPr>
    </w:lvl>
    <w:lvl w:ilvl="8">
      <w:start w:val="1"/>
      <w:numFmt w:val="decimal"/>
      <w:lvlText w:val="%1.%2.%3.%4.%5.%6.%7.%8.%9"/>
      <w:lvlJc w:val="left"/>
      <w:pPr>
        <w:tabs>
          <w:tab w:val="left" w:pos="2212"/>
        </w:tabs>
        <w:ind w:left="2212" w:hanging="1440"/>
      </w:pPr>
      <w:rPr>
        <w:rFonts w:hint="default"/>
      </w:rPr>
    </w:lvl>
  </w:abstractNum>
  <w:num w:numId="1">
    <w:abstractNumId w:val="89"/>
  </w:num>
  <w:num w:numId="2">
    <w:abstractNumId w:val="8"/>
  </w:num>
  <w:num w:numId="3">
    <w:abstractNumId w:val="10"/>
  </w:num>
  <w:num w:numId="4">
    <w:abstractNumId w:val="13"/>
  </w:num>
  <w:num w:numId="5">
    <w:abstractNumId w:val="14"/>
  </w:num>
  <w:num w:numId="6">
    <w:abstractNumId w:val="11"/>
  </w:num>
  <w:num w:numId="7">
    <w:abstractNumId w:val="7"/>
  </w:num>
  <w:num w:numId="8">
    <w:abstractNumId w:val="12"/>
  </w:num>
  <w:num w:numId="9">
    <w:abstractNumId w:val="9"/>
  </w:num>
  <w:num w:numId="10">
    <w:abstractNumId w:val="6"/>
  </w:num>
  <w:num w:numId="11">
    <w:abstractNumId w:val="5"/>
  </w:num>
  <w:num w:numId="12">
    <w:abstractNumId w:val="30"/>
  </w:num>
  <w:num w:numId="13">
    <w:abstractNumId w:val="79"/>
  </w:num>
  <w:num w:numId="14">
    <w:abstractNumId w:val="32"/>
  </w:num>
  <w:num w:numId="15">
    <w:abstractNumId w:val="97"/>
  </w:num>
  <w:num w:numId="16">
    <w:abstractNumId w:val="61"/>
  </w:num>
  <w:num w:numId="17">
    <w:abstractNumId w:val="104"/>
  </w:num>
  <w:num w:numId="18">
    <w:abstractNumId w:val="40"/>
  </w:num>
  <w:num w:numId="19">
    <w:abstractNumId w:val="75"/>
  </w:num>
  <w:num w:numId="20">
    <w:abstractNumId w:val="67"/>
  </w:num>
  <w:num w:numId="21">
    <w:abstractNumId w:val="24"/>
  </w:num>
  <w:num w:numId="22">
    <w:abstractNumId w:val="108"/>
  </w:num>
  <w:num w:numId="23">
    <w:abstractNumId w:val="105"/>
  </w:num>
  <w:num w:numId="2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6"/>
  </w:num>
  <w:num w:numId="26">
    <w:abstractNumId w:val="27"/>
  </w:num>
  <w:num w:numId="27">
    <w:abstractNumId w:val="73"/>
  </w:num>
  <w:num w:numId="28">
    <w:abstractNumId w:val="62"/>
  </w:num>
  <w:num w:numId="29">
    <w:abstractNumId w:val="56"/>
  </w:num>
  <w:num w:numId="30">
    <w:abstractNumId w:val="34"/>
  </w:num>
  <w:num w:numId="31">
    <w:abstractNumId w:val="64"/>
  </w:num>
  <w:num w:numId="32">
    <w:abstractNumId w:val="68"/>
  </w:num>
  <w:num w:numId="33">
    <w:abstractNumId w:val="52"/>
  </w:num>
  <w:num w:numId="34">
    <w:abstractNumId w:val="26"/>
  </w:num>
  <w:num w:numId="35">
    <w:abstractNumId w:val="71"/>
  </w:num>
  <w:num w:numId="36">
    <w:abstractNumId w:val="42"/>
  </w:num>
  <w:num w:numId="37">
    <w:abstractNumId w:val="53"/>
  </w:num>
  <w:num w:numId="38">
    <w:abstractNumId w:val="103"/>
  </w:num>
  <w:num w:numId="39">
    <w:abstractNumId w:val="63"/>
  </w:num>
  <w:num w:numId="40">
    <w:abstractNumId w:val="36"/>
  </w:num>
  <w:num w:numId="41">
    <w:abstractNumId w:val="107"/>
  </w:num>
  <w:num w:numId="42">
    <w:abstractNumId w:val="86"/>
  </w:num>
  <w:num w:numId="43">
    <w:abstractNumId w:val="18"/>
  </w:num>
  <w:num w:numId="44">
    <w:abstractNumId w:val="22"/>
  </w:num>
  <w:num w:numId="45">
    <w:abstractNumId w:val="35"/>
  </w:num>
  <w:num w:numId="46">
    <w:abstractNumId w:val="49"/>
  </w:num>
  <w:num w:numId="47">
    <w:abstractNumId w:val="2"/>
  </w:num>
  <w:num w:numId="48">
    <w:abstractNumId w:val="1"/>
  </w:num>
  <w:num w:numId="49">
    <w:abstractNumId w:val="4"/>
  </w:num>
  <w:num w:numId="50">
    <w:abstractNumId w:val="3"/>
  </w:num>
  <w:num w:numId="51">
    <w:abstractNumId w:val="33"/>
  </w:num>
  <w:num w:numId="52">
    <w:abstractNumId w:val="0"/>
  </w:num>
  <w:num w:numId="53">
    <w:abstractNumId w:val="106"/>
  </w:num>
  <w:num w:numId="54">
    <w:abstractNumId w:val="83"/>
  </w:num>
  <w:num w:numId="55">
    <w:abstractNumId w:val="70"/>
  </w:num>
  <w:num w:numId="56">
    <w:abstractNumId w:val="46"/>
  </w:num>
  <w:num w:numId="57">
    <w:abstractNumId w:val="55"/>
  </w:num>
  <w:num w:numId="58">
    <w:abstractNumId w:val="41"/>
  </w:num>
  <w:num w:numId="59">
    <w:abstractNumId w:val="25"/>
  </w:num>
  <w:num w:numId="60">
    <w:abstractNumId w:val="50"/>
  </w:num>
  <w:num w:numId="61">
    <w:abstractNumId w:val="47"/>
  </w:num>
  <w:num w:numId="62">
    <w:abstractNumId w:val="38"/>
  </w:num>
  <w:num w:numId="63">
    <w:abstractNumId w:val="21"/>
  </w:num>
  <w:num w:numId="64">
    <w:abstractNumId w:val="43"/>
  </w:num>
  <w:num w:numId="65">
    <w:abstractNumId w:val="100"/>
  </w:num>
  <w:num w:numId="66">
    <w:abstractNumId w:val="31"/>
  </w:num>
  <w:num w:numId="67">
    <w:abstractNumId w:val="65"/>
  </w:num>
  <w:num w:numId="68">
    <w:abstractNumId w:val="51"/>
  </w:num>
  <w:num w:numId="69">
    <w:abstractNumId w:val="20"/>
  </w:num>
  <w:num w:numId="70">
    <w:abstractNumId w:val="54"/>
  </w:num>
  <w:num w:numId="71">
    <w:abstractNumId w:val="98"/>
  </w:num>
  <w:num w:numId="72">
    <w:abstractNumId w:val="39"/>
  </w:num>
  <w:num w:numId="73">
    <w:abstractNumId w:val="72"/>
  </w:num>
  <w:num w:numId="74">
    <w:abstractNumId w:val="91"/>
  </w:num>
  <w:num w:numId="75">
    <w:abstractNumId w:val="102"/>
  </w:num>
  <w:num w:numId="76">
    <w:abstractNumId w:val="37"/>
  </w:num>
  <w:num w:numId="77">
    <w:abstractNumId w:val="101"/>
  </w:num>
  <w:num w:numId="78">
    <w:abstractNumId w:val="44"/>
  </w:num>
  <w:num w:numId="79">
    <w:abstractNumId w:val="82"/>
  </w:num>
  <w:num w:numId="80">
    <w:abstractNumId w:val="99"/>
  </w:num>
  <w:num w:numId="81">
    <w:abstractNumId w:val="87"/>
  </w:num>
  <w:num w:numId="82">
    <w:abstractNumId w:val="77"/>
  </w:num>
  <w:num w:numId="83">
    <w:abstractNumId w:val="29"/>
  </w:num>
  <w:num w:numId="84">
    <w:abstractNumId w:val="45"/>
  </w:num>
  <w:num w:numId="85">
    <w:abstractNumId w:val="90"/>
  </w:num>
  <w:num w:numId="86">
    <w:abstractNumId w:val="48"/>
  </w:num>
  <w:num w:numId="87">
    <w:abstractNumId w:val="19"/>
  </w:num>
  <w:num w:numId="88">
    <w:abstractNumId w:val="69"/>
  </w:num>
  <w:num w:numId="89">
    <w:abstractNumId w:val="59"/>
  </w:num>
  <w:num w:numId="90">
    <w:abstractNumId w:val="84"/>
  </w:num>
  <w:num w:numId="91">
    <w:abstractNumId w:val="15"/>
  </w:num>
  <w:num w:numId="92">
    <w:abstractNumId w:val="96"/>
  </w:num>
  <w:num w:numId="93">
    <w:abstractNumId w:val="16"/>
  </w:num>
  <w:num w:numId="94">
    <w:abstractNumId w:val="17"/>
  </w:num>
  <w:num w:numId="95">
    <w:abstractNumId w:val="28"/>
  </w:num>
  <w:num w:numId="96">
    <w:abstractNumId w:val="23"/>
  </w:num>
  <w:num w:numId="97">
    <w:abstractNumId w:val="92"/>
  </w:num>
  <w:num w:numId="98">
    <w:abstractNumId w:val="57"/>
  </w:num>
  <w:num w:numId="99">
    <w:abstractNumId w:val="80"/>
  </w:num>
  <w:num w:numId="100">
    <w:abstractNumId w:val="93"/>
  </w:num>
  <w:num w:numId="101">
    <w:abstractNumId w:val="60"/>
  </w:num>
  <w:num w:numId="102">
    <w:abstractNumId w:val="74"/>
  </w:num>
  <w:num w:numId="103">
    <w:abstractNumId w:val="88"/>
  </w:num>
  <w:num w:numId="104">
    <w:abstractNumId w:val="58"/>
  </w:num>
  <w:num w:numId="105">
    <w:abstractNumId w:val="81"/>
  </w:num>
  <w:num w:numId="106">
    <w:abstractNumId w:val="78"/>
  </w:num>
  <w:num w:numId="107">
    <w:abstractNumId w:val="95"/>
  </w:num>
  <w:num w:numId="108">
    <w:abstractNumId w:val="94"/>
  </w:num>
  <w:num w:numId="109">
    <w:abstractNumId w:val="66"/>
  </w:num>
  <w:num w:numId="110">
    <w:abstractNumId w:val="8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66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5CC"/>
    <w:rsid w:val="00000316"/>
    <w:rsid w:val="000029BC"/>
    <w:rsid w:val="00007D74"/>
    <w:rsid w:val="00010148"/>
    <w:rsid w:val="00011047"/>
    <w:rsid w:val="00011B6F"/>
    <w:rsid w:val="00011C1B"/>
    <w:rsid w:val="00011E28"/>
    <w:rsid w:val="00012C93"/>
    <w:rsid w:val="00014AA7"/>
    <w:rsid w:val="000152C4"/>
    <w:rsid w:val="000153CA"/>
    <w:rsid w:val="000160D4"/>
    <w:rsid w:val="00016403"/>
    <w:rsid w:val="0001650F"/>
    <w:rsid w:val="00016796"/>
    <w:rsid w:val="0001747F"/>
    <w:rsid w:val="00017F03"/>
    <w:rsid w:val="000207CA"/>
    <w:rsid w:val="00021DAA"/>
    <w:rsid w:val="00025F09"/>
    <w:rsid w:val="0002682F"/>
    <w:rsid w:val="00030BE3"/>
    <w:rsid w:val="00031C13"/>
    <w:rsid w:val="00032B74"/>
    <w:rsid w:val="00034BDE"/>
    <w:rsid w:val="00035C07"/>
    <w:rsid w:val="00036607"/>
    <w:rsid w:val="00036B99"/>
    <w:rsid w:val="00041649"/>
    <w:rsid w:val="00042918"/>
    <w:rsid w:val="00043211"/>
    <w:rsid w:val="00044121"/>
    <w:rsid w:val="00045877"/>
    <w:rsid w:val="00045B0D"/>
    <w:rsid w:val="000461F4"/>
    <w:rsid w:val="00046550"/>
    <w:rsid w:val="0004798D"/>
    <w:rsid w:val="0005018B"/>
    <w:rsid w:val="000513DE"/>
    <w:rsid w:val="000534FE"/>
    <w:rsid w:val="00054170"/>
    <w:rsid w:val="000546E5"/>
    <w:rsid w:val="0005554F"/>
    <w:rsid w:val="00056D57"/>
    <w:rsid w:val="00060F50"/>
    <w:rsid w:val="00064734"/>
    <w:rsid w:val="00064A9F"/>
    <w:rsid w:val="000655F5"/>
    <w:rsid w:val="00065701"/>
    <w:rsid w:val="00067AD6"/>
    <w:rsid w:val="000722E1"/>
    <w:rsid w:val="00072E64"/>
    <w:rsid w:val="00073AAC"/>
    <w:rsid w:val="00082E9F"/>
    <w:rsid w:val="00086001"/>
    <w:rsid w:val="00086758"/>
    <w:rsid w:val="00087C69"/>
    <w:rsid w:val="00090570"/>
    <w:rsid w:val="0009367B"/>
    <w:rsid w:val="00095947"/>
    <w:rsid w:val="0009609F"/>
    <w:rsid w:val="00096689"/>
    <w:rsid w:val="000967C5"/>
    <w:rsid w:val="00096969"/>
    <w:rsid w:val="00096BFF"/>
    <w:rsid w:val="000A1058"/>
    <w:rsid w:val="000A1F9D"/>
    <w:rsid w:val="000A3FF8"/>
    <w:rsid w:val="000A591F"/>
    <w:rsid w:val="000A625D"/>
    <w:rsid w:val="000A65F1"/>
    <w:rsid w:val="000B094A"/>
    <w:rsid w:val="000B0963"/>
    <w:rsid w:val="000B0C2F"/>
    <w:rsid w:val="000B27E9"/>
    <w:rsid w:val="000B3EDA"/>
    <w:rsid w:val="000B4AD4"/>
    <w:rsid w:val="000B549A"/>
    <w:rsid w:val="000B72D8"/>
    <w:rsid w:val="000C2C88"/>
    <w:rsid w:val="000C3ED0"/>
    <w:rsid w:val="000C40A8"/>
    <w:rsid w:val="000D09E9"/>
    <w:rsid w:val="000D114A"/>
    <w:rsid w:val="000D27D0"/>
    <w:rsid w:val="000D36F7"/>
    <w:rsid w:val="000D3BDA"/>
    <w:rsid w:val="000D50A7"/>
    <w:rsid w:val="000D6440"/>
    <w:rsid w:val="000D6D7A"/>
    <w:rsid w:val="000E2827"/>
    <w:rsid w:val="000E35B5"/>
    <w:rsid w:val="000E3A52"/>
    <w:rsid w:val="000E6B4E"/>
    <w:rsid w:val="000F045A"/>
    <w:rsid w:val="000F4834"/>
    <w:rsid w:val="000F6E77"/>
    <w:rsid w:val="000F7521"/>
    <w:rsid w:val="001049C6"/>
    <w:rsid w:val="00105AFF"/>
    <w:rsid w:val="00105E05"/>
    <w:rsid w:val="00105F23"/>
    <w:rsid w:val="001073B6"/>
    <w:rsid w:val="00107815"/>
    <w:rsid w:val="00110ABC"/>
    <w:rsid w:val="00111CD1"/>
    <w:rsid w:val="001126EB"/>
    <w:rsid w:val="00112C1E"/>
    <w:rsid w:val="00112C40"/>
    <w:rsid w:val="001154E9"/>
    <w:rsid w:val="0011576A"/>
    <w:rsid w:val="00115DBF"/>
    <w:rsid w:val="00116A41"/>
    <w:rsid w:val="0011718B"/>
    <w:rsid w:val="00122BE3"/>
    <w:rsid w:val="0012318C"/>
    <w:rsid w:val="001239C4"/>
    <w:rsid w:val="00124D1B"/>
    <w:rsid w:val="00125972"/>
    <w:rsid w:val="00130EA0"/>
    <w:rsid w:val="00133535"/>
    <w:rsid w:val="001340FF"/>
    <w:rsid w:val="0013546F"/>
    <w:rsid w:val="00136400"/>
    <w:rsid w:val="0014084E"/>
    <w:rsid w:val="001417EB"/>
    <w:rsid w:val="00142DD8"/>
    <w:rsid w:val="00143EB2"/>
    <w:rsid w:val="0014414B"/>
    <w:rsid w:val="001445AD"/>
    <w:rsid w:val="00144C86"/>
    <w:rsid w:val="00144F38"/>
    <w:rsid w:val="001461B5"/>
    <w:rsid w:val="001468FC"/>
    <w:rsid w:val="00146A96"/>
    <w:rsid w:val="00147BC1"/>
    <w:rsid w:val="00147CA6"/>
    <w:rsid w:val="00150F0C"/>
    <w:rsid w:val="00151498"/>
    <w:rsid w:val="001515AB"/>
    <w:rsid w:val="00151B99"/>
    <w:rsid w:val="00154060"/>
    <w:rsid w:val="001544F9"/>
    <w:rsid w:val="001549BD"/>
    <w:rsid w:val="00155175"/>
    <w:rsid w:val="001562F9"/>
    <w:rsid w:val="0016025E"/>
    <w:rsid w:val="001602DA"/>
    <w:rsid w:val="00160BC1"/>
    <w:rsid w:val="0016143F"/>
    <w:rsid w:val="00163654"/>
    <w:rsid w:val="00163DF9"/>
    <w:rsid w:val="00164B82"/>
    <w:rsid w:val="00165734"/>
    <w:rsid w:val="0016584C"/>
    <w:rsid w:val="00166BAA"/>
    <w:rsid w:val="0017060B"/>
    <w:rsid w:val="00171C8E"/>
    <w:rsid w:val="00172628"/>
    <w:rsid w:val="00172F45"/>
    <w:rsid w:val="0017346D"/>
    <w:rsid w:val="00173A63"/>
    <w:rsid w:val="00180729"/>
    <w:rsid w:val="00181218"/>
    <w:rsid w:val="00183D02"/>
    <w:rsid w:val="001845D3"/>
    <w:rsid w:val="00185556"/>
    <w:rsid w:val="00185CD0"/>
    <w:rsid w:val="00187192"/>
    <w:rsid w:val="001900C9"/>
    <w:rsid w:val="00194BEF"/>
    <w:rsid w:val="001963B7"/>
    <w:rsid w:val="00196864"/>
    <w:rsid w:val="001979E5"/>
    <w:rsid w:val="001A2D0D"/>
    <w:rsid w:val="001A484D"/>
    <w:rsid w:val="001A5055"/>
    <w:rsid w:val="001A57BE"/>
    <w:rsid w:val="001A6CFD"/>
    <w:rsid w:val="001B12B1"/>
    <w:rsid w:val="001B1E68"/>
    <w:rsid w:val="001B3718"/>
    <w:rsid w:val="001B732C"/>
    <w:rsid w:val="001C69CC"/>
    <w:rsid w:val="001D1128"/>
    <w:rsid w:val="001D1C9B"/>
    <w:rsid w:val="001D2476"/>
    <w:rsid w:val="001D27E7"/>
    <w:rsid w:val="001D3CB3"/>
    <w:rsid w:val="001D40D8"/>
    <w:rsid w:val="001D4F14"/>
    <w:rsid w:val="001D51A7"/>
    <w:rsid w:val="001D67CC"/>
    <w:rsid w:val="001D6949"/>
    <w:rsid w:val="001D6958"/>
    <w:rsid w:val="001D7D14"/>
    <w:rsid w:val="001E03A2"/>
    <w:rsid w:val="001E0DB4"/>
    <w:rsid w:val="001E0FD9"/>
    <w:rsid w:val="001E1AFD"/>
    <w:rsid w:val="001E1B46"/>
    <w:rsid w:val="001E3F02"/>
    <w:rsid w:val="001E4099"/>
    <w:rsid w:val="001E6131"/>
    <w:rsid w:val="001F1401"/>
    <w:rsid w:val="001F396E"/>
    <w:rsid w:val="001F7442"/>
    <w:rsid w:val="0020070E"/>
    <w:rsid w:val="0020078B"/>
    <w:rsid w:val="00201285"/>
    <w:rsid w:val="00201962"/>
    <w:rsid w:val="002040F4"/>
    <w:rsid w:val="00205819"/>
    <w:rsid w:val="00210D09"/>
    <w:rsid w:val="00210D90"/>
    <w:rsid w:val="002115A4"/>
    <w:rsid w:val="00212962"/>
    <w:rsid w:val="002137E5"/>
    <w:rsid w:val="00213FEF"/>
    <w:rsid w:val="00214135"/>
    <w:rsid w:val="002141A7"/>
    <w:rsid w:val="0021791F"/>
    <w:rsid w:val="0022108F"/>
    <w:rsid w:val="00221550"/>
    <w:rsid w:val="00221988"/>
    <w:rsid w:val="00222C4D"/>
    <w:rsid w:val="00223384"/>
    <w:rsid w:val="00224538"/>
    <w:rsid w:val="00226281"/>
    <w:rsid w:val="00226547"/>
    <w:rsid w:val="00226ED8"/>
    <w:rsid w:val="00231532"/>
    <w:rsid w:val="00231973"/>
    <w:rsid w:val="002321B2"/>
    <w:rsid w:val="00232334"/>
    <w:rsid w:val="002324AF"/>
    <w:rsid w:val="00232810"/>
    <w:rsid w:val="00235A6B"/>
    <w:rsid w:val="00237086"/>
    <w:rsid w:val="00237BA4"/>
    <w:rsid w:val="00240041"/>
    <w:rsid w:val="002411B3"/>
    <w:rsid w:val="00243215"/>
    <w:rsid w:val="00245418"/>
    <w:rsid w:val="00246060"/>
    <w:rsid w:val="00250240"/>
    <w:rsid w:val="00250F2D"/>
    <w:rsid w:val="00251652"/>
    <w:rsid w:val="002518E0"/>
    <w:rsid w:val="002556AE"/>
    <w:rsid w:val="002601AB"/>
    <w:rsid w:val="00261032"/>
    <w:rsid w:val="00264059"/>
    <w:rsid w:val="0026456D"/>
    <w:rsid w:val="00265F40"/>
    <w:rsid w:val="0026723C"/>
    <w:rsid w:val="002672FB"/>
    <w:rsid w:val="00272CC7"/>
    <w:rsid w:val="00274DB5"/>
    <w:rsid w:val="0027552C"/>
    <w:rsid w:val="00275FA6"/>
    <w:rsid w:val="00280842"/>
    <w:rsid w:val="0028460B"/>
    <w:rsid w:val="00290DE1"/>
    <w:rsid w:val="0029130D"/>
    <w:rsid w:val="002927B6"/>
    <w:rsid w:val="00292FB6"/>
    <w:rsid w:val="00294699"/>
    <w:rsid w:val="00295D75"/>
    <w:rsid w:val="002A120F"/>
    <w:rsid w:val="002A1C51"/>
    <w:rsid w:val="002A53EB"/>
    <w:rsid w:val="002A5445"/>
    <w:rsid w:val="002A565C"/>
    <w:rsid w:val="002B07C9"/>
    <w:rsid w:val="002B0BEF"/>
    <w:rsid w:val="002B441B"/>
    <w:rsid w:val="002B466B"/>
    <w:rsid w:val="002B4B31"/>
    <w:rsid w:val="002B6EEF"/>
    <w:rsid w:val="002B7510"/>
    <w:rsid w:val="002C043E"/>
    <w:rsid w:val="002C0862"/>
    <w:rsid w:val="002C0BE8"/>
    <w:rsid w:val="002C0CEB"/>
    <w:rsid w:val="002C0F05"/>
    <w:rsid w:val="002C4D68"/>
    <w:rsid w:val="002C5525"/>
    <w:rsid w:val="002C673E"/>
    <w:rsid w:val="002C763A"/>
    <w:rsid w:val="002C7A80"/>
    <w:rsid w:val="002D1928"/>
    <w:rsid w:val="002D34FC"/>
    <w:rsid w:val="002D42F2"/>
    <w:rsid w:val="002D56E6"/>
    <w:rsid w:val="002D7EAB"/>
    <w:rsid w:val="002E07C7"/>
    <w:rsid w:val="002E11C1"/>
    <w:rsid w:val="002E12BC"/>
    <w:rsid w:val="002E13C8"/>
    <w:rsid w:val="002E17E6"/>
    <w:rsid w:val="002E389D"/>
    <w:rsid w:val="002E4B05"/>
    <w:rsid w:val="002E5D6B"/>
    <w:rsid w:val="002E6AC8"/>
    <w:rsid w:val="002F13C0"/>
    <w:rsid w:val="002F46ED"/>
    <w:rsid w:val="002F5196"/>
    <w:rsid w:val="002F7147"/>
    <w:rsid w:val="002F7188"/>
    <w:rsid w:val="002F7233"/>
    <w:rsid w:val="003002D4"/>
    <w:rsid w:val="003003B0"/>
    <w:rsid w:val="00300AB0"/>
    <w:rsid w:val="00301009"/>
    <w:rsid w:val="00304A97"/>
    <w:rsid w:val="00304E01"/>
    <w:rsid w:val="00307E8E"/>
    <w:rsid w:val="00310E54"/>
    <w:rsid w:val="003119E5"/>
    <w:rsid w:val="00313423"/>
    <w:rsid w:val="003144D1"/>
    <w:rsid w:val="00317150"/>
    <w:rsid w:val="00320A31"/>
    <w:rsid w:val="00323C09"/>
    <w:rsid w:val="0032718E"/>
    <w:rsid w:val="00327829"/>
    <w:rsid w:val="00327A7E"/>
    <w:rsid w:val="00330410"/>
    <w:rsid w:val="003308F3"/>
    <w:rsid w:val="003360E9"/>
    <w:rsid w:val="0033722A"/>
    <w:rsid w:val="00337C0C"/>
    <w:rsid w:val="003404CC"/>
    <w:rsid w:val="00342EA7"/>
    <w:rsid w:val="00345643"/>
    <w:rsid w:val="003468FB"/>
    <w:rsid w:val="003473FC"/>
    <w:rsid w:val="00347CD1"/>
    <w:rsid w:val="0035245E"/>
    <w:rsid w:val="00353FA8"/>
    <w:rsid w:val="00354627"/>
    <w:rsid w:val="00356208"/>
    <w:rsid w:val="00357E19"/>
    <w:rsid w:val="0036152E"/>
    <w:rsid w:val="003626C2"/>
    <w:rsid w:val="00363401"/>
    <w:rsid w:val="00364527"/>
    <w:rsid w:val="00364CDA"/>
    <w:rsid w:val="00365578"/>
    <w:rsid w:val="003665BE"/>
    <w:rsid w:val="00367C55"/>
    <w:rsid w:val="00372F49"/>
    <w:rsid w:val="0037658A"/>
    <w:rsid w:val="00376859"/>
    <w:rsid w:val="00377183"/>
    <w:rsid w:val="00380D03"/>
    <w:rsid w:val="00381B3B"/>
    <w:rsid w:val="00383016"/>
    <w:rsid w:val="00383104"/>
    <w:rsid w:val="003842CD"/>
    <w:rsid w:val="00386119"/>
    <w:rsid w:val="00391C65"/>
    <w:rsid w:val="00391CAB"/>
    <w:rsid w:val="00393033"/>
    <w:rsid w:val="00396827"/>
    <w:rsid w:val="003A0D60"/>
    <w:rsid w:val="003A1011"/>
    <w:rsid w:val="003A1090"/>
    <w:rsid w:val="003A2772"/>
    <w:rsid w:val="003A3DA8"/>
    <w:rsid w:val="003A407E"/>
    <w:rsid w:val="003A4957"/>
    <w:rsid w:val="003A4A89"/>
    <w:rsid w:val="003A7B12"/>
    <w:rsid w:val="003A7E80"/>
    <w:rsid w:val="003B0107"/>
    <w:rsid w:val="003B04D5"/>
    <w:rsid w:val="003B0615"/>
    <w:rsid w:val="003B2414"/>
    <w:rsid w:val="003B26D0"/>
    <w:rsid w:val="003B2DB7"/>
    <w:rsid w:val="003B4A18"/>
    <w:rsid w:val="003B4B51"/>
    <w:rsid w:val="003B5105"/>
    <w:rsid w:val="003B512F"/>
    <w:rsid w:val="003B5351"/>
    <w:rsid w:val="003B59C9"/>
    <w:rsid w:val="003B677E"/>
    <w:rsid w:val="003C01E0"/>
    <w:rsid w:val="003C218F"/>
    <w:rsid w:val="003C393E"/>
    <w:rsid w:val="003C3A13"/>
    <w:rsid w:val="003C4496"/>
    <w:rsid w:val="003C5E76"/>
    <w:rsid w:val="003C7691"/>
    <w:rsid w:val="003C77B6"/>
    <w:rsid w:val="003D113B"/>
    <w:rsid w:val="003D1DC4"/>
    <w:rsid w:val="003D21AC"/>
    <w:rsid w:val="003D5500"/>
    <w:rsid w:val="003D79FF"/>
    <w:rsid w:val="003D7FD1"/>
    <w:rsid w:val="003E1395"/>
    <w:rsid w:val="003E1BEE"/>
    <w:rsid w:val="003E2BB1"/>
    <w:rsid w:val="003E3540"/>
    <w:rsid w:val="003E3EDF"/>
    <w:rsid w:val="003E4D56"/>
    <w:rsid w:val="003E4F07"/>
    <w:rsid w:val="003F097B"/>
    <w:rsid w:val="003F0C10"/>
    <w:rsid w:val="003F28EA"/>
    <w:rsid w:val="003F28ED"/>
    <w:rsid w:val="003F34AB"/>
    <w:rsid w:val="003F454A"/>
    <w:rsid w:val="003F5513"/>
    <w:rsid w:val="004011DA"/>
    <w:rsid w:val="0040308C"/>
    <w:rsid w:val="0040418E"/>
    <w:rsid w:val="004075A0"/>
    <w:rsid w:val="00407AD5"/>
    <w:rsid w:val="00410393"/>
    <w:rsid w:val="00410BBC"/>
    <w:rsid w:val="00411518"/>
    <w:rsid w:val="004120EC"/>
    <w:rsid w:val="0041213F"/>
    <w:rsid w:val="00412CC2"/>
    <w:rsid w:val="00413C76"/>
    <w:rsid w:val="00414540"/>
    <w:rsid w:val="004152FF"/>
    <w:rsid w:val="00415825"/>
    <w:rsid w:val="00415B17"/>
    <w:rsid w:val="004201BA"/>
    <w:rsid w:val="00420BE7"/>
    <w:rsid w:val="00421CD5"/>
    <w:rsid w:val="00422380"/>
    <w:rsid w:val="004257AA"/>
    <w:rsid w:val="00430900"/>
    <w:rsid w:val="004310B3"/>
    <w:rsid w:val="0043486A"/>
    <w:rsid w:val="0043539B"/>
    <w:rsid w:val="004402C1"/>
    <w:rsid w:val="004408C7"/>
    <w:rsid w:val="00440D95"/>
    <w:rsid w:val="0044143C"/>
    <w:rsid w:val="00441E1A"/>
    <w:rsid w:val="0044286D"/>
    <w:rsid w:val="0044357F"/>
    <w:rsid w:val="00445C59"/>
    <w:rsid w:val="00445C75"/>
    <w:rsid w:val="00447792"/>
    <w:rsid w:val="004503B3"/>
    <w:rsid w:val="004514F8"/>
    <w:rsid w:val="00452AD9"/>
    <w:rsid w:val="00453CFB"/>
    <w:rsid w:val="00455889"/>
    <w:rsid w:val="00462585"/>
    <w:rsid w:val="00462B9C"/>
    <w:rsid w:val="004660A9"/>
    <w:rsid w:val="0046638F"/>
    <w:rsid w:val="00466FAE"/>
    <w:rsid w:val="00467CE4"/>
    <w:rsid w:val="00472501"/>
    <w:rsid w:val="00473A02"/>
    <w:rsid w:val="00473B5B"/>
    <w:rsid w:val="00474ED2"/>
    <w:rsid w:val="00474F39"/>
    <w:rsid w:val="00475A32"/>
    <w:rsid w:val="0047653E"/>
    <w:rsid w:val="00481FF2"/>
    <w:rsid w:val="00483E36"/>
    <w:rsid w:val="00483E8A"/>
    <w:rsid w:val="00483F1A"/>
    <w:rsid w:val="004853EE"/>
    <w:rsid w:val="004914F4"/>
    <w:rsid w:val="00492EC7"/>
    <w:rsid w:val="004933B1"/>
    <w:rsid w:val="00494927"/>
    <w:rsid w:val="00497350"/>
    <w:rsid w:val="00497DD9"/>
    <w:rsid w:val="004A1038"/>
    <w:rsid w:val="004A3531"/>
    <w:rsid w:val="004A3C2E"/>
    <w:rsid w:val="004A4694"/>
    <w:rsid w:val="004A4CA6"/>
    <w:rsid w:val="004A65A7"/>
    <w:rsid w:val="004A6CAD"/>
    <w:rsid w:val="004B1AEE"/>
    <w:rsid w:val="004B2F9F"/>
    <w:rsid w:val="004B3C26"/>
    <w:rsid w:val="004B3FC9"/>
    <w:rsid w:val="004B49A5"/>
    <w:rsid w:val="004B4AFF"/>
    <w:rsid w:val="004B59C1"/>
    <w:rsid w:val="004B73C0"/>
    <w:rsid w:val="004B7F69"/>
    <w:rsid w:val="004C146C"/>
    <w:rsid w:val="004C230E"/>
    <w:rsid w:val="004C2B83"/>
    <w:rsid w:val="004C572D"/>
    <w:rsid w:val="004C57F5"/>
    <w:rsid w:val="004C5E52"/>
    <w:rsid w:val="004C6781"/>
    <w:rsid w:val="004C69F4"/>
    <w:rsid w:val="004D1BBA"/>
    <w:rsid w:val="004D1DBC"/>
    <w:rsid w:val="004D2103"/>
    <w:rsid w:val="004D402C"/>
    <w:rsid w:val="004D518F"/>
    <w:rsid w:val="004D5450"/>
    <w:rsid w:val="004D5465"/>
    <w:rsid w:val="004D5DA1"/>
    <w:rsid w:val="004D642F"/>
    <w:rsid w:val="004D7494"/>
    <w:rsid w:val="004E0610"/>
    <w:rsid w:val="004E2077"/>
    <w:rsid w:val="004E613B"/>
    <w:rsid w:val="004E6665"/>
    <w:rsid w:val="004F0A65"/>
    <w:rsid w:val="004F0ABA"/>
    <w:rsid w:val="004F23C2"/>
    <w:rsid w:val="004F3140"/>
    <w:rsid w:val="004F3285"/>
    <w:rsid w:val="004F34B2"/>
    <w:rsid w:val="004F4C58"/>
    <w:rsid w:val="004F5ACD"/>
    <w:rsid w:val="004F7CD0"/>
    <w:rsid w:val="0050206A"/>
    <w:rsid w:val="00503298"/>
    <w:rsid w:val="005068D6"/>
    <w:rsid w:val="00507A71"/>
    <w:rsid w:val="00511898"/>
    <w:rsid w:val="0051248C"/>
    <w:rsid w:val="00514C6E"/>
    <w:rsid w:val="00515980"/>
    <w:rsid w:val="00515CDB"/>
    <w:rsid w:val="00520952"/>
    <w:rsid w:val="00522A8B"/>
    <w:rsid w:val="0052305B"/>
    <w:rsid w:val="00523A21"/>
    <w:rsid w:val="00530330"/>
    <w:rsid w:val="00530917"/>
    <w:rsid w:val="0053140C"/>
    <w:rsid w:val="0053152E"/>
    <w:rsid w:val="00531EBC"/>
    <w:rsid w:val="00533590"/>
    <w:rsid w:val="00533F63"/>
    <w:rsid w:val="005344F7"/>
    <w:rsid w:val="00534CBB"/>
    <w:rsid w:val="0053688B"/>
    <w:rsid w:val="005426DA"/>
    <w:rsid w:val="00542B45"/>
    <w:rsid w:val="00543D2B"/>
    <w:rsid w:val="0054498C"/>
    <w:rsid w:val="00546592"/>
    <w:rsid w:val="00547408"/>
    <w:rsid w:val="00551488"/>
    <w:rsid w:val="00553B36"/>
    <w:rsid w:val="005540E8"/>
    <w:rsid w:val="00554988"/>
    <w:rsid w:val="00555976"/>
    <w:rsid w:val="00560364"/>
    <w:rsid w:val="00561C4E"/>
    <w:rsid w:val="005620B3"/>
    <w:rsid w:val="00562B7E"/>
    <w:rsid w:val="005636FF"/>
    <w:rsid w:val="00563CC1"/>
    <w:rsid w:val="005653ED"/>
    <w:rsid w:val="00566E91"/>
    <w:rsid w:val="00566FAC"/>
    <w:rsid w:val="005703B3"/>
    <w:rsid w:val="00571610"/>
    <w:rsid w:val="00571A74"/>
    <w:rsid w:val="005727AC"/>
    <w:rsid w:val="00572900"/>
    <w:rsid w:val="00572B13"/>
    <w:rsid w:val="00573FAD"/>
    <w:rsid w:val="00575905"/>
    <w:rsid w:val="0057617E"/>
    <w:rsid w:val="00581284"/>
    <w:rsid w:val="00582194"/>
    <w:rsid w:val="0058696A"/>
    <w:rsid w:val="005870E1"/>
    <w:rsid w:val="0058755E"/>
    <w:rsid w:val="00587A3B"/>
    <w:rsid w:val="00587EDC"/>
    <w:rsid w:val="00593530"/>
    <w:rsid w:val="0059454D"/>
    <w:rsid w:val="005951B8"/>
    <w:rsid w:val="0059620C"/>
    <w:rsid w:val="00596AAF"/>
    <w:rsid w:val="00597B83"/>
    <w:rsid w:val="005A0F70"/>
    <w:rsid w:val="005A1AE9"/>
    <w:rsid w:val="005A2AA1"/>
    <w:rsid w:val="005A46E6"/>
    <w:rsid w:val="005A7F2E"/>
    <w:rsid w:val="005B340C"/>
    <w:rsid w:val="005B691D"/>
    <w:rsid w:val="005B7D1A"/>
    <w:rsid w:val="005C057B"/>
    <w:rsid w:val="005C06C1"/>
    <w:rsid w:val="005C117F"/>
    <w:rsid w:val="005C2163"/>
    <w:rsid w:val="005C2B7B"/>
    <w:rsid w:val="005C2F77"/>
    <w:rsid w:val="005C3BEC"/>
    <w:rsid w:val="005C7BCA"/>
    <w:rsid w:val="005D1D0D"/>
    <w:rsid w:val="005D1E33"/>
    <w:rsid w:val="005D2934"/>
    <w:rsid w:val="005D3069"/>
    <w:rsid w:val="005D31C7"/>
    <w:rsid w:val="005D6B2F"/>
    <w:rsid w:val="005E0B39"/>
    <w:rsid w:val="005E1DC2"/>
    <w:rsid w:val="005E3816"/>
    <w:rsid w:val="005E5AE8"/>
    <w:rsid w:val="005E62C9"/>
    <w:rsid w:val="005E6786"/>
    <w:rsid w:val="005F0D2C"/>
    <w:rsid w:val="005F0FF8"/>
    <w:rsid w:val="005F163F"/>
    <w:rsid w:val="005F201F"/>
    <w:rsid w:val="005F2C2B"/>
    <w:rsid w:val="005F3F1D"/>
    <w:rsid w:val="005F71AF"/>
    <w:rsid w:val="00601780"/>
    <w:rsid w:val="00603EE7"/>
    <w:rsid w:val="006047CB"/>
    <w:rsid w:val="0060486D"/>
    <w:rsid w:val="00604AFF"/>
    <w:rsid w:val="006054F4"/>
    <w:rsid w:val="006056A3"/>
    <w:rsid w:val="00606154"/>
    <w:rsid w:val="006068BD"/>
    <w:rsid w:val="006075A5"/>
    <w:rsid w:val="00607804"/>
    <w:rsid w:val="00610AD2"/>
    <w:rsid w:val="00610DD5"/>
    <w:rsid w:val="0061121D"/>
    <w:rsid w:val="00611B8D"/>
    <w:rsid w:val="00612BE9"/>
    <w:rsid w:val="00613C7C"/>
    <w:rsid w:val="00615E7F"/>
    <w:rsid w:val="0062161D"/>
    <w:rsid w:val="00621781"/>
    <w:rsid w:val="006222EA"/>
    <w:rsid w:val="00622626"/>
    <w:rsid w:val="0062265D"/>
    <w:rsid w:val="0062308D"/>
    <w:rsid w:val="006231D3"/>
    <w:rsid w:val="0062541D"/>
    <w:rsid w:val="00625F18"/>
    <w:rsid w:val="00627BC3"/>
    <w:rsid w:val="00627CD1"/>
    <w:rsid w:val="00630B85"/>
    <w:rsid w:val="00630E7A"/>
    <w:rsid w:val="00631EF4"/>
    <w:rsid w:val="0063233A"/>
    <w:rsid w:val="0063381A"/>
    <w:rsid w:val="00636702"/>
    <w:rsid w:val="0064196F"/>
    <w:rsid w:val="0064231B"/>
    <w:rsid w:val="00650BD5"/>
    <w:rsid w:val="006511C8"/>
    <w:rsid w:val="00652208"/>
    <w:rsid w:val="00654555"/>
    <w:rsid w:val="006550DF"/>
    <w:rsid w:val="00655B9C"/>
    <w:rsid w:val="00657A01"/>
    <w:rsid w:val="00657A4F"/>
    <w:rsid w:val="00661C4E"/>
    <w:rsid w:val="006621CF"/>
    <w:rsid w:val="006624F5"/>
    <w:rsid w:val="006628B8"/>
    <w:rsid w:val="00663BDA"/>
    <w:rsid w:val="00663C2A"/>
    <w:rsid w:val="00663D8F"/>
    <w:rsid w:val="00664015"/>
    <w:rsid w:val="00670878"/>
    <w:rsid w:val="006732F1"/>
    <w:rsid w:val="0067545E"/>
    <w:rsid w:val="006754E2"/>
    <w:rsid w:val="00675CCF"/>
    <w:rsid w:val="0067612B"/>
    <w:rsid w:val="006771DA"/>
    <w:rsid w:val="006779B5"/>
    <w:rsid w:val="0068047C"/>
    <w:rsid w:val="006828DD"/>
    <w:rsid w:val="0068353C"/>
    <w:rsid w:val="00683660"/>
    <w:rsid w:val="006836B1"/>
    <w:rsid w:val="00684CBB"/>
    <w:rsid w:val="00691A40"/>
    <w:rsid w:val="006932E3"/>
    <w:rsid w:val="00693C75"/>
    <w:rsid w:val="00694F55"/>
    <w:rsid w:val="006A0BE2"/>
    <w:rsid w:val="006A30A2"/>
    <w:rsid w:val="006A4B74"/>
    <w:rsid w:val="006A5FD4"/>
    <w:rsid w:val="006A672E"/>
    <w:rsid w:val="006A6F4C"/>
    <w:rsid w:val="006B3D58"/>
    <w:rsid w:val="006B4106"/>
    <w:rsid w:val="006B41F7"/>
    <w:rsid w:val="006B51A2"/>
    <w:rsid w:val="006B5FF0"/>
    <w:rsid w:val="006B613A"/>
    <w:rsid w:val="006B6B82"/>
    <w:rsid w:val="006C14C4"/>
    <w:rsid w:val="006C224B"/>
    <w:rsid w:val="006C3362"/>
    <w:rsid w:val="006C4696"/>
    <w:rsid w:val="006C49BD"/>
    <w:rsid w:val="006C5194"/>
    <w:rsid w:val="006C78EB"/>
    <w:rsid w:val="006D1C54"/>
    <w:rsid w:val="006D28E7"/>
    <w:rsid w:val="006D2E76"/>
    <w:rsid w:val="006D3E50"/>
    <w:rsid w:val="006D4002"/>
    <w:rsid w:val="006D5BBB"/>
    <w:rsid w:val="006D7339"/>
    <w:rsid w:val="006D77F5"/>
    <w:rsid w:val="006E0ACF"/>
    <w:rsid w:val="006E0CF4"/>
    <w:rsid w:val="006E2C28"/>
    <w:rsid w:val="006E3023"/>
    <w:rsid w:val="006E3363"/>
    <w:rsid w:val="006E3E19"/>
    <w:rsid w:val="006E44F5"/>
    <w:rsid w:val="006E6956"/>
    <w:rsid w:val="006E7375"/>
    <w:rsid w:val="006E7994"/>
    <w:rsid w:val="006F1E60"/>
    <w:rsid w:val="006F1EA1"/>
    <w:rsid w:val="006F2833"/>
    <w:rsid w:val="006F4B42"/>
    <w:rsid w:val="006F5857"/>
    <w:rsid w:val="006F6487"/>
    <w:rsid w:val="00702A3E"/>
    <w:rsid w:val="007049D1"/>
    <w:rsid w:val="00704BB4"/>
    <w:rsid w:val="00706F64"/>
    <w:rsid w:val="00707021"/>
    <w:rsid w:val="0070744C"/>
    <w:rsid w:val="00710B86"/>
    <w:rsid w:val="00712828"/>
    <w:rsid w:val="00712F19"/>
    <w:rsid w:val="0071382F"/>
    <w:rsid w:val="007146D9"/>
    <w:rsid w:val="0071569B"/>
    <w:rsid w:val="007169D7"/>
    <w:rsid w:val="00717642"/>
    <w:rsid w:val="00717D74"/>
    <w:rsid w:val="00720EE7"/>
    <w:rsid w:val="00724C6A"/>
    <w:rsid w:val="00725FCC"/>
    <w:rsid w:val="007265D2"/>
    <w:rsid w:val="00726769"/>
    <w:rsid w:val="00733010"/>
    <w:rsid w:val="00733BD6"/>
    <w:rsid w:val="00734075"/>
    <w:rsid w:val="00741E05"/>
    <w:rsid w:val="0074336B"/>
    <w:rsid w:val="007445CE"/>
    <w:rsid w:val="00746866"/>
    <w:rsid w:val="007477D5"/>
    <w:rsid w:val="00751293"/>
    <w:rsid w:val="007517A1"/>
    <w:rsid w:val="0075373C"/>
    <w:rsid w:val="00755716"/>
    <w:rsid w:val="007561E2"/>
    <w:rsid w:val="0075730D"/>
    <w:rsid w:val="007616BA"/>
    <w:rsid w:val="00761BEB"/>
    <w:rsid w:val="00763597"/>
    <w:rsid w:val="007636A0"/>
    <w:rsid w:val="00763753"/>
    <w:rsid w:val="00765A52"/>
    <w:rsid w:val="007660B2"/>
    <w:rsid w:val="00770477"/>
    <w:rsid w:val="0077107E"/>
    <w:rsid w:val="007714A8"/>
    <w:rsid w:val="007726CB"/>
    <w:rsid w:val="007734C0"/>
    <w:rsid w:val="00773669"/>
    <w:rsid w:val="0077564B"/>
    <w:rsid w:val="00776478"/>
    <w:rsid w:val="00782588"/>
    <w:rsid w:val="0078430A"/>
    <w:rsid w:val="00786687"/>
    <w:rsid w:val="00790B3A"/>
    <w:rsid w:val="007916F5"/>
    <w:rsid w:val="00791BFF"/>
    <w:rsid w:val="00792020"/>
    <w:rsid w:val="00792BB0"/>
    <w:rsid w:val="00794C94"/>
    <w:rsid w:val="00794D25"/>
    <w:rsid w:val="00795BDA"/>
    <w:rsid w:val="0079667E"/>
    <w:rsid w:val="0079683D"/>
    <w:rsid w:val="00797294"/>
    <w:rsid w:val="007974A5"/>
    <w:rsid w:val="007A1CE1"/>
    <w:rsid w:val="007A2BA0"/>
    <w:rsid w:val="007A3AA5"/>
    <w:rsid w:val="007A474C"/>
    <w:rsid w:val="007A4E73"/>
    <w:rsid w:val="007A518D"/>
    <w:rsid w:val="007A527F"/>
    <w:rsid w:val="007A5867"/>
    <w:rsid w:val="007A653C"/>
    <w:rsid w:val="007A680A"/>
    <w:rsid w:val="007A7293"/>
    <w:rsid w:val="007B10F5"/>
    <w:rsid w:val="007B44ED"/>
    <w:rsid w:val="007B614F"/>
    <w:rsid w:val="007B719F"/>
    <w:rsid w:val="007B739D"/>
    <w:rsid w:val="007B7E16"/>
    <w:rsid w:val="007C0223"/>
    <w:rsid w:val="007C0381"/>
    <w:rsid w:val="007C0DBE"/>
    <w:rsid w:val="007C3925"/>
    <w:rsid w:val="007C5493"/>
    <w:rsid w:val="007C6D3C"/>
    <w:rsid w:val="007D14B6"/>
    <w:rsid w:val="007D1F38"/>
    <w:rsid w:val="007D2469"/>
    <w:rsid w:val="007D2538"/>
    <w:rsid w:val="007D3AB0"/>
    <w:rsid w:val="007D6260"/>
    <w:rsid w:val="007D7608"/>
    <w:rsid w:val="007E2218"/>
    <w:rsid w:val="007E3687"/>
    <w:rsid w:val="007E4109"/>
    <w:rsid w:val="007E414C"/>
    <w:rsid w:val="007E41A4"/>
    <w:rsid w:val="007F031D"/>
    <w:rsid w:val="007F3760"/>
    <w:rsid w:val="007F4968"/>
    <w:rsid w:val="007F5928"/>
    <w:rsid w:val="007F6439"/>
    <w:rsid w:val="007F7AFB"/>
    <w:rsid w:val="008006E7"/>
    <w:rsid w:val="0080176E"/>
    <w:rsid w:val="00802665"/>
    <w:rsid w:val="00802D0A"/>
    <w:rsid w:val="00802E54"/>
    <w:rsid w:val="00803C67"/>
    <w:rsid w:val="00804B76"/>
    <w:rsid w:val="0080792A"/>
    <w:rsid w:val="0080797E"/>
    <w:rsid w:val="00810B70"/>
    <w:rsid w:val="008123C6"/>
    <w:rsid w:val="00814A82"/>
    <w:rsid w:val="008153FE"/>
    <w:rsid w:val="008156E4"/>
    <w:rsid w:val="008166DC"/>
    <w:rsid w:val="00816AEF"/>
    <w:rsid w:val="008174ED"/>
    <w:rsid w:val="008225EC"/>
    <w:rsid w:val="00824410"/>
    <w:rsid w:val="0082470D"/>
    <w:rsid w:val="00827498"/>
    <w:rsid w:val="00827888"/>
    <w:rsid w:val="00832F84"/>
    <w:rsid w:val="0083438C"/>
    <w:rsid w:val="00841D4D"/>
    <w:rsid w:val="0084379E"/>
    <w:rsid w:val="0084769C"/>
    <w:rsid w:val="00847D57"/>
    <w:rsid w:val="008502FA"/>
    <w:rsid w:val="00850B58"/>
    <w:rsid w:val="00852105"/>
    <w:rsid w:val="00852E5B"/>
    <w:rsid w:val="0085424C"/>
    <w:rsid w:val="008545F1"/>
    <w:rsid w:val="00854CAE"/>
    <w:rsid w:val="00855454"/>
    <w:rsid w:val="0085598E"/>
    <w:rsid w:val="008578BB"/>
    <w:rsid w:val="00862D9C"/>
    <w:rsid w:val="00865A84"/>
    <w:rsid w:val="00866B79"/>
    <w:rsid w:val="00870507"/>
    <w:rsid w:val="0087208F"/>
    <w:rsid w:val="00875F08"/>
    <w:rsid w:val="008776F1"/>
    <w:rsid w:val="00877F1D"/>
    <w:rsid w:val="008804E7"/>
    <w:rsid w:val="00882953"/>
    <w:rsid w:val="00882DC5"/>
    <w:rsid w:val="008841A9"/>
    <w:rsid w:val="00885DE1"/>
    <w:rsid w:val="0089191F"/>
    <w:rsid w:val="00891C32"/>
    <w:rsid w:val="008928AE"/>
    <w:rsid w:val="008950CF"/>
    <w:rsid w:val="00896F9E"/>
    <w:rsid w:val="0089745B"/>
    <w:rsid w:val="008A0246"/>
    <w:rsid w:val="008A4974"/>
    <w:rsid w:val="008A5023"/>
    <w:rsid w:val="008A56C1"/>
    <w:rsid w:val="008A7AC7"/>
    <w:rsid w:val="008B1CF1"/>
    <w:rsid w:val="008B285E"/>
    <w:rsid w:val="008B30DD"/>
    <w:rsid w:val="008B38DE"/>
    <w:rsid w:val="008B45FC"/>
    <w:rsid w:val="008B5681"/>
    <w:rsid w:val="008B5A3D"/>
    <w:rsid w:val="008B6962"/>
    <w:rsid w:val="008B7AF4"/>
    <w:rsid w:val="008B7B0B"/>
    <w:rsid w:val="008C09D9"/>
    <w:rsid w:val="008C1B32"/>
    <w:rsid w:val="008C2A7E"/>
    <w:rsid w:val="008C2D62"/>
    <w:rsid w:val="008C36A8"/>
    <w:rsid w:val="008C3BF2"/>
    <w:rsid w:val="008C4C3D"/>
    <w:rsid w:val="008C6EC8"/>
    <w:rsid w:val="008D24EC"/>
    <w:rsid w:val="008D268A"/>
    <w:rsid w:val="008D42C8"/>
    <w:rsid w:val="008D5864"/>
    <w:rsid w:val="008D6167"/>
    <w:rsid w:val="008D6245"/>
    <w:rsid w:val="008D63E2"/>
    <w:rsid w:val="008D6695"/>
    <w:rsid w:val="008E0659"/>
    <w:rsid w:val="008E0B45"/>
    <w:rsid w:val="008E10BB"/>
    <w:rsid w:val="008E560B"/>
    <w:rsid w:val="008E5962"/>
    <w:rsid w:val="008E7B33"/>
    <w:rsid w:val="008F1EFC"/>
    <w:rsid w:val="00900F2D"/>
    <w:rsid w:val="00901A27"/>
    <w:rsid w:val="00902692"/>
    <w:rsid w:val="00903493"/>
    <w:rsid w:val="00905ECD"/>
    <w:rsid w:val="00910F19"/>
    <w:rsid w:val="0091176A"/>
    <w:rsid w:val="0091402E"/>
    <w:rsid w:val="00914C87"/>
    <w:rsid w:val="0091781D"/>
    <w:rsid w:val="0091782F"/>
    <w:rsid w:val="00921412"/>
    <w:rsid w:val="00923A9F"/>
    <w:rsid w:val="00926465"/>
    <w:rsid w:val="00926FD1"/>
    <w:rsid w:val="00930AAB"/>
    <w:rsid w:val="00930F14"/>
    <w:rsid w:val="00931B21"/>
    <w:rsid w:val="009327F9"/>
    <w:rsid w:val="0093298D"/>
    <w:rsid w:val="009336D0"/>
    <w:rsid w:val="009346AE"/>
    <w:rsid w:val="009360B0"/>
    <w:rsid w:val="0093638D"/>
    <w:rsid w:val="009363CC"/>
    <w:rsid w:val="00937FC4"/>
    <w:rsid w:val="009424A8"/>
    <w:rsid w:val="00942C2B"/>
    <w:rsid w:val="009440BA"/>
    <w:rsid w:val="00945951"/>
    <w:rsid w:val="00945F48"/>
    <w:rsid w:val="00946F18"/>
    <w:rsid w:val="009478C3"/>
    <w:rsid w:val="009508EF"/>
    <w:rsid w:val="00951840"/>
    <w:rsid w:val="00953027"/>
    <w:rsid w:val="009530CF"/>
    <w:rsid w:val="00954803"/>
    <w:rsid w:val="009565AA"/>
    <w:rsid w:val="00957B65"/>
    <w:rsid w:val="00960062"/>
    <w:rsid w:val="009605CA"/>
    <w:rsid w:val="00960D7E"/>
    <w:rsid w:val="00963204"/>
    <w:rsid w:val="00963713"/>
    <w:rsid w:val="00963F44"/>
    <w:rsid w:val="009659BB"/>
    <w:rsid w:val="00967921"/>
    <w:rsid w:val="009713F5"/>
    <w:rsid w:val="00971B2E"/>
    <w:rsid w:val="00971D28"/>
    <w:rsid w:val="00971E44"/>
    <w:rsid w:val="0097209D"/>
    <w:rsid w:val="00976159"/>
    <w:rsid w:val="0097661E"/>
    <w:rsid w:val="00976833"/>
    <w:rsid w:val="00976934"/>
    <w:rsid w:val="009800D7"/>
    <w:rsid w:val="00985BAC"/>
    <w:rsid w:val="009900E4"/>
    <w:rsid w:val="00990DF4"/>
    <w:rsid w:val="00991221"/>
    <w:rsid w:val="0099161A"/>
    <w:rsid w:val="00991A07"/>
    <w:rsid w:val="00992DA9"/>
    <w:rsid w:val="00992E3F"/>
    <w:rsid w:val="00995789"/>
    <w:rsid w:val="009967E5"/>
    <w:rsid w:val="009968F3"/>
    <w:rsid w:val="00996DA3"/>
    <w:rsid w:val="009972CF"/>
    <w:rsid w:val="009A001B"/>
    <w:rsid w:val="009A04CD"/>
    <w:rsid w:val="009A3795"/>
    <w:rsid w:val="009A4D39"/>
    <w:rsid w:val="009A59FB"/>
    <w:rsid w:val="009B153B"/>
    <w:rsid w:val="009B3FE9"/>
    <w:rsid w:val="009B4B6C"/>
    <w:rsid w:val="009B5BF7"/>
    <w:rsid w:val="009B6599"/>
    <w:rsid w:val="009B7C05"/>
    <w:rsid w:val="009B7F1A"/>
    <w:rsid w:val="009C08C7"/>
    <w:rsid w:val="009C3F3B"/>
    <w:rsid w:val="009C42CD"/>
    <w:rsid w:val="009C5D90"/>
    <w:rsid w:val="009C6713"/>
    <w:rsid w:val="009D214B"/>
    <w:rsid w:val="009D4294"/>
    <w:rsid w:val="009D5FD9"/>
    <w:rsid w:val="009E0674"/>
    <w:rsid w:val="009E0A67"/>
    <w:rsid w:val="009E3CDD"/>
    <w:rsid w:val="009E5B83"/>
    <w:rsid w:val="009E6DDB"/>
    <w:rsid w:val="009F0093"/>
    <w:rsid w:val="009F10D8"/>
    <w:rsid w:val="009F1CCC"/>
    <w:rsid w:val="00A00F97"/>
    <w:rsid w:val="00A0362A"/>
    <w:rsid w:val="00A040FC"/>
    <w:rsid w:val="00A04F16"/>
    <w:rsid w:val="00A05D70"/>
    <w:rsid w:val="00A06882"/>
    <w:rsid w:val="00A06B9C"/>
    <w:rsid w:val="00A109FF"/>
    <w:rsid w:val="00A16450"/>
    <w:rsid w:val="00A1669C"/>
    <w:rsid w:val="00A16D5D"/>
    <w:rsid w:val="00A20428"/>
    <w:rsid w:val="00A2101A"/>
    <w:rsid w:val="00A224B6"/>
    <w:rsid w:val="00A23E0C"/>
    <w:rsid w:val="00A261C7"/>
    <w:rsid w:val="00A31D09"/>
    <w:rsid w:val="00A320CB"/>
    <w:rsid w:val="00A3220B"/>
    <w:rsid w:val="00A34180"/>
    <w:rsid w:val="00A34236"/>
    <w:rsid w:val="00A35AA5"/>
    <w:rsid w:val="00A377D4"/>
    <w:rsid w:val="00A37FE0"/>
    <w:rsid w:val="00A408B7"/>
    <w:rsid w:val="00A40CDC"/>
    <w:rsid w:val="00A413DD"/>
    <w:rsid w:val="00A4251F"/>
    <w:rsid w:val="00A42633"/>
    <w:rsid w:val="00A4399E"/>
    <w:rsid w:val="00A44E1D"/>
    <w:rsid w:val="00A44EB2"/>
    <w:rsid w:val="00A45A9B"/>
    <w:rsid w:val="00A462A3"/>
    <w:rsid w:val="00A46A63"/>
    <w:rsid w:val="00A52199"/>
    <w:rsid w:val="00A5254D"/>
    <w:rsid w:val="00A52C48"/>
    <w:rsid w:val="00A52E39"/>
    <w:rsid w:val="00A52EA3"/>
    <w:rsid w:val="00A6285B"/>
    <w:rsid w:val="00A646C3"/>
    <w:rsid w:val="00A65719"/>
    <w:rsid w:val="00A7269E"/>
    <w:rsid w:val="00A732C8"/>
    <w:rsid w:val="00A75A28"/>
    <w:rsid w:val="00A75A6B"/>
    <w:rsid w:val="00A8090E"/>
    <w:rsid w:val="00A8107C"/>
    <w:rsid w:val="00A81A91"/>
    <w:rsid w:val="00A81E87"/>
    <w:rsid w:val="00A82104"/>
    <w:rsid w:val="00A83305"/>
    <w:rsid w:val="00A83543"/>
    <w:rsid w:val="00A838EA"/>
    <w:rsid w:val="00A860ED"/>
    <w:rsid w:val="00A870AB"/>
    <w:rsid w:val="00A87345"/>
    <w:rsid w:val="00A875C0"/>
    <w:rsid w:val="00A877AE"/>
    <w:rsid w:val="00A87DDB"/>
    <w:rsid w:val="00A90CB9"/>
    <w:rsid w:val="00A92A1F"/>
    <w:rsid w:val="00A92A63"/>
    <w:rsid w:val="00A94207"/>
    <w:rsid w:val="00A945B2"/>
    <w:rsid w:val="00A94A20"/>
    <w:rsid w:val="00A95D1A"/>
    <w:rsid w:val="00A9609F"/>
    <w:rsid w:val="00A961BB"/>
    <w:rsid w:val="00A964B1"/>
    <w:rsid w:val="00A966C7"/>
    <w:rsid w:val="00A975B0"/>
    <w:rsid w:val="00AA1475"/>
    <w:rsid w:val="00AA23A0"/>
    <w:rsid w:val="00AA3901"/>
    <w:rsid w:val="00AA45D6"/>
    <w:rsid w:val="00AA5205"/>
    <w:rsid w:val="00AA556A"/>
    <w:rsid w:val="00AA634E"/>
    <w:rsid w:val="00AA7AC8"/>
    <w:rsid w:val="00AB0D9D"/>
    <w:rsid w:val="00AB2926"/>
    <w:rsid w:val="00AB42A8"/>
    <w:rsid w:val="00AB478E"/>
    <w:rsid w:val="00AC11B5"/>
    <w:rsid w:val="00AC1478"/>
    <w:rsid w:val="00AC1A4B"/>
    <w:rsid w:val="00AC2249"/>
    <w:rsid w:val="00AC2794"/>
    <w:rsid w:val="00AC5726"/>
    <w:rsid w:val="00AC5D7E"/>
    <w:rsid w:val="00AD00EB"/>
    <w:rsid w:val="00AD0483"/>
    <w:rsid w:val="00AD04D1"/>
    <w:rsid w:val="00AD13ED"/>
    <w:rsid w:val="00AD2195"/>
    <w:rsid w:val="00AD2B87"/>
    <w:rsid w:val="00AD2E2D"/>
    <w:rsid w:val="00AD2E59"/>
    <w:rsid w:val="00AD2E6D"/>
    <w:rsid w:val="00AD525A"/>
    <w:rsid w:val="00AD7CD8"/>
    <w:rsid w:val="00AE1E42"/>
    <w:rsid w:val="00AE2879"/>
    <w:rsid w:val="00AE2EB9"/>
    <w:rsid w:val="00AE3288"/>
    <w:rsid w:val="00AE60E5"/>
    <w:rsid w:val="00AE6AD9"/>
    <w:rsid w:val="00AF0FA8"/>
    <w:rsid w:val="00AF1474"/>
    <w:rsid w:val="00AF184A"/>
    <w:rsid w:val="00AF18F8"/>
    <w:rsid w:val="00AF21B2"/>
    <w:rsid w:val="00AF24F3"/>
    <w:rsid w:val="00AF26FB"/>
    <w:rsid w:val="00AF52E6"/>
    <w:rsid w:val="00AF5855"/>
    <w:rsid w:val="00AF5E55"/>
    <w:rsid w:val="00AF5F13"/>
    <w:rsid w:val="00AF658E"/>
    <w:rsid w:val="00AF6BBE"/>
    <w:rsid w:val="00B04580"/>
    <w:rsid w:val="00B0492A"/>
    <w:rsid w:val="00B05D56"/>
    <w:rsid w:val="00B05EB4"/>
    <w:rsid w:val="00B06EDD"/>
    <w:rsid w:val="00B1256E"/>
    <w:rsid w:val="00B13834"/>
    <w:rsid w:val="00B149A8"/>
    <w:rsid w:val="00B212E7"/>
    <w:rsid w:val="00B2342F"/>
    <w:rsid w:val="00B24357"/>
    <w:rsid w:val="00B247A0"/>
    <w:rsid w:val="00B24ABB"/>
    <w:rsid w:val="00B25DAD"/>
    <w:rsid w:val="00B3061D"/>
    <w:rsid w:val="00B321FC"/>
    <w:rsid w:val="00B353D5"/>
    <w:rsid w:val="00B36F17"/>
    <w:rsid w:val="00B41892"/>
    <w:rsid w:val="00B43E2D"/>
    <w:rsid w:val="00B525B1"/>
    <w:rsid w:val="00B52B43"/>
    <w:rsid w:val="00B53CAF"/>
    <w:rsid w:val="00B545C2"/>
    <w:rsid w:val="00B57433"/>
    <w:rsid w:val="00B57729"/>
    <w:rsid w:val="00B5791F"/>
    <w:rsid w:val="00B57C60"/>
    <w:rsid w:val="00B605AC"/>
    <w:rsid w:val="00B62250"/>
    <w:rsid w:val="00B65DDD"/>
    <w:rsid w:val="00B671F8"/>
    <w:rsid w:val="00B672C6"/>
    <w:rsid w:val="00B7394A"/>
    <w:rsid w:val="00B76123"/>
    <w:rsid w:val="00B765F1"/>
    <w:rsid w:val="00B77249"/>
    <w:rsid w:val="00B77EB3"/>
    <w:rsid w:val="00B816A9"/>
    <w:rsid w:val="00B82EFA"/>
    <w:rsid w:val="00B8732E"/>
    <w:rsid w:val="00B87DB5"/>
    <w:rsid w:val="00B9117E"/>
    <w:rsid w:val="00B96DE2"/>
    <w:rsid w:val="00B971F2"/>
    <w:rsid w:val="00B97737"/>
    <w:rsid w:val="00BA159D"/>
    <w:rsid w:val="00BA23E1"/>
    <w:rsid w:val="00BA2719"/>
    <w:rsid w:val="00BA657A"/>
    <w:rsid w:val="00BA7C4F"/>
    <w:rsid w:val="00BA7FCE"/>
    <w:rsid w:val="00BB0DD1"/>
    <w:rsid w:val="00BB0E58"/>
    <w:rsid w:val="00BB3A82"/>
    <w:rsid w:val="00BB3C4E"/>
    <w:rsid w:val="00BB47AE"/>
    <w:rsid w:val="00BB5CE3"/>
    <w:rsid w:val="00BB5F48"/>
    <w:rsid w:val="00BB7BEE"/>
    <w:rsid w:val="00BB7CE9"/>
    <w:rsid w:val="00BC07FC"/>
    <w:rsid w:val="00BC4D3C"/>
    <w:rsid w:val="00BC5CF4"/>
    <w:rsid w:val="00BD0C2D"/>
    <w:rsid w:val="00BD0C67"/>
    <w:rsid w:val="00BD13D8"/>
    <w:rsid w:val="00BD18D7"/>
    <w:rsid w:val="00BD1ED8"/>
    <w:rsid w:val="00BD3E69"/>
    <w:rsid w:val="00BD41A2"/>
    <w:rsid w:val="00BD672C"/>
    <w:rsid w:val="00BD673D"/>
    <w:rsid w:val="00BE0C2E"/>
    <w:rsid w:val="00BE15F6"/>
    <w:rsid w:val="00BE4476"/>
    <w:rsid w:val="00BE698D"/>
    <w:rsid w:val="00BF35CC"/>
    <w:rsid w:val="00BF3689"/>
    <w:rsid w:val="00BF48E7"/>
    <w:rsid w:val="00BF4C11"/>
    <w:rsid w:val="00BF628D"/>
    <w:rsid w:val="00BF6666"/>
    <w:rsid w:val="00BF6725"/>
    <w:rsid w:val="00BF6E50"/>
    <w:rsid w:val="00C02B75"/>
    <w:rsid w:val="00C03E7F"/>
    <w:rsid w:val="00C042D7"/>
    <w:rsid w:val="00C05725"/>
    <w:rsid w:val="00C059C8"/>
    <w:rsid w:val="00C13D80"/>
    <w:rsid w:val="00C2004E"/>
    <w:rsid w:val="00C20F00"/>
    <w:rsid w:val="00C22B8E"/>
    <w:rsid w:val="00C230A7"/>
    <w:rsid w:val="00C248C1"/>
    <w:rsid w:val="00C25433"/>
    <w:rsid w:val="00C25AAC"/>
    <w:rsid w:val="00C25C1E"/>
    <w:rsid w:val="00C26BA8"/>
    <w:rsid w:val="00C26D0C"/>
    <w:rsid w:val="00C317AE"/>
    <w:rsid w:val="00C33344"/>
    <w:rsid w:val="00C35281"/>
    <w:rsid w:val="00C361D8"/>
    <w:rsid w:val="00C36556"/>
    <w:rsid w:val="00C37FAD"/>
    <w:rsid w:val="00C404DA"/>
    <w:rsid w:val="00C41043"/>
    <w:rsid w:val="00C42553"/>
    <w:rsid w:val="00C42CDA"/>
    <w:rsid w:val="00C430AA"/>
    <w:rsid w:val="00C4359B"/>
    <w:rsid w:val="00C4455C"/>
    <w:rsid w:val="00C46151"/>
    <w:rsid w:val="00C52962"/>
    <w:rsid w:val="00C55736"/>
    <w:rsid w:val="00C5581C"/>
    <w:rsid w:val="00C60C71"/>
    <w:rsid w:val="00C614DA"/>
    <w:rsid w:val="00C62507"/>
    <w:rsid w:val="00C65713"/>
    <w:rsid w:val="00C7035F"/>
    <w:rsid w:val="00C720AE"/>
    <w:rsid w:val="00C728B9"/>
    <w:rsid w:val="00C73AA9"/>
    <w:rsid w:val="00C754D7"/>
    <w:rsid w:val="00C76811"/>
    <w:rsid w:val="00C774E2"/>
    <w:rsid w:val="00C804F8"/>
    <w:rsid w:val="00C80B0D"/>
    <w:rsid w:val="00C82E11"/>
    <w:rsid w:val="00C852B3"/>
    <w:rsid w:val="00C8639E"/>
    <w:rsid w:val="00C92B5F"/>
    <w:rsid w:val="00C92BF1"/>
    <w:rsid w:val="00C946D0"/>
    <w:rsid w:val="00C94863"/>
    <w:rsid w:val="00C95589"/>
    <w:rsid w:val="00C963BE"/>
    <w:rsid w:val="00C976FE"/>
    <w:rsid w:val="00CA00EA"/>
    <w:rsid w:val="00CA2783"/>
    <w:rsid w:val="00CA3B69"/>
    <w:rsid w:val="00CA6751"/>
    <w:rsid w:val="00CA684C"/>
    <w:rsid w:val="00CA6A48"/>
    <w:rsid w:val="00CB2790"/>
    <w:rsid w:val="00CB772C"/>
    <w:rsid w:val="00CC0502"/>
    <w:rsid w:val="00CC337F"/>
    <w:rsid w:val="00CC3E5F"/>
    <w:rsid w:val="00CC49A3"/>
    <w:rsid w:val="00CC59AC"/>
    <w:rsid w:val="00CC5CCE"/>
    <w:rsid w:val="00CC7BD4"/>
    <w:rsid w:val="00CD0856"/>
    <w:rsid w:val="00CD20BA"/>
    <w:rsid w:val="00CD321E"/>
    <w:rsid w:val="00CD5B32"/>
    <w:rsid w:val="00CD76D9"/>
    <w:rsid w:val="00CE05B3"/>
    <w:rsid w:val="00CE596B"/>
    <w:rsid w:val="00CE5EEA"/>
    <w:rsid w:val="00CE63E5"/>
    <w:rsid w:val="00CE7EDB"/>
    <w:rsid w:val="00CF0A99"/>
    <w:rsid w:val="00CF17E8"/>
    <w:rsid w:val="00CF1BB2"/>
    <w:rsid w:val="00CF3B06"/>
    <w:rsid w:val="00CF7E3E"/>
    <w:rsid w:val="00D00469"/>
    <w:rsid w:val="00D00ABA"/>
    <w:rsid w:val="00D029A8"/>
    <w:rsid w:val="00D02C28"/>
    <w:rsid w:val="00D02C47"/>
    <w:rsid w:val="00D073A8"/>
    <w:rsid w:val="00D0745F"/>
    <w:rsid w:val="00D07EC7"/>
    <w:rsid w:val="00D111FE"/>
    <w:rsid w:val="00D11506"/>
    <w:rsid w:val="00D12D0D"/>
    <w:rsid w:val="00D15344"/>
    <w:rsid w:val="00D15E2F"/>
    <w:rsid w:val="00D168B8"/>
    <w:rsid w:val="00D1797D"/>
    <w:rsid w:val="00D24F0E"/>
    <w:rsid w:val="00D26796"/>
    <w:rsid w:val="00D3041C"/>
    <w:rsid w:val="00D32881"/>
    <w:rsid w:val="00D33AC9"/>
    <w:rsid w:val="00D37D54"/>
    <w:rsid w:val="00D41B40"/>
    <w:rsid w:val="00D41FD5"/>
    <w:rsid w:val="00D4269A"/>
    <w:rsid w:val="00D454BC"/>
    <w:rsid w:val="00D46164"/>
    <w:rsid w:val="00D463DA"/>
    <w:rsid w:val="00D505A3"/>
    <w:rsid w:val="00D509B2"/>
    <w:rsid w:val="00D52D4E"/>
    <w:rsid w:val="00D56989"/>
    <w:rsid w:val="00D64331"/>
    <w:rsid w:val="00D70AA6"/>
    <w:rsid w:val="00D71B23"/>
    <w:rsid w:val="00D72A6E"/>
    <w:rsid w:val="00D74274"/>
    <w:rsid w:val="00D75458"/>
    <w:rsid w:val="00D77E95"/>
    <w:rsid w:val="00D81109"/>
    <w:rsid w:val="00D82BE7"/>
    <w:rsid w:val="00D82F4F"/>
    <w:rsid w:val="00D82FB2"/>
    <w:rsid w:val="00D860EB"/>
    <w:rsid w:val="00D871DF"/>
    <w:rsid w:val="00D904D9"/>
    <w:rsid w:val="00D910B0"/>
    <w:rsid w:val="00D92D1B"/>
    <w:rsid w:val="00D92F12"/>
    <w:rsid w:val="00D94793"/>
    <w:rsid w:val="00D9579D"/>
    <w:rsid w:val="00D9753F"/>
    <w:rsid w:val="00DA1E8B"/>
    <w:rsid w:val="00DA1EB3"/>
    <w:rsid w:val="00DA2C6D"/>
    <w:rsid w:val="00DA3A01"/>
    <w:rsid w:val="00DA7CE4"/>
    <w:rsid w:val="00DB036A"/>
    <w:rsid w:val="00DB1F24"/>
    <w:rsid w:val="00DB269E"/>
    <w:rsid w:val="00DB3455"/>
    <w:rsid w:val="00DB34C4"/>
    <w:rsid w:val="00DB4961"/>
    <w:rsid w:val="00DB7FD2"/>
    <w:rsid w:val="00DC1C87"/>
    <w:rsid w:val="00DC23FE"/>
    <w:rsid w:val="00DC46E0"/>
    <w:rsid w:val="00DC51B4"/>
    <w:rsid w:val="00DC66F7"/>
    <w:rsid w:val="00DC6C7D"/>
    <w:rsid w:val="00DC6E98"/>
    <w:rsid w:val="00DC7C58"/>
    <w:rsid w:val="00DD368C"/>
    <w:rsid w:val="00DD3C02"/>
    <w:rsid w:val="00DD7071"/>
    <w:rsid w:val="00DE07A1"/>
    <w:rsid w:val="00DE1419"/>
    <w:rsid w:val="00DE2FCB"/>
    <w:rsid w:val="00DE35CF"/>
    <w:rsid w:val="00DE40BA"/>
    <w:rsid w:val="00DE4B70"/>
    <w:rsid w:val="00DE64C8"/>
    <w:rsid w:val="00DE68DC"/>
    <w:rsid w:val="00DF0288"/>
    <w:rsid w:val="00DF2FFD"/>
    <w:rsid w:val="00DF32CF"/>
    <w:rsid w:val="00DF4237"/>
    <w:rsid w:val="00DF5E91"/>
    <w:rsid w:val="00DF677A"/>
    <w:rsid w:val="00E0044F"/>
    <w:rsid w:val="00E05114"/>
    <w:rsid w:val="00E058EF"/>
    <w:rsid w:val="00E05F89"/>
    <w:rsid w:val="00E070CC"/>
    <w:rsid w:val="00E10A78"/>
    <w:rsid w:val="00E10B07"/>
    <w:rsid w:val="00E1537A"/>
    <w:rsid w:val="00E159A5"/>
    <w:rsid w:val="00E1645A"/>
    <w:rsid w:val="00E16566"/>
    <w:rsid w:val="00E22AF6"/>
    <w:rsid w:val="00E22D28"/>
    <w:rsid w:val="00E23E70"/>
    <w:rsid w:val="00E257A7"/>
    <w:rsid w:val="00E26F47"/>
    <w:rsid w:val="00E2732B"/>
    <w:rsid w:val="00E32C89"/>
    <w:rsid w:val="00E35966"/>
    <w:rsid w:val="00E37C7C"/>
    <w:rsid w:val="00E40675"/>
    <w:rsid w:val="00E40715"/>
    <w:rsid w:val="00E40E26"/>
    <w:rsid w:val="00E40ED0"/>
    <w:rsid w:val="00E45FE3"/>
    <w:rsid w:val="00E52FE2"/>
    <w:rsid w:val="00E55A3D"/>
    <w:rsid w:val="00E56DB0"/>
    <w:rsid w:val="00E60F47"/>
    <w:rsid w:val="00E61967"/>
    <w:rsid w:val="00E61C4F"/>
    <w:rsid w:val="00E627CD"/>
    <w:rsid w:val="00E63CA1"/>
    <w:rsid w:val="00E64E98"/>
    <w:rsid w:val="00E66474"/>
    <w:rsid w:val="00E66C26"/>
    <w:rsid w:val="00E66C85"/>
    <w:rsid w:val="00E70F33"/>
    <w:rsid w:val="00E73433"/>
    <w:rsid w:val="00E737BE"/>
    <w:rsid w:val="00E75AFA"/>
    <w:rsid w:val="00E76460"/>
    <w:rsid w:val="00E76A49"/>
    <w:rsid w:val="00E803BB"/>
    <w:rsid w:val="00E82167"/>
    <w:rsid w:val="00E8492C"/>
    <w:rsid w:val="00E85089"/>
    <w:rsid w:val="00E85382"/>
    <w:rsid w:val="00E85416"/>
    <w:rsid w:val="00E91F74"/>
    <w:rsid w:val="00E92398"/>
    <w:rsid w:val="00E924D7"/>
    <w:rsid w:val="00E927F8"/>
    <w:rsid w:val="00E92A8E"/>
    <w:rsid w:val="00E92F15"/>
    <w:rsid w:val="00E93809"/>
    <w:rsid w:val="00E95D46"/>
    <w:rsid w:val="00E96025"/>
    <w:rsid w:val="00E96C75"/>
    <w:rsid w:val="00E96E23"/>
    <w:rsid w:val="00EA1394"/>
    <w:rsid w:val="00EA2B1D"/>
    <w:rsid w:val="00EA2B93"/>
    <w:rsid w:val="00EA6D87"/>
    <w:rsid w:val="00EA7898"/>
    <w:rsid w:val="00EB0186"/>
    <w:rsid w:val="00EB1433"/>
    <w:rsid w:val="00EB161E"/>
    <w:rsid w:val="00EB1C34"/>
    <w:rsid w:val="00EB4E5C"/>
    <w:rsid w:val="00EB5196"/>
    <w:rsid w:val="00EB5770"/>
    <w:rsid w:val="00EB6461"/>
    <w:rsid w:val="00EB6829"/>
    <w:rsid w:val="00EB6B5E"/>
    <w:rsid w:val="00EB733A"/>
    <w:rsid w:val="00EC17B0"/>
    <w:rsid w:val="00EC4744"/>
    <w:rsid w:val="00EC5889"/>
    <w:rsid w:val="00ED144D"/>
    <w:rsid w:val="00ED1B71"/>
    <w:rsid w:val="00ED5B26"/>
    <w:rsid w:val="00ED5BDA"/>
    <w:rsid w:val="00ED5F39"/>
    <w:rsid w:val="00ED7690"/>
    <w:rsid w:val="00ED7CFD"/>
    <w:rsid w:val="00EE0121"/>
    <w:rsid w:val="00EE0800"/>
    <w:rsid w:val="00EE61C4"/>
    <w:rsid w:val="00EE6BB5"/>
    <w:rsid w:val="00EE72DD"/>
    <w:rsid w:val="00EE7C95"/>
    <w:rsid w:val="00EF07CE"/>
    <w:rsid w:val="00EF0914"/>
    <w:rsid w:val="00EF1118"/>
    <w:rsid w:val="00EF1366"/>
    <w:rsid w:val="00EF1BDE"/>
    <w:rsid w:val="00EF25D1"/>
    <w:rsid w:val="00EF58CD"/>
    <w:rsid w:val="00EF5B1A"/>
    <w:rsid w:val="00F00CA0"/>
    <w:rsid w:val="00F00E93"/>
    <w:rsid w:val="00F01DEE"/>
    <w:rsid w:val="00F02B69"/>
    <w:rsid w:val="00F10641"/>
    <w:rsid w:val="00F10D64"/>
    <w:rsid w:val="00F110DA"/>
    <w:rsid w:val="00F1198C"/>
    <w:rsid w:val="00F1264D"/>
    <w:rsid w:val="00F156A9"/>
    <w:rsid w:val="00F17DA5"/>
    <w:rsid w:val="00F20052"/>
    <w:rsid w:val="00F2109E"/>
    <w:rsid w:val="00F21E49"/>
    <w:rsid w:val="00F22349"/>
    <w:rsid w:val="00F23803"/>
    <w:rsid w:val="00F239EC"/>
    <w:rsid w:val="00F256EC"/>
    <w:rsid w:val="00F25B7A"/>
    <w:rsid w:val="00F26B1D"/>
    <w:rsid w:val="00F27EA9"/>
    <w:rsid w:val="00F30756"/>
    <w:rsid w:val="00F3203B"/>
    <w:rsid w:val="00F320E0"/>
    <w:rsid w:val="00F3284E"/>
    <w:rsid w:val="00F34BD9"/>
    <w:rsid w:val="00F40EDC"/>
    <w:rsid w:val="00F41B03"/>
    <w:rsid w:val="00F42F71"/>
    <w:rsid w:val="00F43708"/>
    <w:rsid w:val="00F43FA5"/>
    <w:rsid w:val="00F44C8D"/>
    <w:rsid w:val="00F45C89"/>
    <w:rsid w:val="00F45D33"/>
    <w:rsid w:val="00F4617A"/>
    <w:rsid w:val="00F47444"/>
    <w:rsid w:val="00F50941"/>
    <w:rsid w:val="00F52A6B"/>
    <w:rsid w:val="00F52F16"/>
    <w:rsid w:val="00F53839"/>
    <w:rsid w:val="00F53B52"/>
    <w:rsid w:val="00F53CD4"/>
    <w:rsid w:val="00F55293"/>
    <w:rsid w:val="00F608EA"/>
    <w:rsid w:val="00F60A24"/>
    <w:rsid w:val="00F61806"/>
    <w:rsid w:val="00F61931"/>
    <w:rsid w:val="00F630D3"/>
    <w:rsid w:val="00F63F5F"/>
    <w:rsid w:val="00F6460F"/>
    <w:rsid w:val="00F67714"/>
    <w:rsid w:val="00F7135C"/>
    <w:rsid w:val="00F71C0E"/>
    <w:rsid w:val="00F731A1"/>
    <w:rsid w:val="00F74379"/>
    <w:rsid w:val="00F74A0A"/>
    <w:rsid w:val="00F75D97"/>
    <w:rsid w:val="00F76BF5"/>
    <w:rsid w:val="00F813AB"/>
    <w:rsid w:val="00F823D2"/>
    <w:rsid w:val="00F844DC"/>
    <w:rsid w:val="00F863F8"/>
    <w:rsid w:val="00F90DB2"/>
    <w:rsid w:val="00F910BD"/>
    <w:rsid w:val="00F91F41"/>
    <w:rsid w:val="00F9233D"/>
    <w:rsid w:val="00F94F14"/>
    <w:rsid w:val="00F963A0"/>
    <w:rsid w:val="00FA1E07"/>
    <w:rsid w:val="00FA4A97"/>
    <w:rsid w:val="00FA4B38"/>
    <w:rsid w:val="00FA678C"/>
    <w:rsid w:val="00FB01EF"/>
    <w:rsid w:val="00FB10D1"/>
    <w:rsid w:val="00FB1246"/>
    <w:rsid w:val="00FB2B4C"/>
    <w:rsid w:val="00FB2FAF"/>
    <w:rsid w:val="00FB31EF"/>
    <w:rsid w:val="00FB3454"/>
    <w:rsid w:val="00FB413C"/>
    <w:rsid w:val="00FB5AB2"/>
    <w:rsid w:val="00FC1DDF"/>
    <w:rsid w:val="00FC2919"/>
    <w:rsid w:val="00FC2FAE"/>
    <w:rsid w:val="00FC5B2F"/>
    <w:rsid w:val="00FD0FA4"/>
    <w:rsid w:val="00FD1825"/>
    <w:rsid w:val="00FE02A3"/>
    <w:rsid w:val="00FE08DF"/>
    <w:rsid w:val="00FE2F79"/>
    <w:rsid w:val="00FE3342"/>
    <w:rsid w:val="00FE3691"/>
    <w:rsid w:val="00FE3AFB"/>
    <w:rsid w:val="00FE4997"/>
    <w:rsid w:val="00FE57AD"/>
    <w:rsid w:val="00FF1E0A"/>
    <w:rsid w:val="00FF29E0"/>
    <w:rsid w:val="00FF32D9"/>
    <w:rsid w:val="00FF32FE"/>
    <w:rsid w:val="00FF52F1"/>
    <w:rsid w:val="00FF5DDE"/>
    <w:rsid w:val="00FF7946"/>
    <w:rsid w:val="010809AF"/>
    <w:rsid w:val="025B287F"/>
    <w:rsid w:val="02602455"/>
    <w:rsid w:val="03B90FF0"/>
    <w:rsid w:val="04071455"/>
    <w:rsid w:val="04205A6D"/>
    <w:rsid w:val="0621020E"/>
    <w:rsid w:val="06FC5677"/>
    <w:rsid w:val="07124399"/>
    <w:rsid w:val="074765F1"/>
    <w:rsid w:val="07811A02"/>
    <w:rsid w:val="07CB1CCC"/>
    <w:rsid w:val="087B5F6E"/>
    <w:rsid w:val="090D298F"/>
    <w:rsid w:val="09A806BC"/>
    <w:rsid w:val="09B946ED"/>
    <w:rsid w:val="0D782D75"/>
    <w:rsid w:val="0DBB7335"/>
    <w:rsid w:val="0F604DCC"/>
    <w:rsid w:val="0F81030D"/>
    <w:rsid w:val="0FBA381F"/>
    <w:rsid w:val="10CB7366"/>
    <w:rsid w:val="11F21C6B"/>
    <w:rsid w:val="12416D31"/>
    <w:rsid w:val="1286226F"/>
    <w:rsid w:val="147F3AF9"/>
    <w:rsid w:val="158A4532"/>
    <w:rsid w:val="17747789"/>
    <w:rsid w:val="17903D40"/>
    <w:rsid w:val="17AF79E2"/>
    <w:rsid w:val="18367C1D"/>
    <w:rsid w:val="184929E4"/>
    <w:rsid w:val="186937E8"/>
    <w:rsid w:val="198A5F03"/>
    <w:rsid w:val="1A023DF9"/>
    <w:rsid w:val="1CD337D0"/>
    <w:rsid w:val="1CF1492B"/>
    <w:rsid w:val="1CFF0C41"/>
    <w:rsid w:val="1D862F93"/>
    <w:rsid w:val="1E844706"/>
    <w:rsid w:val="203547D4"/>
    <w:rsid w:val="210A4B8D"/>
    <w:rsid w:val="21787096"/>
    <w:rsid w:val="22201A63"/>
    <w:rsid w:val="228C2DF9"/>
    <w:rsid w:val="230B6414"/>
    <w:rsid w:val="23411E36"/>
    <w:rsid w:val="23CD2DFF"/>
    <w:rsid w:val="24123E40"/>
    <w:rsid w:val="247272AB"/>
    <w:rsid w:val="252C779A"/>
    <w:rsid w:val="27317319"/>
    <w:rsid w:val="289B773F"/>
    <w:rsid w:val="28B7526C"/>
    <w:rsid w:val="293B10D5"/>
    <w:rsid w:val="2A6210C8"/>
    <w:rsid w:val="2AA7341F"/>
    <w:rsid w:val="2AAE15DA"/>
    <w:rsid w:val="2ABE5B1A"/>
    <w:rsid w:val="2B2118DF"/>
    <w:rsid w:val="2B560448"/>
    <w:rsid w:val="2CF90367"/>
    <w:rsid w:val="2CFB3D05"/>
    <w:rsid w:val="2D4E7DBF"/>
    <w:rsid w:val="2DCB731C"/>
    <w:rsid w:val="2DDE007F"/>
    <w:rsid w:val="2E772CC1"/>
    <w:rsid w:val="2E7B4385"/>
    <w:rsid w:val="2EFB013C"/>
    <w:rsid w:val="30737AC2"/>
    <w:rsid w:val="30CE0A81"/>
    <w:rsid w:val="318D27D7"/>
    <w:rsid w:val="33117C61"/>
    <w:rsid w:val="33A94A4F"/>
    <w:rsid w:val="33F65628"/>
    <w:rsid w:val="351A6043"/>
    <w:rsid w:val="353D61D5"/>
    <w:rsid w:val="35BA2CCD"/>
    <w:rsid w:val="36647515"/>
    <w:rsid w:val="37134324"/>
    <w:rsid w:val="37FB444A"/>
    <w:rsid w:val="3872710D"/>
    <w:rsid w:val="39C94538"/>
    <w:rsid w:val="39F21DE1"/>
    <w:rsid w:val="3A846C0A"/>
    <w:rsid w:val="3B180BC6"/>
    <w:rsid w:val="3BCB411B"/>
    <w:rsid w:val="3BEE647B"/>
    <w:rsid w:val="3C7548BF"/>
    <w:rsid w:val="3C805325"/>
    <w:rsid w:val="3C88669B"/>
    <w:rsid w:val="3DBF3C2B"/>
    <w:rsid w:val="3DF47BC8"/>
    <w:rsid w:val="3F35503D"/>
    <w:rsid w:val="3FDA11F0"/>
    <w:rsid w:val="401A2B25"/>
    <w:rsid w:val="40224945"/>
    <w:rsid w:val="416B3E0D"/>
    <w:rsid w:val="416F392C"/>
    <w:rsid w:val="41A57F4B"/>
    <w:rsid w:val="43053E8D"/>
    <w:rsid w:val="44291212"/>
    <w:rsid w:val="44835964"/>
    <w:rsid w:val="44E8790B"/>
    <w:rsid w:val="46650D21"/>
    <w:rsid w:val="469F5282"/>
    <w:rsid w:val="46EE37D3"/>
    <w:rsid w:val="47AB059A"/>
    <w:rsid w:val="49CE201A"/>
    <w:rsid w:val="4A6C0C97"/>
    <w:rsid w:val="4B705B2B"/>
    <w:rsid w:val="4B824A62"/>
    <w:rsid w:val="4C455EFE"/>
    <w:rsid w:val="4C5F43CD"/>
    <w:rsid w:val="4DEF40B9"/>
    <w:rsid w:val="4FA63026"/>
    <w:rsid w:val="500320EF"/>
    <w:rsid w:val="504C0373"/>
    <w:rsid w:val="508036EE"/>
    <w:rsid w:val="51190CCC"/>
    <w:rsid w:val="51311302"/>
    <w:rsid w:val="515B7CB7"/>
    <w:rsid w:val="518B234A"/>
    <w:rsid w:val="527E1EAF"/>
    <w:rsid w:val="530B0C97"/>
    <w:rsid w:val="54626B44"/>
    <w:rsid w:val="54C52124"/>
    <w:rsid w:val="56586573"/>
    <w:rsid w:val="572D309C"/>
    <w:rsid w:val="57462870"/>
    <w:rsid w:val="586A122F"/>
    <w:rsid w:val="59DE5C43"/>
    <w:rsid w:val="5A2E5C3A"/>
    <w:rsid w:val="5BD20B76"/>
    <w:rsid w:val="5D7F0C2C"/>
    <w:rsid w:val="5DD62B9F"/>
    <w:rsid w:val="5DEB1835"/>
    <w:rsid w:val="5E0A7B0C"/>
    <w:rsid w:val="5E473A9D"/>
    <w:rsid w:val="5F3A715E"/>
    <w:rsid w:val="5FF27A39"/>
    <w:rsid w:val="612260FC"/>
    <w:rsid w:val="63991F19"/>
    <w:rsid w:val="64CE2822"/>
    <w:rsid w:val="65113350"/>
    <w:rsid w:val="66E77B9E"/>
    <w:rsid w:val="683073A9"/>
    <w:rsid w:val="68E00D76"/>
    <w:rsid w:val="695E7EED"/>
    <w:rsid w:val="69FF347E"/>
    <w:rsid w:val="6AAF6C52"/>
    <w:rsid w:val="6B4D1924"/>
    <w:rsid w:val="6BEB18D0"/>
    <w:rsid w:val="6C8867A3"/>
    <w:rsid w:val="6D714693"/>
    <w:rsid w:val="6D82578D"/>
    <w:rsid w:val="6D9562EC"/>
    <w:rsid w:val="6EA94B30"/>
    <w:rsid w:val="6FCF6C74"/>
    <w:rsid w:val="70345485"/>
    <w:rsid w:val="708244C1"/>
    <w:rsid w:val="709E7367"/>
    <w:rsid w:val="711E68DF"/>
    <w:rsid w:val="71D60F68"/>
    <w:rsid w:val="71E42478"/>
    <w:rsid w:val="7286647A"/>
    <w:rsid w:val="72DF71C6"/>
    <w:rsid w:val="72FD7FCD"/>
    <w:rsid w:val="73310FF5"/>
    <w:rsid w:val="73832A2A"/>
    <w:rsid w:val="73DC038C"/>
    <w:rsid w:val="74DD4729"/>
    <w:rsid w:val="74F57957"/>
    <w:rsid w:val="75874327"/>
    <w:rsid w:val="75C47A14"/>
    <w:rsid w:val="77657A47"/>
    <w:rsid w:val="78281118"/>
    <w:rsid w:val="782865AE"/>
    <w:rsid w:val="78B2790D"/>
    <w:rsid w:val="78CF112E"/>
    <w:rsid w:val="792B6B1B"/>
    <w:rsid w:val="7A767222"/>
    <w:rsid w:val="7E5F22E5"/>
  </w:rsids>
  <w:docVars>
    <w:docVar w:name="commondata" w:val="eyJoZGlkIjoiODdhMzZmNjEwNGE0NzhmZTM5ZTZkYmRhNmU2NGI2N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EBF604"/>
  <w15:docId w15:val="{CBFC72D9-BFA3-4DE7-A095-DD8301B06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semiHidden="1" w:qFormat="1"/>
    <w:lsdException w:name="header" w:qFormat="1"/>
    <w:lsdException w:name="footer" w:qFormat="1"/>
    <w:lsdException w:name="index heading" w:semiHidden="1" w:qFormat="1"/>
    <w:lsdException w:name="caption" w:qFormat="1"/>
    <w:lsdException w:name="table of figures" w:semiHidden="1" w:qFormat="1"/>
    <w:lsdException w:name="envelope address" w:qFormat="1"/>
    <w:lsdException w:name="envelope return"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qFormat="1"/>
    <w:lsdException w:name="endnote reference" w:semiHidden="1" w:uiPriority="99" w:unhideWhenUsed="1"/>
    <w:lsdException w:name="endnote text" w:semiHidden="1"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uiPriority="1"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unhideWhenUsed="1" w:qFormat="1"/>
    <w:lsdException w:name="Body Text Indent 2" w:unhideWhenUsed="1" w:qFormat="1"/>
    <w:lsdException w:name="Body Text Indent 3"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PMingLiU"/>
      <w:sz w:val="22"/>
      <w:lang w:val="en-GB" w:eastAsia="en-US"/>
    </w:rPr>
  </w:style>
  <w:style w:type="paragraph" w:styleId="Heading1">
    <w:name w:val="heading 1"/>
    <w:basedOn w:val="ReportLevel1"/>
    <w:next w:val="Normal"/>
    <w:link w:val="1"/>
    <w:qFormat/>
    <w:pPr>
      <w:keepNext w:val="0"/>
      <w:numPr>
        <w:numId w:val="1"/>
      </w:numPr>
      <w:tabs>
        <w:tab w:val="clear" w:pos="1077"/>
        <w:tab w:val="left" w:pos="1080"/>
      </w:tabs>
      <w:outlineLvl w:val="0"/>
    </w:pPr>
    <w:rPr>
      <w:rFonts w:cs="Arial"/>
    </w:rPr>
  </w:style>
  <w:style w:type="paragraph" w:styleId="Heading2">
    <w:name w:val="heading 2"/>
    <w:basedOn w:val="Heading1"/>
    <w:next w:val="Normal"/>
    <w:link w:val="2"/>
    <w:uiPriority w:val="9"/>
    <w:qFormat/>
    <w:pPr>
      <w:outlineLvl w:val="1"/>
    </w:pPr>
    <w:rPr>
      <w:caps w:val="0"/>
    </w:rPr>
  </w:style>
  <w:style w:type="paragraph" w:styleId="Heading3">
    <w:name w:val="heading 3"/>
    <w:basedOn w:val="Heading1"/>
    <w:next w:val="Normal"/>
    <w:link w:val="3"/>
    <w:qFormat/>
    <w:pPr>
      <w:outlineLvl w:val="2"/>
    </w:pPr>
    <w:rPr>
      <w:caps w:val="0"/>
      <w:sz w:val="20"/>
    </w:rPr>
  </w:style>
  <w:style w:type="paragraph" w:styleId="Heading4">
    <w:name w:val="heading 4"/>
    <w:basedOn w:val="Heading3"/>
    <w:next w:val="Normal"/>
    <w:link w:val="4"/>
    <w:uiPriority w:val="9"/>
    <w:qFormat/>
    <w:pPr>
      <w:outlineLvl w:val="3"/>
    </w:pPr>
  </w:style>
  <w:style w:type="paragraph" w:styleId="Heading5">
    <w:name w:val="heading 5"/>
    <w:basedOn w:val="Normal"/>
    <w:next w:val="Normal"/>
    <w:link w:val="5"/>
    <w:qFormat/>
    <w:pPr>
      <w:keepNext/>
      <w:outlineLvl w:val="4"/>
    </w:pPr>
    <w:rPr>
      <w:rFonts w:ascii="Arial" w:hAnsi="Arial"/>
      <w:sz w:val="36"/>
    </w:rPr>
  </w:style>
  <w:style w:type="paragraph" w:styleId="Heading6">
    <w:name w:val="heading 6"/>
    <w:basedOn w:val="Normal"/>
    <w:next w:val="Normal"/>
    <w:link w:val="6"/>
    <w:qFormat/>
    <w:pPr>
      <w:outlineLvl w:val="5"/>
    </w:pPr>
    <w:rPr>
      <w:i/>
    </w:rPr>
  </w:style>
  <w:style w:type="paragraph" w:styleId="Heading7">
    <w:name w:val="heading 7"/>
    <w:basedOn w:val="Normal"/>
    <w:next w:val="Normal"/>
    <w:link w:val="7"/>
    <w:qFormat/>
    <w:pPr>
      <w:outlineLvl w:val="6"/>
    </w:pPr>
    <w:rPr>
      <w:rFonts w:ascii="Arial" w:hAnsi="Arial"/>
    </w:rPr>
  </w:style>
  <w:style w:type="paragraph" w:styleId="Heading8">
    <w:name w:val="heading 8"/>
    <w:basedOn w:val="Normal"/>
    <w:next w:val="Normal"/>
    <w:link w:val="8"/>
    <w:qFormat/>
    <w:pPr>
      <w:outlineLvl w:val="7"/>
    </w:pPr>
    <w:rPr>
      <w:rFonts w:ascii="Arial" w:hAnsi="Arial"/>
      <w:i/>
    </w:rPr>
  </w:style>
  <w:style w:type="paragraph" w:styleId="Heading9">
    <w:name w:val="heading 9"/>
    <w:basedOn w:val="Normal"/>
    <w:next w:val="Normal"/>
    <w:link w:val="9"/>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
    <w:name w:val="macro"/>
    <w:link w:val="a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PMingLiU" w:hAnsi="Courier New" w:cs="Courier New"/>
      <w:lang w:val="en-GB" w:eastAsia="en-US"/>
    </w:rPr>
  </w:style>
  <w:style w:type="paragraph" w:customStyle="1" w:styleId="ReportLevel1">
    <w:name w:val="Report Level 1"/>
    <w:basedOn w:val="Normal"/>
    <w:next w:val="Normal"/>
    <w:link w:val="ReportLevel1Char0"/>
    <w:qFormat/>
    <w:pPr>
      <w:keepNext/>
      <w:tabs>
        <w:tab w:val="left" w:pos="1077"/>
      </w:tabs>
      <w:outlineLvl w:val="0"/>
    </w:pPr>
    <w:rPr>
      <w:rFonts w:eastAsia="宋体"/>
      <w:b/>
      <w:caps/>
      <w:sz w:val="24"/>
    </w:rPr>
  </w:style>
  <w:style w:type="paragraph" w:styleId="List3">
    <w:name w:val="List 3"/>
    <w:basedOn w:val="Normal"/>
    <w:qFormat/>
    <w:pPr>
      <w:ind w:left="1080" w:hanging="360"/>
    </w:pPr>
  </w:style>
  <w:style w:type="paragraph" w:styleId="TOC7">
    <w:name w:val="toc 7"/>
    <w:basedOn w:val="TOC2"/>
    <w:next w:val="Normal"/>
    <w:uiPriority w:val="39"/>
    <w:qFormat/>
    <w:pPr>
      <w:ind w:left="1320"/>
    </w:pPr>
    <w:rPr>
      <w:smallCaps w:val="0"/>
      <w:sz w:val="18"/>
    </w:rPr>
  </w:style>
  <w:style w:type="paragraph" w:styleId="TOC2">
    <w:name w:val="toc 2"/>
    <w:basedOn w:val="Normal"/>
    <w:next w:val="Normal"/>
    <w:uiPriority w:val="39"/>
    <w:qFormat/>
    <w:pPr>
      <w:ind w:left="220"/>
    </w:pPr>
    <w:rPr>
      <w:smallCaps/>
      <w:sz w:val="20"/>
    </w:rPr>
  </w:style>
  <w:style w:type="paragraph" w:styleId="ListNumber2">
    <w:name w:val="List Number 2"/>
    <w:basedOn w:val="Normal"/>
    <w:qFormat/>
    <w:pPr>
      <w:numPr>
        <w:numId w:val="2"/>
      </w:numPr>
    </w:pPr>
  </w:style>
  <w:style w:type="paragraph" w:styleId="TableofAuthorities">
    <w:name w:val="table of authorities"/>
    <w:basedOn w:val="Normal"/>
    <w:next w:val="Normal"/>
    <w:semiHidden/>
    <w:qFormat/>
    <w:pPr>
      <w:ind w:left="220" w:hanging="220"/>
    </w:pPr>
  </w:style>
  <w:style w:type="paragraph" w:styleId="NoteHeading">
    <w:name w:val="Note Heading"/>
    <w:basedOn w:val="Normal"/>
    <w:next w:val="Normal"/>
    <w:link w:val="a17"/>
    <w:qFormat/>
  </w:style>
  <w:style w:type="paragraph" w:styleId="ListBullet4">
    <w:name w:val="List Bullet 4"/>
    <w:basedOn w:val="Normal"/>
    <w:qFormat/>
    <w:pPr>
      <w:numPr>
        <w:numId w:val="3"/>
      </w:numPr>
    </w:pPr>
  </w:style>
  <w:style w:type="paragraph" w:styleId="Index8">
    <w:name w:val="index 8"/>
    <w:basedOn w:val="Normal"/>
    <w:next w:val="Normal"/>
    <w:semiHidden/>
    <w:qFormat/>
    <w:pPr>
      <w:ind w:left="1760" w:hanging="220"/>
    </w:pPr>
  </w:style>
  <w:style w:type="paragraph" w:styleId="E-mailSignature">
    <w:name w:val="E-mail Signature"/>
    <w:basedOn w:val="Normal"/>
    <w:link w:val="a18"/>
    <w:qFormat/>
  </w:style>
  <w:style w:type="paragraph" w:styleId="ListNumber">
    <w:name w:val="List Number"/>
    <w:basedOn w:val="Normal"/>
    <w:qFormat/>
    <w:pPr>
      <w:numPr>
        <w:numId w:val="4"/>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Index5">
    <w:name w:val="index 5"/>
    <w:basedOn w:val="Normal"/>
    <w:next w:val="Normal"/>
    <w:semiHidden/>
    <w:qFormat/>
    <w:pPr>
      <w:ind w:left="1100" w:hanging="220"/>
    </w:pPr>
  </w:style>
  <w:style w:type="paragraph" w:styleId="ListBullet">
    <w:name w:val="List Bullet"/>
    <w:basedOn w:val="Normal"/>
    <w:qFormat/>
    <w:pPr>
      <w:numPr>
        <w:numId w:val="5"/>
      </w:numPr>
    </w:pPr>
  </w:style>
  <w:style w:type="paragraph" w:styleId="EnvelopeAddress">
    <w:name w:val="envelope address"/>
    <w:basedOn w:val="Normal"/>
    <w:qFormat/>
    <w:pPr>
      <w:framePr w:w="7920" w:h="1980" w:hRule="exact" w:hSpace="180" w:wrap="around" w:hAnchor="page" w:xAlign="center" w:yAlign="bottom"/>
      <w:ind w:left="2880"/>
    </w:pPr>
    <w:rPr>
      <w:rFonts w:ascii="Arial" w:hAnsi="Arial" w:cs="Arial"/>
      <w:sz w:val="24"/>
      <w:szCs w:val="24"/>
    </w:rPr>
  </w:style>
  <w:style w:type="paragraph" w:styleId="DocumentMap">
    <w:name w:val="Document Map"/>
    <w:basedOn w:val="Normal"/>
    <w:link w:val="a3"/>
    <w:semiHidden/>
    <w:qFormat/>
    <w:pPr>
      <w:shd w:val="clear" w:color="auto" w:fill="000080"/>
    </w:pPr>
    <w:rPr>
      <w:rFonts w:ascii="Tahoma" w:hAnsi="Tahoma"/>
    </w:rPr>
  </w:style>
  <w:style w:type="paragraph" w:styleId="TOAHeading">
    <w:name w:val="toa heading"/>
    <w:basedOn w:val="Normal"/>
    <w:next w:val="Normal"/>
    <w:semiHidden/>
    <w:qFormat/>
    <w:pPr>
      <w:spacing w:before="120"/>
    </w:pPr>
    <w:rPr>
      <w:rFonts w:ascii="Arial" w:hAnsi="Arial" w:cs="Arial"/>
      <w:b/>
      <w:bCs/>
      <w:sz w:val="24"/>
      <w:szCs w:val="24"/>
    </w:rPr>
  </w:style>
  <w:style w:type="paragraph" w:styleId="CommentText">
    <w:name w:val="annotation text"/>
    <w:basedOn w:val="Normal"/>
    <w:link w:val="a1"/>
    <w:semiHidden/>
    <w:qFormat/>
    <w:rPr>
      <w:sz w:val="20"/>
    </w:rPr>
  </w:style>
  <w:style w:type="paragraph" w:styleId="Index6">
    <w:name w:val="index 6"/>
    <w:basedOn w:val="Normal"/>
    <w:next w:val="Normal"/>
    <w:semiHidden/>
    <w:qFormat/>
    <w:pPr>
      <w:ind w:left="1320" w:hanging="220"/>
    </w:pPr>
  </w:style>
  <w:style w:type="paragraph" w:styleId="Salutation">
    <w:name w:val="Salutation"/>
    <w:basedOn w:val="Normal"/>
    <w:next w:val="Normal"/>
    <w:link w:val="a8"/>
    <w:qFormat/>
  </w:style>
  <w:style w:type="paragraph" w:styleId="BodyText3">
    <w:name w:val="Body Text 3"/>
    <w:basedOn w:val="Normal"/>
    <w:link w:val="31"/>
    <w:unhideWhenUsed/>
    <w:qFormat/>
    <w:pPr>
      <w:spacing w:after="120"/>
    </w:pPr>
    <w:rPr>
      <w:sz w:val="16"/>
      <w:szCs w:val="16"/>
    </w:rPr>
  </w:style>
  <w:style w:type="paragraph" w:styleId="Closing">
    <w:name w:val="Closing"/>
    <w:basedOn w:val="Normal"/>
    <w:link w:val="a14"/>
    <w:qFormat/>
    <w:pPr>
      <w:ind w:left="4320"/>
    </w:pPr>
  </w:style>
  <w:style w:type="paragraph" w:styleId="ListBullet3">
    <w:name w:val="List Bullet 3"/>
    <w:basedOn w:val="Normal"/>
    <w:qFormat/>
    <w:pPr>
      <w:numPr>
        <w:numId w:val="6"/>
      </w:numPr>
    </w:pPr>
  </w:style>
  <w:style w:type="paragraph" w:styleId="BodyText">
    <w:name w:val="Body Text"/>
    <w:basedOn w:val="Normal"/>
    <w:link w:val="a2"/>
    <w:uiPriority w:val="1"/>
    <w:qFormat/>
    <w:pPr>
      <w:ind w:left="720"/>
    </w:pPr>
  </w:style>
  <w:style w:type="paragraph" w:styleId="BodyTextIndent">
    <w:name w:val="Body Text Indent"/>
    <w:basedOn w:val="Normal"/>
    <w:link w:val="a5"/>
    <w:qFormat/>
    <w:pPr>
      <w:ind w:left="851"/>
    </w:pPr>
    <w:rPr>
      <w:rFonts w:eastAsia="金梅簡中明"/>
      <w:sz w:val="24"/>
      <w:lang w:eastAsia="zh-TW"/>
    </w:rPr>
  </w:style>
  <w:style w:type="paragraph" w:styleId="ListNumber3">
    <w:name w:val="List Number 3"/>
    <w:basedOn w:val="Normal"/>
    <w:qFormat/>
    <w:pPr>
      <w:numPr>
        <w:numId w:val="7"/>
      </w:numPr>
    </w:pPr>
  </w:style>
  <w:style w:type="paragraph" w:styleId="List2">
    <w:name w:val="List 2"/>
    <w:basedOn w:val="List"/>
    <w:qFormat/>
    <w:pPr>
      <w:spacing w:before="0"/>
    </w:pPr>
  </w:style>
  <w:style w:type="paragraph" w:styleId="List">
    <w:name w:val="List"/>
    <w:basedOn w:val="Normal"/>
    <w:qFormat/>
    <w:pPr>
      <w:tabs>
        <w:tab w:val="left" w:pos="1077"/>
      </w:tabs>
      <w:spacing w:before="138"/>
      <w:ind w:left="1077" w:hanging="1077"/>
    </w:pPr>
  </w:style>
  <w:style w:type="paragraph" w:styleId="ListContinue">
    <w:name w:val="List Continue"/>
    <w:basedOn w:val="Normal"/>
    <w:qFormat/>
    <w:pPr>
      <w:spacing w:after="120"/>
      <w:ind w:left="360"/>
    </w:pPr>
  </w:style>
  <w:style w:type="paragraph" w:styleId="BlockText">
    <w:name w:val="Block Text"/>
    <w:basedOn w:val="Normal"/>
    <w:qFormat/>
    <w:pPr>
      <w:spacing w:after="120"/>
      <w:ind w:left="1440" w:right="1440"/>
    </w:pPr>
  </w:style>
  <w:style w:type="paragraph" w:styleId="ListBullet2">
    <w:name w:val="List Bullet 2"/>
    <w:basedOn w:val="Normal"/>
    <w:qFormat/>
    <w:pPr>
      <w:numPr>
        <w:numId w:val="8"/>
      </w:numPr>
    </w:pPr>
  </w:style>
  <w:style w:type="paragraph" w:styleId="HTMLAddress">
    <w:name w:val="HTML Address"/>
    <w:basedOn w:val="Normal"/>
    <w:link w:val="HTML"/>
    <w:qFormat/>
    <w:rPr>
      <w:i/>
      <w:iCs/>
    </w:rPr>
  </w:style>
  <w:style w:type="paragraph" w:styleId="Index4">
    <w:name w:val="index 4"/>
    <w:basedOn w:val="Normal"/>
    <w:next w:val="Normal"/>
    <w:semiHidden/>
    <w:qFormat/>
    <w:pPr>
      <w:ind w:left="880" w:hanging="220"/>
    </w:pPr>
  </w:style>
  <w:style w:type="paragraph" w:styleId="TOC5">
    <w:name w:val="toc 5"/>
    <w:basedOn w:val="TOC1"/>
    <w:next w:val="Normal"/>
    <w:uiPriority w:val="39"/>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uiPriority w:val="39"/>
    <w:qFormat/>
    <w:pPr>
      <w:ind w:left="440"/>
    </w:pPr>
    <w:rPr>
      <w:i/>
      <w:sz w:val="20"/>
    </w:rPr>
  </w:style>
  <w:style w:type="paragraph" w:styleId="PlainText">
    <w:name w:val="Plain Text"/>
    <w:basedOn w:val="Normal"/>
    <w:link w:val="a6"/>
    <w:qFormat/>
    <w:rPr>
      <w:rFonts w:ascii="Courier New" w:hAnsi="Courier New" w:cs="Courier New"/>
      <w:sz w:val="20"/>
    </w:rPr>
  </w:style>
  <w:style w:type="paragraph" w:styleId="ListBullet5">
    <w:name w:val="List Bullet 5"/>
    <w:basedOn w:val="Normal"/>
    <w:qFormat/>
    <w:pPr>
      <w:numPr>
        <w:numId w:val="9"/>
      </w:numPr>
    </w:pPr>
  </w:style>
  <w:style w:type="paragraph" w:styleId="ListNumber4">
    <w:name w:val="List Number 4"/>
    <w:basedOn w:val="Normal"/>
    <w:qFormat/>
    <w:pPr>
      <w:numPr>
        <w:numId w:val="10"/>
      </w:numPr>
    </w:pPr>
  </w:style>
  <w:style w:type="paragraph" w:styleId="TOC8">
    <w:name w:val="toc 8"/>
    <w:basedOn w:val="TOC3"/>
    <w:next w:val="Normal"/>
    <w:uiPriority w:val="39"/>
    <w:qFormat/>
    <w:pPr>
      <w:ind w:left="1540"/>
    </w:pPr>
    <w:rPr>
      <w:i w:val="0"/>
      <w:sz w:val="18"/>
    </w:rPr>
  </w:style>
  <w:style w:type="paragraph" w:styleId="Index3">
    <w:name w:val="index 3"/>
    <w:basedOn w:val="Normal"/>
    <w:next w:val="Normal"/>
    <w:semiHidden/>
    <w:qFormat/>
    <w:pPr>
      <w:ind w:left="660" w:hanging="220"/>
    </w:pPr>
  </w:style>
  <w:style w:type="paragraph" w:styleId="Date">
    <w:name w:val="Date"/>
    <w:basedOn w:val="Normal"/>
    <w:next w:val="Normal"/>
    <w:link w:val="a4"/>
    <w:qFormat/>
    <w:pPr>
      <w:jc w:val="right"/>
    </w:pPr>
    <w:rPr>
      <w:rFonts w:eastAsia="金梅簡中明"/>
      <w:sz w:val="24"/>
      <w:lang w:eastAsia="zh-TW"/>
    </w:rPr>
  </w:style>
  <w:style w:type="paragraph" w:styleId="BodyTextIndent2">
    <w:name w:val="Body Text Indent 2"/>
    <w:basedOn w:val="Normal"/>
    <w:link w:val="20"/>
    <w:unhideWhenUsed/>
    <w:qFormat/>
    <w:pPr>
      <w:spacing w:after="120" w:line="480" w:lineRule="auto"/>
      <w:ind w:left="420" w:leftChars="200"/>
    </w:pPr>
  </w:style>
  <w:style w:type="paragraph" w:styleId="EndnoteText">
    <w:name w:val="endnote text"/>
    <w:basedOn w:val="Normal"/>
    <w:link w:val="a12"/>
    <w:semiHidden/>
    <w:qFormat/>
    <w:rPr>
      <w:sz w:val="20"/>
    </w:rPr>
  </w:style>
  <w:style w:type="paragraph" w:styleId="ListContinue5">
    <w:name w:val="List Continue 5"/>
    <w:basedOn w:val="Normal"/>
    <w:qFormat/>
    <w:pPr>
      <w:spacing w:after="120"/>
      <w:ind w:left="1800"/>
    </w:pPr>
  </w:style>
  <w:style w:type="paragraph" w:styleId="BalloonText">
    <w:name w:val="Balloon Text"/>
    <w:basedOn w:val="Normal"/>
    <w:link w:val="a19"/>
    <w:qFormat/>
    <w:rPr>
      <w:rFonts w:ascii="宋体" w:eastAsia="宋体"/>
      <w:sz w:val="18"/>
      <w:szCs w:val="18"/>
    </w:rPr>
  </w:style>
  <w:style w:type="paragraph" w:styleId="Footer">
    <w:name w:val="footer"/>
    <w:basedOn w:val="Normal"/>
    <w:link w:val="a"/>
    <w:qFormat/>
    <w:pPr>
      <w:tabs>
        <w:tab w:val="center" w:pos="4153"/>
        <w:tab w:val="right" w:pos="8306"/>
      </w:tabs>
    </w:pPr>
  </w:style>
  <w:style w:type="paragraph" w:styleId="EnvelopeReturn">
    <w:name w:val="envelope return"/>
    <w:basedOn w:val="Normal"/>
    <w:qFormat/>
    <w:rPr>
      <w:rFonts w:ascii="Arial" w:hAnsi="Arial" w:cs="Arial"/>
      <w:sz w:val="20"/>
    </w:rPr>
  </w:style>
  <w:style w:type="paragraph" w:styleId="Header">
    <w:name w:val="header"/>
    <w:basedOn w:val="Normal"/>
    <w:link w:val="a0"/>
    <w:qFormat/>
    <w:pPr>
      <w:tabs>
        <w:tab w:val="center" w:pos="4153"/>
        <w:tab w:val="right" w:pos="8306"/>
      </w:tabs>
    </w:pPr>
  </w:style>
  <w:style w:type="paragraph" w:styleId="Signature">
    <w:name w:val="Signature"/>
    <w:basedOn w:val="Normal"/>
    <w:link w:val="a13"/>
    <w:qFormat/>
    <w:pPr>
      <w:ind w:left="4320"/>
    </w:pPr>
  </w:style>
  <w:style w:type="paragraph" w:styleId="ListContinue4">
    <w:name w:val="List Continue 4"/>
    <w:basedOn w:val="Normal"/>
    <w:qFormat/>
    <w:pPr>
      <w:spacing w:after="120"/>
      <w:ind w:left="1440"/>
    </w:pPr>
  </w:style>
  <w:style w:type="paragraph" w:styleId="TOC4">
    <w:name w:val="toc 4"/>
    <w:basedOn w:val="Normal"/>
    <w:next w:val="Normal"/>
    <w:uiPriority w:val="39"/>
    <w:unhideWhenUsed/>
    <w:qFormat/>
    <w:pPr>
      <w:ind w:left="1260" w:leftChars="600"/>
    </w:p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qFormat/>
    <w:pPr>
      <w:ind w:left="220" w:hanging="220"/>
    </w:pPr>
  </w:style>
  <w:style w:type="paragraph" w:styleId="Subtitle">
    <w:name w:val="Subtitle"/>
    <w:basedOn w:val="Normal"/>
    <w:link w:val="a7"/>
    <w:qFormat/>
    <w:pPr>
      <w:spacing w:after="60"/>
      <w:jc w:val="center"/>
      <w:outlineLvl w:val="1"/>
    </w:pPr>
    <w:rPr>
      <w:rFonts w:ascii="Arial" w:hAnsi="Arial" w:cs="Arial"/>
      <w:sz w:val="24"/>
      <w:szCs w:val="24"/>
    </w:rPr>
  </w:style>
  <w:style w:type="paragraph" w:styleId="ListNumber5">
    <w:name w:val="List Number 5"/>
    <w:basedOn w:val="Normal"/>
    <w:qFormat/>
    <w:pPr>
      <w:numPr>
        <w:numId w:val="11"/>
      </w:numPr>
    </w:pPr>
  </w:style>
  <w:style w:type="paragraph" w:styleId="FootnoteText">
    <w:name w:val="footnote text"/>
    <w:basedOn w:val="Normal"/>
    <w:link w:val="a16"/>
    <w:semiHidden/>
    <w:qFormat/>
    <w:rPr>
      <w:sz w:val="20"/>
    </w:rPr>
  </w:style>
  <w:style w:type="paragraph" w:styleId="TOC6">
    <w:name w:val="toc 6"/>
    <w:basedOn w:val="TOC1"/>
    <w:next w:val="Normal"/>
    <w:uiPriority w:val="39"/>
    <w:qFormat/>
    <w:pPr>
      <w:spacing w:before="0" w:after="0"/>
      <w:ind w:left="1100"/>
    </w:pPr>
    <w:rPr>
      <w:b w:val="0"/>
      <w:caps w:val="0"/>
      <w:sz w:val="18"/>
    </w:rPr>
  </w:style>
  <w:style w:type="paragraph" w:styleId="List5">
    <w:name w:val="List 5"/>
    <w:basedOn w:val="Normal"/>
    <w:qFormat/>
    <w:pPr>
      <w:ind w:left="1800" w:hanging="360"/>
    </w:pPr>
  </w:style>
  <w:style w:type="paragraph" w:styleId="BodyTextIndent3">
    <w:name w:val="Body Text Indent 3"/>
    <w:basedOn w:val="Normal"/>
    <w:link w:val="30"/>
    <w:qFormat/>
    <w:pPr>
      <w:autoSpaceDE w:val="0"/>
      <w:autoSpaceDN w:val="0"/>
      <w:adjustRightInd w:val="0"/>
      <w:ind w:left="720"/>
    </w:pPr>
    <w:rPr>
      <w:sz w:val="24"/>
      <w:lang w:val="en-US" w:eastAsia="zh-CN"/>
    </w:rPr>
  </w:style>
  <w:style w:type="paragraph" w:styleId="Index7">
    <w:name w:val="index 7"/>
    <w:basedOn w:val="Normal"/>
    <w:next w:val="Normal"/>
    <w:semiHidden/>
    <w:qFormat/>
    <w:pPr>
      <w:ind w:left="1540" w:hanging="220"/>
    </w:pPr>
  </w:style>
  <w:style w:type="paragraph" w:styleId="Index9">
    <w:name w:val="index 9"/>
    <w:basedOn w:val="Normal"/>
    <w:next w:val="Normal"/>
    <w:semiHidden/>
    <w:qFormat/>
    <w:pPr>
      <w:ind w:left="1980" w:hanging="220"/>
    </w:pPr>
  </w:style>
  <w:style w:type="paragraph" w:styleId="TableofFigures">
    <w:name w:val="table of figures"/>
    <w:basedOn w:val="Normal"/>
    <w:next w:val="Normal"/>
    <w:semiHidden/>
    <w:qFormat/>
    <w:pPr>
      <w:ind w:left="440" w:hanging="440"/>
    </w:pPr>
  </w:style>
  <w:style w:type="paragraph" w:styleId="TOC9">
    <w:name w:val="toc 9"/>
    <w:basedOn w:val="Normal"/>
    <w:next w:val="Normal"/>
    <w:uiPriority w:val="39"/>
    <w:qFormat/>
    <w:pPr>
      <w:ind w:left="1760"/>
    </w:pPr>
    <w:rPr>
      <w:sz w:val="18"/>
    </w:rPr>
  </w:style>
  <w:style w:type="paragraph" w:styleId="BodyText2">
    <w:name w:val="Body Text 2"/>
    <w:basedOn w:val="Normal"/>
    <w:link w:val="21"/>
    <w:qFormat/>
    <w:pPr>
      <w:widowControl w:val="0"/>
    </w:pPr>
    <w:rPr>
      <w:rFonts w:ascii="金梅簡中明" w:eastAsia="金梅簡中明"/>
      <w:b/>
      <w:kern w:val="2"/>
      <w:sz w:val="24"/>
      <w:lang w:val="en-US" w:eastAsia="zh-TW"/>
    </w:rPr>
  </w:style>
  <w:style w:type="paragraph" w:styleId="List4">
    <w:name w:val="List 4"/>
    <w:basedOn w:val="Normal"/>
    <w:qFormat/>
    <w:pPr>
      <w:ind w:left="1440" w:hanging="360"/>
    </w:pPr>
  </w:style>
  <w:style w:type="paragraph" w:styleId="ListContinue2">
    <w:name w:val="List Continue 2"/>
    <w:basedOn w:val="Normal"/>
    <w:qFormat/>
    <w:pPr>
      <w:spacing w:after="120"/>
      <w:ind w:left="720"/>
    </w:pPr>
  </w:style>
  <w:style w:type="paragraph" w:styleId="MessageHeader">
    <w:name w:val="Message Header"/>
    <w:basedOn w:val="Normal"/>
    <w:link w:val="a15"/>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HTMLPreformatted">
    <w:name w:val="HTML Preformatted"/>
    <w:basedOn w:val="Normal"/>
    <w:link w:val="HTML0"/>
    <w:qFormat/>
    <w:rPr>
      <w:rFonts w:ascii="Courier New" w:hAnsi="Courier New" w:cs="Courier New"/>
      <w:sz w:val="20"/>
    </w:rPr>
  </w:style>
  <w:style w:type="paragraph" w:styleId="NormalWeb">
    <w:name w:val="Normal (Web)"/>
    <w:basedOn w:val="Normal"/>
    <w:uiPriority w:val="99"/>
    <w:qFormat/>
    <w:pPr>
      <w:spacing w:before="100" w:beforeAutospacing="1"/>
    </w:pPr>
    <w:rPr>
      <w:szCs w:val="24"/>
    </w:rPr>
  </w:style>
  <w:style w:type="paragraph" w:styleId="ListContinue3">
    <w:name w:val="List Continue 3"/>
    <w:basedOn w:val="Normal"/>
    <w:qFormat/>
    <w:pPr>
      <w:spacing w:after="120"/>
      <w:ind w:left="1080"/>
    </w:pPr>
  </w:style>
  <w:style w:type="paragraph" w:styleId="Index2">
    <w:name w:val="index 2"/>
    <w:basedOn w:val="Normal"/>
    <w:next w:val="Normal"/>
    <w:semiHidden/>
    <w:qFormat/>
    <w:pPr>
      <w:ind w:left="440" w:hanging="220"/>
    </w:pPr>
  </w:style>
  <w:style w:type="paragraph" w:styleId="Title">
    <w:name w:val="Title"/>
    <w:basedOn w:val="Normal"/>
    <w:link w:val="a11"/>
    <w:qFormat/>
    <w:pPr>
      <w:spacing w:before="240" w:after="60"/>
      <w:jc w:val="center"/>
      <w:outlineLvl w:val="0"/>
    </w:pPr>
    <w:rPr>
      <w:rFonts w:ascii="Arial" w:hAnsi="Arial" w:cs="Arial"/>
      <w:b/>
      <w:bCs/>
      <w:kern w:val="28"/>
      <w:sz w:val="32"/>
      <w:szCs w:val="32"/>
    </w:rPr>
  </w:style>
  <w:style w:type="paragraph" w:styleId="CommentSubject">
    <w:name w:val="annotation subject"/>
    <w:basedOn w:val="CommentText"/>
    <w:next w:val="CommentText"/>
    <w:link w:val="a22"/>
    <w:semiHidden/>
    <w:unhideWhenUsed/>
    <w:qFormat/>
    <w:rPr>
      <w:b/>
      <w:bCs/>
    </w:rPr>
  </w:style>
  <w:style w:type="paragraph" w:styleId="BodyTextFirstIndent">
    <w:name w:val="Body Text First Indent"/>
    <w:basedOn w:val="BodyText"/>
    <w:link w:val="a10"/>
    <w:qFormat/>
    <w:pPr>
      <w:spacing w:after="120"/>
      <w:ind w:left="0" w:firstLine="210"/>
    </w:pPr>
  </w:style>
  <w:style w:type="paragraph" w:styleId="BodyTextFirstIndent2">
    <w:name w:val="Body Text First Indent 2"/>
    <w:basedOn w:val="BodyTextIndent"/>
    <w:link w:val="22"/>
    <w:qFormat/>
    <w:pPr>
      <w:spacing w:after="120"/>
      <w:ind w:left="360" w:firstLine="210"/>
    </w:pPr>
    <w:rPr>
      <w:rFonts w:eastAsia="PMingLiU"/>
      <w:sz w:val="22"/>
      <w:lang w:eastAsia="en-US"/>
    </w:rPr>
  </w:style>
  <w:style w:type="table" w:styleId="TableGrid">
    <w:name w:val="Table Grid"/>
    <w:basedOn w:val="TableNormal"/>
    <w:uiPriority w:val="59"/>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auto"/>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qFormat/>
    <w:rPr>
      <w:rFonts w:cs="Arial"/>
      <w:b/>
      <w:caps/>
      <w:sz w:val="24"/>
      <w:lang w:val="en-GB" w:eastAsia="en-US"/>
    </w:rPr>
  </w:style>
  <w:style w:type="character" w:customStyle="1" w:styleId="2">
    <w:name w:val="标题 2 字符"/>
    <w:basedOn w:val="DefaultParagraphFont"/>
    <w:link w:val="Heading2"/>
    <w:uiPriority w:val="9"/>
    <w:qFormat/>
    <w:rPr>
      <w:rFonts w:cs="Arial"/>
      <w:b/>
      <w:sz w:val="24"/>
      <w:lang w:val="en-GB" w:eastAsia="en-US"/>
    </w:rPr>
  </w:style>
  <w:style w:type="character" w:customStyle="1" w:styleId="3">
    <w:name w:val="标题 3 字符"/>
    <w:basedOn w:val="DefaultParagraphFont"/>
    <w:link w:val="Heading3"/>
    <w:qFormat/>
    <w:rPr>
      <w:rFonts w:cs="Arial"/>
      <w:b/>
      <w:lang w:val="en-GB" w:eastAsia="en-US"/>
    </w:rPr>
  </w:style>
  <w:style w:type="character" w:customStyle="1" w:styleId="4">
    <w:name w:val="标题 4 字符"/>
    <w:basedOn w:val="DefaultParagraphFont"/>
    <w:link w:val="Heading4"/>
    <w:uiPriority w:val="9"/>
    <w:qFormat/>
    <w:rPr>
      <w:rFonts w:cs="Arial"/>
      <w:b/>
      <w:lang w:val="en-GB" w:eastAsia="en-US"/>
    </w:rPr>
  </w:style>
  <w:style w:type="character" w:customStyle="1" w:styleId="5">
    <w:name w:val="标题 5 字符"/>
    <w:basedOn w:val="DefaultParagraphFont"/>
    <w:link w:val="Heading5"/>
    <w:qFormat/>
    <w:rPr>
      <w:rFonts w:ascii="Arial" w:eastAsia="PMingLiU" w:hAnsi="Arial" w:cs="Times New Roman"/>
      <w:kern w:val="0"/>
      <w:sz w:val="36"/>
      <w:szCs w:val="20"/>
      <w:lang w:val="en-GB" w:eastAsia="en-US"/>
    </w:rPr>
  </w:style>
  <w:style w:type="character" w:customStyle="1" w:styleId="6">
    <w:name w:val="标题 6 字符"/>
    <w:basedOn w:val="DefaultParagraphFont"/>
    <w:link w:val="Heading6"/>
    <w:qFormat/>
    <w:rPr>
      <w:rFonts w:ascii="Times New Roman" w:eastAsia="PMingLiU" w:hAnsi="Times New Roman" w:cs="Times New Roman"/>
      <w:i/>
      <w:kern w:val="0"/>
      <w:sz w:val="22"/>
      <w:szCs w:val="20"/>
      <w:lang w:val="en-GB" w:eastAsia="en-US"/>
    </w:rPr>
  </w:style>
  <w:style w:type="character" w:customStyle="1" w:styleId="7">
    <w:name w:val="标题 7 字符"/>
    <w:basedOn w:val="DefaultParagraphFont"/>
    <w:link w:val="Heading7"/>
    <w:qFormat/>
    <w:rPr>
      <w:rFonts w:ascii="Arial" w:eastAsia="PMingLiU" w:hAnsi="Arial" w:cs="Times New Roman"/>
      <w:kern w:val="0"/>
      <w:sz w:val="22"/>
      <w:szCs w:val="20"/>
      <w:lang w:val="en-GB" w:eastAsia="en-US"/>
    </w:rPr>
  </w:style>
  <w:style w:type="character" w:customStyle="1" w:styleId="8">
    <w:name w:val="标题 8 字符"/>
    <w:basedOn w:val="DefaultParagraphFont"/>
    <w:link w:val="Heading8"/>
    <w:qFormat/>
    <w:rPr>
      <w:rFonts w:ascii="Arial" w:eastAsia="PMingLiU" w:hAnsi="Arial" w:cs="Times New Roman"/>
      <w:i/>
      <w:kern w:val="0"/>
      <w:sz w:val="22"/>
      <w:szCs w:val="20"/>
      <w:lang w:val="en-GB" w:eastAsia="en-US"/>
    </w:rPr>
  </w:style>
  <w:style w:type="character" w:customStyle="1" w:styleId="9">
    <w:name w:val="标题 9 字符"/>
    <w:basedOn w:val="DefaultParagraphFont"/>
    <w:link w:val="Heading9"/>
    <w:qFormat/>
    <w:rPr>
      <w:rFonts w:ascii="Arial" w:eastAsia="PMingLiU" w:hAnsi="Arial" w:cs="Times New Roman"/>
      <w:b/>
      <w:i/>
      <w:kern w:val="0"/>
      <w:sz w:val="18"/>
      <w:szCs w:val="20"/>
      <w:lang w:val="en-GB" w:eastAsia="en-US"/>
    </w:rPr>
  </w:style>
  <w:style w:type="character" w:customStyle="1" w:styleId="HR-12">
    <w:name w:val="HR-12"/>
    <w:qFormat/>
    <w:rPr>
      <w:rFonts w:ascii="Arial" w:hAnsi="Arial"/>
      <w:sz w:val="24"/>
    </w:rPr>
  </w:style>
  <w:style w:type="character" w:customStyle="1" w:styleId="a">
    <w:name w:val="页脚 字符"/>
    <w:basedOn w:val="DefaultParagraphFont"/>
    <w:link w:val="Footer"/>
    <w:qFormat/>
    <w:rPr>
      <w:rFonts w:ascii="Times New Roman" w:eastAsia="PMingLiU" w:hAnsi="Times New Roman" w:cs="Times New Roman"/>
      <w:kern w:val="0"/>
      <w:sz w:val="22"/>
      <w:szCs w:val="20"/>
      <w:lang w:val="en-GB" w:eastAsia="en-US"/>
    </w:rPr>
  </w:style>
  <w:style w:type="character" w:customStyle="1" w:styleId="a0">
    <w:name w:val="页眉 字符"/>
    <w:basedOn w:val="DefaultParagraphFont"/>
    <w:link w:val="Header"/>
    <w:qFormat/>
    <w:rPr>
      <w:rFonts w:ascii="Times New Roman" w:eastAsia="PMingLiU" w:hAnsi="Times New Roman" w:cs="Times New Roman"/>
      <w:kern w:val="0"/>
      <w:sz w:val="22"/>
      <w:szCs w:val="20"/>
      <w:lang w:val="en-GB" w:eastAsia="en-US"/>
    </w:rPr>
  </w:style>
  <w:style w:type="character" w:customStyle="1" w:styleId="HR-10">
    <w:name w:val="HR-10"/>
    <w:qFormat/>
    <w:rPr>
      <w:rFonts w:ascii="Arial" w:hAnsi="Arial"/>
      <w:sz w:val="20"/>
    </w:rPr>
  </w:style>
  <w:style w:type="character" w:customStyle="1" w:styleId="a1">
    <w:name w:val="批注文字 字符"/>
    <w:basedOn w:val="DefaultParagraphFont"/>
    <w:link w:val="CommentText"/>
    <w:semiHidden/>
    <w:qFormat/>
    <w:rPr>
      <w:rFonts w:ascii="Times New Roman" w:eastAsia="PMingLiU" w:hAnsi="Times New Roman" w:cs="Times New Roman"/>
      <w:kern w:val="0"/>
      <w:sz w:val="20"/>
      <w:szCs w:val="20"/>
      <w:lang w:val="en-GB" w:eastAsia="en-US"/>
    </w:rPr>
  </w:style>
  <w:style w:type="paragraph" w:customStyle="1" w:styleId="ReportLevel2">
    <w:name w:val="Report Level 2"/>
    <w:basedOn w:val="ReportLevel1"/>
    <w:next w:val="Normal"/>
    <w:link w:val="ReportLevel2Char1"/>
    <w:qFormat/>
    <w:pPr>
      <w:numPr>
        <w:ilvl w:val="1"/>
        <w:numId w:val="12"/>
      </w:numPr>
      <w:outlineLvl w:val="1"/>
    </w:pPr>
    <w:rPr>
      <w:b w:val="0"/>
      <w:caps w:val="0"/>
    </w:rPr>
  </w:style>
  <w:style w:type="character" w:customStyle="1" w:styleId="ReportLevel2Char1">
    <w:name w:val="Report Level 2 Char1"/>
    <w:link w:val="ReportLevel2"/>
    <w:qFormat/>
    <w:rPr>
      <w:sz w:val="24"/>
      <w:lang w:val="en-GB" w:eastAsia="en-US"/>
    </w:rPr>
  </w:style>
  <w:style w:type="paragraph" w:customStyle="1" w:styleId="ReportLevel3">
    <w:name w:val="Report Level 3"/>
    <w:basedOn w:val="ReportLevel1"/>
    <w:next w:val="Normal"/>
    <w:link w:val="ReportLevel3Char"/>
    <w:qFormat/>
    <w:pPr>
      <w:numPr>
        <w:ilvl w:val="2"/>
        <w:numId w:val="12"/>
      </w:numPr>
      <w:jc w:val="both"/>
      <w:outlineLvl w:val="2"/>
    </w:pPr>
    <w:rPr>
      <w:rFonts w:eastAsia="PMingLiU"/>
      <w:b w:val="0"/>
      <w:caps w:val="0"/>
    </w:rPr>
  </w:style>
  <w:style w:type="character" w:customStyle="1" w:styleId="ReportLevel3Char">
    <w:name w:val="Report Level 3 Char"/>
    <w:link w:val="ReportLevel3"/>
    <w:qFormat/>
    <w:rPr>
      <w:rFonts w:eastAsia="PMingLiU"/>
      <w:sz w:val="24"/>
      <w:lang w:val="en-GB" w:eastAsia="en-US"/>
    </w:rPr>
  </w:style>
  <w:style w:type="paragraph" w:customStyle="1" w:styleId="ReportLevel4">
    <w:name w:val="Report Level 4"/>
    <w:basedOn w:val="ReportLevel3"/>
    <w:next w:val="Normal"/>
    <w:qFormat/>
    <w:pPr>
      <w:numPr>
        <w:ilvl w:val="3"/>
      </w:numPr>
      <w:outlineLvl w:val="3"/>
    </w:pPr>
  </w:style>
  <w:style w:type="character" w:customStyle="1" w:styleId="30">
    <w:name w:val="正文文本缩进 3 字符"/>
    <w:basedOn w:val="DefaultParagraphFont"/>
    <w:link w:val="BodyTextIndent3"/>
    <w:qFormat/>
    <w:rPr>
      <w:rFonts w:ascii="Times New Roman" w:eastAsia="PMingLiU" w:hAnsi="Times New Roman" w:cs="Times New Roman"/>
      <w:kern w:val="0"/>
      <w:sz w:val="24"/>
      <w:szCs w:val="20"/>
    </w:rPr>
  </w:style>
  <w:style w:type="paragraph" w:customStyle="1" w:styleId="ReportText">
    <w:name w:val="Report Text"/>
    <w:basedOn w:val="Normal"/>
    <w:link w:val="ReportTextChar3"/>
    <w:qFormat/>
    <w:pPr>
      <w:ind w:left="1080"/>
      <w:jc w:val="both"/>
    </w:pPr>
    <w:rPr>
      <w:rFonts w:eastAsia="宋体"/>
      <w:sz w:val="24"/>
    </w:rPr>
  </w:style>
  <w:style w:type="character" w:customStyle="1" w:styleId="ReportTextChar3">
    <w:name w:val="Report Text Char3"/>
    <w:basedOn w:val="DefaultParagraphFont"/>
    <w:link w:val="ReportText"/>
    <w:qFormat/>
    <w:locked/>
    <w:rPr>
      <w:rFonts w:ascii="Times New Roman" w:eastAsia="宋体" w:hAnsi="Times New Roman" w:cs="Times New Roman"/>
      <w:kern w:val="0"/>
      <w:sz w:val="24"/>
      <w:szCs w:val="20"/>
      <w:lang w:val="en-GB" w:eastAsia="en-US"/>
    </w:rPr>
  </w:style>
  <w:style w:type="character" w:customStyle="1" w:styleId="31">
    <w:name w:val="正文文本 3 字符"/>
    <w:basedOn w:val="DefaultParagraphFont"/>
    <w:link w:val="BodyText3"/>
    <w:uiPriority w:val="99"/>
    <w:qFormat/>
    <w:rPr>
      <w:rFonts w:ascii="Times New Roman" w:eastAsia="PMingLiU" w:hAnsi="Times New Roman" w:cs="Times New Roman"/>
      <w:kern w:val="0"/>
      <w:sz w:val="16"/>
      <w:szCs w:val="16"/>
      <w:lang w:val="en-GB" w:eastAsia="en-US"/>
    </w:rPr>
  </w:style>
  <w:style w:type="paragraph" w:customStyle="1" w:styleId="ReportLevel5">
    <w:name w:val="Report Level 5"/>
    <w:basedOn w:val="ReportLevel3"/>
    <w:qFormat/>
    <w:pPr>
      <w:keepNext w:val="0"/>
      <w:numPr>
        <w:ilvl w:val="0"/>
        <w:numId w:val="0"/>
      </w:numPr>
      <w:tabs>
        <w:tab w:val="clear" w:pos="1077"/>
        <w:tab w:val="left" w:pos="1080"/>
      </w:tabs>
      <w:spacing w:after="240"/>
      <w:ind w:left="1080" w:hanging="1080"/>
    </w:pPr>
    <w:rPr>
      <w:rFonts w:eastAsia="宋体"/>
      <w:lang w:val="en-US" w:eastAsia="zh-CN"/>
    </w:rPr>
  </w:style>
  <w:style w:type="character" w:customStyle="1" w:styleId="20">
    <w:name w:val="正文文本缩进 2 字符"/>
    <w:basedOn w:val="DefaultParagraphFont"/>
    <w:link w:val="BodyTextIndent2"/>
    <w:uiPriority w:val="99"/>
    <w:qFormat/>
    <w:rPr>
      <w:rFonts w:ascii="Times New Roman" w:eastAsia="PMingLiU" w:hAnsi="Times New Roman" w:cs="Times New Roman"/>
      <w:kern w:val="0"/>
      <w:sz w:val="22"/>
      <w:szCs w:val="20"/>
      <w:lang w:val="en-GB" w:eastAsia="en-US"/>
    </w:rPr>
  </w:style>
  <w:style w:type="paragraph" w:customStyle="1" w:styleId="ReportList1">
    <w:name w:val="Report List 1"/>
    <w:basedOn w:val="List"/>
    <w:qFormat/>
    <w:pPr>
      <w:numPr>
        <w:numId w:val="13"/>
      </w:numPr>
      <w:spacing w:before="0" w:after="138"/>
    </w:pPr>
  </w:style>
  <w:style w:type="paragraph" w:customStyle="1" w:styleId="ReportList2">
    <w:name w:val="Report List 2"/>
    <w:basedOn w:val="ReportList1"/>
    <w:qFormat/>
    <w:pPr>
      <w:numPr>
        <w:numId w:val="14"/>
      </w:numPr>
      <w:tabs>
        <w:tab w:val="clear" w:pos="1440"/>
      </w:tabs>
      <w:spacing w:after="0"/>
    </w:pPr>
  </w:style>
  <w:style w:type="character" w:customStyle="1" w:styleId="8pt">
    <w:name w:val="8pt"/>
    <w:qFormat/>
    <w:rPr>
      <w:rFonts w:ascii="Arial" w:hAnsi="Arial"/>
      <w:sz w:val="16"/>
    </w:r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character" w:customStyle="1" w:styleId="a2">
    <w:name w:val="正文文本 字符"/>
    <w:basedOn w:val="DefaultParagraphFont"/>
    <w:link w:val="BodyText"/>
    <w:qFormat/>
    <w:rPr>
      <w:rFonts w:ascii="Times New Roman" w:eastAsia="PMingLiU" w:hAnsi="Times New Roman" w:cs="Times New Roman"/>
      <w:kern w:val="0"/>
      <w:sz w:val="22"/>
      <w:szCs w:val="20"/>
      <w:lang w:val="en-GB" w:eastAsia="en-US"/>
    </w:rPr>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character" w:customStyle="1" w:styleId="a3">
    <w:name w:val="文档结构图 字符"/>
    <w:basedOn w:val="DefaultParagraphFont"/>
    <w:link w:val="DocumentMap"/>
    <w:semiHidden/>
    <w:qFormat/>
    <w:rPr>
      <w:rFonts w:ascii="Tahoma" w:eastAsia="PMingLiU" w:hAnsi="Tahoma" w:cs="Times New Roman"/>
      <w:kern w:val="0"/>
      <w:sz w:val="22"/>
      <w:szCs w:val="20"/>
      <w:shd w:val="clear" w:color="auto" w:fill="000080"/>
      <w:lang w:val="en-GB" w:eastAsia="en-US"/>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ilvl w:val="1"/>
        <w:numId w:val="15"/>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tabs>
        <w:tab w:val="left" w:pos="1080"/>
      </w:tabs>
      <w:spacing w:before="240" w:after="138"/>
      <w:ind w:left="1080" w:hanging="1080"/>
      <w:outlineLvl w:val="1"/>
    </w:pPr>
    <w:rPr>
      <w:rFonts w:ascii="Arial" w:hAnsi="Arial"/>
      <w:b/>
      <w:caps/>
      <w:sz w:val="24"/>
    </w:rPr>
  </w:style>
  <w:style w:type="paragraph" w:customStyle="1" w:styleId="AppendixLevel2">
    <w:name w:val="Appendix Level 2"/>
    <w:basedOn w:val="AppendixLevel1"/>
    <w:next w:val="ReportText"/>
    <w:qFormat/>
    <w:pPr>
      <w:outlineLvl w:val="2"/>
    </w:pPr>
    <w:rPr>
      <w:caps w:val="0"/>
    </w:rPr>
  </w:style>
  <w:style w:type="paragraph" w:customStyle="1" w:styleId="AppendixLevel3">
    <w:name w:val="Appendix Level 3"/>
    <w:basedOn w:val="AppendixLevel1"/>
    <w:next w:val="ReportText"/>
    <w:qFormat/>
    <w:pPr>
      <w:spacing w:before="120"/>
      <w:outlineLvl w:val="3"/>
    </w:pPr>
    <w:rPr>
      <w:caps w:val="0"/>
      <w:sz w:val="20"/>
    </w:rPr>
  </w:style>
  <w:style w:type="paragraph" w:customStyle="1" w:styleId="AppendixLevel4">
    <w:name w:val="Appendix Level 4"/>
    <w:basedOn w:val="AppendixLevel3"/>
    <w:next w:val="ReportText"/>
    <w:qFormat/>
    <w:p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tabs>
        <w:tab w:val="clear" w:pos="1077"/>
        <w:tab w:val="left" w:pos="1080"/>
      </w:tabs>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16"/>
      </w:numPr>
      <w:tabs>
        <w:tab w:val="left" w:pos="1080"/>
        <w:tab w:val="clear" w:pos="2736"/>
      </w:tabs>
      <w:spacing w:before="240"/>
      <w:ind w:left="1080" w:hanging="1080"/>
    </w:pPr>
  </w:style>
  <w:style w:type="character" w:customStyle="1" w:styleId="a4">
    <w:name w:val="日期 字符"/>
    <w:basedOn w:val="DefaultParagraphFont"/>
    <w:link w:val="Date"/>
    <w:qFormat/>
    <w:rPr>
      <w:rFonts w:ascii="Times New Roman" w:eastAsia="金梅簡中明" w:hAnsi="Times New Roman" w:cs="Times New Roman"/>
      <w:kern w:val="0"/>
      <w:sz w:val="24"/>
      <w:szCs w:val="20"/>
      <w:lang w:val="en-GB" w:eastAsia="zh-TW"/>
    </w:rPr>
  </w:style>
  <w:style w:type="character" w:customStyle="1" w:styleId="a5">
    <w:name w:val="正文文本缩进 字符"/>
    <w:basedOn w:val="DefaultParagraphFont"/>
    <w:link w:val="BodyTextIndent"/>
    <w:qFormat/>
    <w:rPr>
      <w:rFonts w:ascii="Times New Roman" w:eastAsia="金梅簡中明" w:hAnsi="Times New Roman" w:cs="Times New Roman"/>
      <w:kern w:val="0"/>
      <w:sz w:val="24"/>
      <w:szCs w:val="20"/>
      <w:lang w:val="en-GB" w:eastAsia="zh-TW"/>
    </w:rPr>
  </w:style>
  <w:style w:type="character" w:customStyle="1" w:styleId="21">
    <w:name w:val="正文文本 2 字符"/>
    <w:basedOn w:val="DefaultParagraphFont"/>
    <w:link w:val="BodyText2"/>
    <w:qFormat/>
    <w:rPr>
      <w:rFonts w:ascii="金梅簡中明" w:eastAsia="金梅簡中明" w:hAnsi="Times New Roman" w:cs="Times New Roman"/>
      <w:b/>
      <w:sz w:val="24"/>
      <w:szCs w:val="20"/>
      <w:lang w:eastAsia="zh-TW"/>
    </w:rPr>
  </w:style>
  <w:style w:type="paragraph" w:customStyle="1" w:styleId="level3">
    <w:name w:val="level 3"/>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paragraph" w:customStyle="1" w:styleId="level1">
    <w:name w:val="level 1"/>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character" w:customStyle="1" w:styleId="HTML">
    <w:name w:val="HTML 地址 字符"/>
    <w:basedOn w:val="DefaultParagraphFont"/>
    <w:link w:val="HTMLAddress"/>
    <w:qFormat/>
    <w:rPr>
      <w:rFonts w:ascii="Times New Roman" w:eastAsia="PMingLiU" w:hAnsi="Times New Roman" w:cs="Times New Roman"/>
      <w:i/>
      <w:iCs/>
      <w:kern w:val="0"/>
      <w:sz w:val="22"/>
      <w:szCs w:val="20"/>
      <w:lang w:val="en-GB" w:eastAsia="en-US"/>
    </w:rPr>
  </w:style>
  <w:style w:type="character" w:customStyle="1" w:styleId="HTML0">
    <w:name w:val="HTML 预设格式 字符"/>
    <w:basedOn w:val="DefaultParagraphFont"/>
    <w:link w:val="HTMLPreformatted"/>
    <w:qFormat/>
    <w:rPr>
      <w:rFonts w:ascii="Courier New" w:eastAsia="PMingLiU" w:hAnsi="Courier New" w:cs="Courier New"/>
      <w:kern w:val="0"/>
      <w:sz w:val="20"/>
      <w:szCs w:val="20"/>
      <w:lang w:val="en-GB" w:eastAsia="en-US"/>
    </w:rPr>
  </w:style>
  <w:style w:type="character" w:customStyle="1" w:styleId="a6">
    <w:name w:val="纯文本 字符"/>
    <w:basedOn w:val="DefaultParagraphFont"/>
    <w:link w:val="PlainText"/>
    <w:qFormat/>
    <w:rPr>
      <w:rFonts w:ascii="Courier New" w:eastAsia="PMingLiU" w:hAnsi="Courier New" w:cs="Courier New"/>
      <w:kern w:val="0"/>
      <w:sz w:val="20"/>
      <w:szCs w:val="20"/>
      <w:lang w:val="en-GB" w:eastAsia="en-US"/>
    </w:rPr>
  </w:style>
  <w:style w:type="character" w:customStyle="1" w:styleId="a7">
    <w:name w:val="副标题 字符"/>
    <w:basedOn w:val="DefaultParagraphFont"/>
    <w:link w:val="Subtitle"/>
    <w:qFormat/>
    <w:rPr>
      <w:rFonts w:ascii="Arial" w:eastAsia="PMingLiU" w:hAnsi="Arial" w:cs="Arial"/>
      <w:kern w:val="0"/>
      <w:sz w:val="24"/>
      <w:szCs w:val="24"/>
      <w:lang w:val="en-GB" w:eastAsia="en-US"/>
    </w:rPr>
  </w:style>
  <w:style w:type="character" w:customStyle="1" w:styleId="a8">
    <w:name w:val="称呼 字符"/>
    <w:basedOn w:val="DefaultParagraphFont"/>
    <w:link w:val="Salutation"/>
    <w:qFormat/>
    <w:rPr>
      <w:rFonts w:ascii="Times New Roman" w:eastAsia="PMingLiU" w:hAnsi="Times New Roman" w:cs="Times New Roman"/>
      <w:kern w:val="0"/>
      <w:sz w:val="22"/>
      <w:szCs w:val="20"/>
      <w:lang w:val="en-GB" w:eastAsia="en-US"/>
    </w:rPr>
  </w:style>
  <w:style w:type="character" w:customStyle="1" w:styleId="a9">
    <w:name w:val="宏文本 字符"/>
    <w:basedOn w:val="DefaultParagraphFont"/>
    <w:link w:val="Macro"/>
    <w:semiHidden/>
    <w:qFormat/>
    <w:rPr>
      <w:rFonts w:ascii="Courier New" w:eastAsia="PMingLiU" w:hAnsi="Courier New" w:cs="Courier New"/>
      <w:kern w:val="0"/>
      <w:sz w:val="20"/>
      <w:szCs w:val="20"/>
      <w:lang w:val="en-GB" w:eastAsia="en-US"/>
    </w:rPr>
  </w:style>
  <w:style w:type="character" w:customStyle="1" w:styleId="a10">
    <w:name w:val="正文首行缩进 字符"/>
    <w:basedOn w:val="a2"/>
    <w:link w:val="BodyTextFirstIndent"/>
    <w:qFormat/>
    <w:rPr>
      <w:rFonts w:ascii="Times New Roman" w:eastAsia="PMingLiU" w:hAnsi="Times New Roman" w:cs="Times New Roman"/>
      <w:kern w:val="0"/>
      <w:sz w:val="22"/>
      <w:szCs w:val="20"/>
      <w:lang w:val="en-GB" w:eastAsia="en-US"/>
    </w:rPr>
  </w:style>
  <w:style w:type="character" w:customStyle="1" w:styleId="22">
    <w:name w:val="正文首行缩进 2 字符"/>
    <w:basedOn w:val="a5"/>
    <w:link w:val="BodyTextFirstIndent2"/>
    <w:qFormat/>
    <w:rPr>
      <w:rFonts w:ascii="Times New Roman" w:eastAsia="PMingLiU" w:hAnsi="Times New Roman" w:cs="Times New Roman"/>
      <w:kern w:val="0"/>
      <w:sz w:val="22"/>
      <w:szCs w:val="20"/>
      <w:lang w:val="en-GB" w:eastAsia="en-US"/>
    </w:rPr>
  </w:style>
  <w:style w:type="character" w:customStyle="1" w:styleId="a11">
    <w:name w:val="标题 字符"/>
    <w:basedOn w:val="DefaultParagraphFont"/>
    <w:link w:val="Title"/>
    <w:qFormat/>
    <w:rPr>
      <w:rFonts w:ascii="Arial" w:eastAsia="PMingLiU" w:hAnsi="Arial" w:cs="Arial"/>
      <w:b/>
      <w:bCs/>
      <w:kern w:val="28"/>
      <w:sz w:val="32"/>
      <w:szCs w:val="32"/>
      <w:lang w:val="en-GB" w:eastAsia="en-US"/>
    </w:rPr>
  </w:style>
  <w:style w:type="character" w:customStyle="1" w:styleId="a12">
    <w:name w:val="尾注文本 字符"/>
    <w:basedOn w:val="DefaultParagraphFont"/>
    <w:link w:val="EndnoteText"/>
    <w:semiHidden/>
    <w:qFormat/>
    <w:rPr>
      <w:rFonts w:ascii="Times New Roman" w:eastAsia="PMingLiU" w:hAnsi="Times New Roman" w:cs="Times New Roman"/>
      <w:kern w:val="0"/>
      <w:sz w:val="20"/>
      <w:szCs w:val="20"/>
      <w:lang w:val="en-GB" w:eastAsia="en-US"/>
    </w:rPr>
  </w:style>
  <w:style w:type="character" w:customStyle="1" w:styleId="a13">
    <w:name w:val="签名 字符"/>
    <w:basedOn w:val="DefaultParagraphFont"/>
    <w:link w:val="Signature"/>
    <w:qFormat/>
    <w:rPr>
      <w:rFonts w:ascii="Times New Roman" w:eastAsia="PMingLiU" w:hAnsi="Times New Roman" w:cs="Times New Roman"/>
      <w:kern w:val="0"/>
      <w:sz w:val="22"/>
      <w:szCs w:val="20"/>
      <w:lang w:val="en-GB" w:eastAsia="en-US"/>
    </w:rPr>
  </w:style>
  <w:style w:type="character" w:customStyle="1" w:styleId="a14">
    <w:name w:val="结束语 字符"/>
    <w:basedOn w:val="DefaultParagraphFont"/>
    <w:link w:val="Closing"/>
    <w:qFormat/>
    <w:rPr>
      <w:rFonts w:ascii="Times New Roman" w:eastAsia="PMingLiU" w:hAnsi="Times New Roman" w:cs="Times New Roman"/>
      <w:kern w:val="0"/>
      <w:sz w:val="22"/>
      <w:szCs w:val="20"/>
      <w:lang w:val="en-GB" w:eastAsia="en-US"/>
    </w:rPr>
  </w:style>
  <w:style w:type="character" w:customStyle="1" w:styleId="a15">
    <w:name w:val="信息标题 字符"/>
    <w:basedOn w:val="DefaultParagraphFont"/>
    <w:link w:val="MessageHeader"/>
    <w:qFormat/>
    <w:rPr>
      <w:rFonts w:ascii="Arial" w:eastAsia="PMingLiU" w:hAnsi="Arial" w:cs="Arial"/>
      <w:kern w:val="0"/>
      <w:sz w:val="24"/>
      <w:szCs w:val="24"/>
      <w:shd w:val="pct20" w:color="auto" w:fill="auto"/>
      <w:lang w:val="en-GB" w:eastAsia="en-US"/>
    </w:rPr>
  </w:style>
  <w:style w:type="character" w:customStyle="1" w:styleId="a16">
    <w:name w:val="脚注文本 字符"/>
    <w:basedOn w:val="DefaultParagraphFont"/>
    <w:link w:val="FootnoteText"/>
    <w:semiHidden/>
    <w:qFormat/>
    <w:rPr>
      <w:rFonts w:ascii="Times New Roman" w:eastAsia="PMingLiU" w:hAnsi="Times New Roman" w:cs="Times New Roman"/>
      <w:kern w:val="0"/>
      <w:sz w:val="20"/>
      <w:szCs w:val="20"/>
      <w:lang w:val="en-GB" w:eastAsia="en-US"/>
    </w:rPr>
  </w:style>
  <w:style w:type="character" w:customStyle="1" w:styleId="a17">
    <w:name w:val="注释标题 字符"/>
    <w:basedOn w:val="DefaultParagraphFont"/>
    <w:link w:val="NoteHeading"/>
    <w:qFormat/>
    <w:rPr>
      <w:rFonts w:ascii="Times New Roman" w:eastAsia="PMingLiU" w:hAnsi="Times New Roman" w:cs="Times New Roman"/>
      <w:kern w:val="0"/>
      <w:sz w:val="22"/>
      <w:szCs w:val="20"/>
      <w:lang w:val="en-GB" w:eastAsia="en-US"/>
    </w:rPr>
  </w:style>
  <w:style w:type="character" w:customStyle="1" w:styleId="a18">
    <w:name w:val="电子邮件签名 字符"/>
    <w:basedOn w:val="DefaultParagraphFont"/>
    <w:link w:val="E-mailSignature"/>
    <w:qFormat/>
    <w:rPr>
      <w:rFonts w:ascii="Times New Roman" w:eastAsia="PMingLiU" w:hAnsi="Times New Roman" w:cs="Times New Roman"/>
      <w:kern w:val="0"/>
      <w:sz w:val="22"/>
      <w:szCs w:val="20"/>
      <w:lang w:val="en-GB" w:eastAsia="en-US"/>
    </w:rPr>
  </w:style>
  <w:style w:type="paragraph" w:customStyle="1" w:styleId="BalloonText1">
    <w:name w:val="Balloon Text1"/>
    <w:basedOn w:val="Normal"/>
    <w:semiHidden/>
    <w:qFormat/>
    <w:rPr>
      <w:rFonts w:ascii="Tahoma" w:hAnsi="Tahoma" w:cs="Tahoma"/>
      <w:sz w:val="16"/>
      <w:szCs w:val="16"/>
    </w:rPr>
  </w:style>
  <w:style w:type="paragraph" w:styleId="ListParagraph">
    <w:name w:val="List Paragraph"/>
    <w:basedOn w:val="Normal"/>
    <w:uiPriority w:val="34"/>
    <w:qFormat/>
    <w:pPr>
      <w:ind w:left="420"/>
    </w:pPr>
  </w:style>
  <w:style w:type="paragraph" w:customStyle="1" w:styleId="level2">
    <w:name w:val="level 2"/>
    <w:basedOn w:val="Normal"/>
    <w:qFormat/>
    <w:pPr>
      <w:tabs>
        <w:tab w:val="left" w:pos="240"/>
        <w:tab w:val="left" w:pos="1140"/>
        <w:tab w:val="left" w:pos="1620"/>
      </w:tabs>
      <w:jc w:val="both"/>
    </w:pPr>
    <w:rPr>
      <w:sz w:val="24"/>
      <w:lang w:val="en-US" w:eastAsia="zh-TW"/>
    </w:rPr>
  </w:style>
  <w:style w:type="paragraph" w:customStyle="1" w:styleId="Level20">
    <w:name w:val="Level 2"/>
    <w:basedOn w:val="Normal"/>
    <w:qFormat/>
    <w:pPr>
      <w:numPr>
        <w:ilvl w:val="3"/>
        <w:numId w:val="17"/>
      </w:numPr>
      <w:tabs>
        <w:tab w:val="left" w:pos="1080"/>
        <w:tab w:val="clear" w:pos="2016"/>
      </w:tabs>
      <w:spacing w:line="360" w:lineRule="auto"/>
      <w:ind w:left="1080" w:hanging="1080"/>
      <w:jc w:val="both"/>
    </w:pPr>
    <w:rPr>
      <w:rFonts w:eastAsia="宋体"/>
      <w:sz w:val="24"/>
    </w:rPr>
  </w:style>
  <w:style w:type="paragraph" w:customStyle="1" w:styleId="Level4">
    <w:name w:val="Level 4"/>
    <w:basedOn w:val="Normal"/>
    <w:qFormat/>
    <w:pPr>
      <w:tabs>
        <w:tab w:val="left" w:pos="2016"/>
      </w:tabs>
      <w:ind w:left="2016" w:hanging="936"/>
    </w:pPr>
  </w:style>
  <w:style w:type="paragraph" w:customStyle="1" w:styleId="AB-13">
    <w:name w:val="AB-13"/>
    <w:basedOn w:val="HR-13"/>
    <w:qFormat/>
    <w:pPr>
      <w:tabs>
        <w:tab w:val="left" w:pos="1080"/>
      </w:tabs>
      <w:spacing w:line="360" w:lineRule="auto"/>
    </w:pPr>
    <w:rPr>
      <w:rFonts w:eastAsia="宋体"/>
      <w:b/>
      <w:bCs/>
    </w:rPr>
  </w:style>
  <w:style w:type="paragraph" w:customStyle="1" w:styleId="ReportTable">
    <w:name w:val="Report Table"/>
    <w:basedOn w:val="ReportText"/>
    <w:qFormat/>
    <w:pPr>
      <w:tabs>
        <w:tab w:val="left" w:pos="1080"/>
      </w:tabs>
      <w:spacing w:before="60" w:after="60" w:line="360" w:lineRule="auto"/>
      <w:ind w:left="0"/>
      <w:jc w:val="left"/>
    </w:pPr>
    <w:rPr>
      <w:sz w:val="20"/>
    </w:rPr>
  </w:style>
  <w:style w:type="paragraph" w:customStyle="1" w:styleId="AppendixHeading">
    <w:name w:val="Appendix Heading"/>
    <w:basedOn w:val="ReportHeading"/>
    <w:next w:val="ReportText"/>
    <w:qFormat/>
    <w:pPr>
      <w:keepNext/>
      <w:tabs>
        <w:tab w:val="left" w:pos="1080"/>
        <w:tab w:val="clear" w:pos="2160"/>
      </w:tabs>
      <w:spacing w:line="360" w:lineRule="auto"/>
      <w:ind w:left="1080" w:firstLine="0"/>
    </w:pPr>
    <w:rPr>
      <w:rFonts w:eastAsia="宋体" w:cs="Arial"/>
      <w:sz w:val="24"/>
    </w:rPr>
  </w:style>
  <w:style w:type="paragraph" w:customStyle="1" w:styleId="Level10">
    <w:name w:val="Level 1"/>
    <w:basedOn w:val="Normal"/>
    <w:qFormat/>
    <w:pPr>
      <w:numPr>
        <w:ilvl w:val="2"/>
        <w:numId w:val="18"/>
      </w:numPr>
      <w:tabs>
        <w:tab w:val="left" w:pos="1440"/>
        <w:tab w:val="clear" w:pos="2167"/>
      </w:tabs>
      <w:ind w:left="1440"/>
    </w:pPr>
  </w:style>
  <w:style w:type="paragraph" w:customStyle="1" w:styleId="Level30">
    <w:name w:val="Level 3"/>
    <w:basedOn w:val="Normal"/>
    <w:qFormat/>
    <w:pPr>
      <w:tabs>
        <w:tab w:val="left" w:pos="2167"/>
      </w:tabs>
      <w:ind w:left="2167" w:hanging="360"/>
    </w:pPr>
  </w:style>
  <w:style w:type="paragraph" w:customStyle="1" w:styleId="P1">
    <w:name w:val="P1"/>
    <w:qFormat/>
    <w:pPr>
      <w:widowControl w:val="0"/>
      <w:adjustRightInd w:val="0"/>
      <w:spacing w:after="240" w:line="0" w:lineRule="atLeast"/>
      <w:ind w:left="2304" w:hanging="576"/>
      <w:jc w:val="both"/>
      <w:textAlignment w:val="baseline"/>
    </w:pPr>
    <w:rPr>
      <w:rFonts w:eastAsia="全真中明體"/>
      <w:spacing w:val="30"/>
      <w:sz w:val="24"/>
      <w:lang w:val="en-GB" w:eastAsia="zh-TW"/>
    </w:rPr>
  </w:style>
  <w:style w:type="character" w:customStyle="1" w:styleId="a19">
    <w:name w:val="批注框文本 字符"/>
    <w:basedOn w:val="DefaultParagraphFont"/>
    <w:link w:val="BalloonText"/>
    <w:qFormat/>
    <w:rPr>
      <w:rFonts w:ascii="宋体" w:eastAsia="宋体" w:hAnsi="Times New Roman" w:cs="Times New Roman"/>
      <w:kern w:val="0"/>
      <w:sz w:val="18"/>
      <w:szCs w:val="18"/>
      <w:lang w:val="en-GB" w:eastAsia="en-US"/>
    </w:rPr>
  </w:style>
  <w:style w:type="paragraph" w:customStyle="1" w:styleId="H1">
    <w:name w:val="H1"/>
    <w:qFormat/>
    <w:pPr>
      <w:widowControl w:val="0"/>
      <w:adjustRightInd w:val="0"/>
      <w:spacing w:after="240"/>
      <w:textAlignment w:val="baseline"/>
    </w:pPr>
    <w:rPr>
      <w:rFonts w:eastAsia="全真中明體"/>
      <w:b/>
      <w:caps/>
      <w:spacing w:val="30"/>
      <w:sz w:val="24"/>
      <w:lang w:val="en-GB" w:eastAsia="zh-TW"/>
    </w:rPr>
  </w:style>
  <w:style w:type="paragraph" w:customStyle="1" w:styleId="P3">
    <w:name w:val="P3"/>
    <w:qFormat/>
    <w:pPr>
      <w:widowControl w:val="0"/>
      <w:adjustRightInd w:val="0"/>
      <w:spacing w:after="240"/>
      <w:ind w:left="2880" w:hanging="576"/>
      <w:jc w:val="both"/>
      <w:textAlignment w:val="baseline"/>
    </w:pPr>
    <w:rPr>
      <w:rFonts w:eastAsia="全真中明體"/>
      <w:spacing w:val="30"/>
      <w:sz w:val="24"/>
      <w:lang w:val="en-GB" w:eastAsia="zh-TW"/>
    </w:rPr>
  </w:style>
  <w:style w:type="paragraph" w:customStyle="1" w:styleId="P5">
    <w:name w:val="P5"/>
    <w:qFormat/>
    <w:pPr>
      <w:widowControl w:val="0"/>
      <w:adjustRightInd w:val="0"/>
      <w:spacing w:after="240"/>
      <w:ind w:left="2304"/>
      <w:jc w:val="both"/>
      <w:textAlignment w:val="baseline"/>
    </w:pPr>
    <w:rPr>
      <w:rFonts w:ascii="全真中明體" w:eastAsia="全真中明體"/>
      <w:spacing w:val="30"/>
      <w:sz w:val="24"/>
      <w:lang w:val="en-GB" w:eastAsia="zh-TW"/>
    </w:rPr>
  </w:style>
  <w:style w:type="paragraph" w:customStyle="1" w:styleId="P6">
    <w:name w:val="P6"/>
    <w:qFormat/>
    <w:pPr>
      <w:widowControl w:val="0"/>
      <w:adjustRightInd w:val="0"/>
      <w:spacing w:after="240"/>
      <w:ind w:left="3456" w:hanging="576"/>
      <w:jc w:val="both"/>
      <w:textAlignment w:val="baseline"/>
    </w:pPr>
    <w:rPr>
      <w:rFonts w:eastAsia="全真中明體"/>
      <w:spacing w:val="30"/>
      <w:sz w:val="24"/>
      <w:lang w:val="en-GB" w:eastAsia="zh-TW"/>
    </w:rPr>
  </w:style>
  <w:style w:type="paragraph" w:customStyle="1" w:styleId="P2">
    <w:name w:val="P2"/>
    <w:qFormat/>
    <w:pPr>
      <w:widowControl w:val="0"/>
      <w:adjustRightInd w:val="0"/>
      <w:spacing w:after="240"/>
      <w:ind w:left="1728"/>
      <w:jc w:val="both"/>
      <w:textAlignment w:val="baseline"/>
    </w:pPr>
    <w:rPr>
      <w:rFonts w:eastAsia="全真中明體"/>
      <w:spacing w:val="30"/>
      <w:sz w:val="24"/>
      <w:lang w:val="en-GB" w:eastAsia="zh-TW"/>
    </w:rPr>
  </w:style>
  <w:style w:type="paragraph" w:customStyle="1" w:styleId="10">
    <w:name w:val="样式1"/>
    <w:basedOn w:val="Normal"/>
    <w:qFormat/>
    <w:pPr>
      <w:widowControl w:val="0"/>
      <w:spacing w:line="500" w:lineRule="exact"/>
      <w:ind w:left="250" w:hanging="250" w:hangingChars="250"/>
      <w:jc w:val="both"/>
    </w:pPr>
    <w:rPr>
      <w:rFonts w:eastAsia="宋体"/>
      <w:kern w:val="2"/>
      <w:sz w:val="24"/>
      <w:szCs w:val="24"/>
      <w:lang w:val="en-US" w:eastAsia="zh-CN"/>
    </w:rPr>
  </w:style>
  <w:style w:type="paragraph" w:customStyle="1" w:styleId="11">
    <w:name w:val="样式 1"/>
    <w:basedOn w:val="Heading1"/>
    <w:qFormat/>
    <w:pPr>
      <w:keepNext/>
      <w:widowControl w:val="0"/>
      <w:numPr>
        <w:numId w:val="0"/>
      </w:numPr>
      <w:spacing w:line="480" w:lineRule="exact"/>
      <w:jc w:val="both"/>
    </w:pPr>
    <w:rPr>
      <w:rFonts w:cs="Times New Roman"/>
      <w:b w:val="0"/>
      <w:caps w:val="0"/>
      <w:kern w:val="2"/>
      <w:szCs w:val="24"/>
      <w:lang w:val="en-US" w:eastAsia="zh-CN"/>
    </w:rPr>
  </w:style>
  <w:style w:type="paragraph" w:customStyle="1" w:styleId="a20">
    <w:name w:val="正文表标题"/>
    <w:next w:val="Normal"/>
    <w:qFormat/>
    <w:pPr>
      <w:tabs>
        <w:tab w:val="left" w:pos="360"/>
      </w:tabs>
      <w:ind w:left="360" w:hanging="360"/>
      <w:jc w:val="center"/>
    </w:pPr>
    <w:rPr>
      <w:rFonts w:ascii="黑体" w:eastAsia="黑体"/>
      <w:sz w:val="21"/>
      <w:szCs w:val="21"/>
    </w:rPr>
  </w:style>
  <w:style w:type="paragraph" w:customStyle="1" w:styleId="Spec3-Points">
    <w:name w:val="(Spec) 3-Points"/>
    <w:qFormat/>
    <w:pPr>
      <w:widowControl w:val="0"/>
      <w:numPr>
        <w:ilvl w:val="3"/>
        <w:numId w:val="19"/>
      </w:numPr>
      <w:spacing w:after="120"/>
      <w:jc w:val="both"/>
    </w:pPr>
    <w:rPr>
      <w:rFonts w:ascii="Arial" w:hAnsi="Arial" w:cs="Arial"/>
      <w:kern w:val="2"/>
      <w:sz w:val="22"/>
      <w:szCs w:val="22"/>
    </w:rPr>
  </w:style>
  <w:style w:type="paragraph" w:customStyle="1" w:styleId="Spec1-StyleHeading">
    <w:name w:val="(Spec) 1-Style Heading"/>
    <w:next w:val="Normal"/>
    <w:qFormat/>
    <w:pPr>
      <w:tabs>
        <w:tab w:val="left" w:pos="1701"/>
      </w:tabs>
      <w:spacing w:before="480" w:line="480" w:lineRule="auto"/>
      <w:ind w:left="1701" w:hanging="1701"/>
      <w:jc w:val="both"/>
    </w:pPr>
    <w:rPr>
      <w:rFonts w:ascii="Arial" w:hAnsi="Arial" w:cs="Arial"/>
      <w:b/>
      <w:bCs/>
      <w:kern w:val="52"/>
      <w:sz w:val="28"/>
      <w:szCs w:val="28"/>
      <w:lang w:eastAsia="zh-TW"/>
      <w14:shadow w14:blurRad="50800" w14:dist="38100" w14:dir="2700000" w14:sx="100000" w14:sy="100000" w14:kx="0" w14:ky="0" w14:algn="tl">
        <w14:srgbClr w14:val="000000">
          <w14:alpha w14:val="60000"/>
        </w14:srgbClr>
      </w14:shadow>
    </w:rPr>
  </w:style>
  <w:style w:type="paragraph" w:customStyle="1" w:styleId="Spec4-Points">
    <w:name w:val="(Spec) 4-Points"/>
    <w:qFormat/>
    <w:pPr>
      <w:widowControl w:val="0"/>
      <w:adjustRightInd w:val="0"/>
      <w:snapToGrid w:val="0"/>
      <w:spacing w:before="120" w:after="120"/>
      <w:jc w:val="both"/>
    </w:pPr>
    <w:rPr>
      <w:rFonts w:ascii="Arial" w:hAnsi="Arial"/>
      <w:kern w:val="2"/>
      <w:sz w:val="22"/>
      <w:szCs w:val="22"/>
    </w:rPr>
  </w:style>
  <w:style w:type="paragraph" w:customStyle="1" w:styleId="Spec2-Nos">
    <w:name w:val="(Spec) 2-Nos"/>
    <w:qFormat/>
    <w:pPr>
      <w:numPr>
        <w:ilvl w:val="2"/>
        <w:numId w:val="19"/>
      </w:numPr>
      <w:tabs>
        <w:tab w:val="left" w:pos="567"/>
        <w:tab w:val="clear" w:pos="1134"/>
      </w:tabs>
      <w:spacing w:after="240"/>
      <w:ind w:left="567" w:hanging="567"/>
      <w:jc w:val="both"/>
    </w:pPr>
    <w:rPr>
      <w:rFonts w:ascii="Arial" w:hAnsi="Arial" w:cs="Arial"/>
      <w:sz w:val="22"/>
      <w:szCs w:val="22"/>
    </w:rPr>
  </w:style>
  <w:style w:type="paragraph" w:customStyle="1" w:styleId="Spec3-Nos">
    <w:name w:val="(Spec) 3-Nos"/>
    <w:basedOn w:val="Normal"/>
    <w:qFormat/>
    <w:pPr>
      <w:widowControl w:val="0"/>
      <w:tabs>
        <w:tab w:val="left" w:pos="1134"/>
      </w:tabs>
      <w:ind w:left="1134" w:hanging="680"/>
    </w:pPr>
    <w:rPr>
      <w:kern w:val="2"/>
      <w:sz w:val="24"/>
      <w:lang w:val="en-US" w:eastAsia="zh-TW"/>
    </w:rPr>
  </w:style>
  <w:style w:type="paragraph" w:customStyle="1" w:styleId="SpecOthers">
    <w:name w:val="(Spec) Others"/>
    <w:link w:val="SpecOthersChar"/>
    <w:qFormat/>
    <w:pPr>
      <w:widowControl w:val="0"/>
      <w:spacing w:after="120"/>
      <w:ind w:left="851"/>
      <w:jc w:val="both"/>
    </w:pPr>
    <w:rPr>
      <w:rFonts w:ascii="Arial" w:hAnsi="Arial"/>
      <w:kern w:val="2"/>
      <w:sz w:val="22"/>
      <w:szCs w:val="28"/>
    </w:rPr>
  </w:style>
  <w:style w:type="character" w:customStyle="1" w:styleId="SpecOthersChar">
    <w:name w:val="(Spec) Others Char"/>
    <w:link w:val="SpecOthers"/>
    <w:qFormat/>
    <w:rPr>
      <w:rFonts w:ascii="Arial" w:eastAsia="宋体" w:hAnsi="Arial" w:cs="Times New Roman"/>
      <w:sz w:val="22"/>
      <w:szCs w:val="28"/>
    </w:rPr>
  </w:style>
  <w:style w:type="paragraph" w:customStyle="1" w:styleId="Spec6-Subicons">
    <w:name w:val="(Spec) 6-Sub.icons"/>
    <w:basedOn w:val="Normal"/>
    <w:link w:val="Spec6-SubiconsChar"/>
    <w:semiHidden/>
    <w:qFormat/>
    <w:pPr>
      <w:widowControl w:val="0"/>
      <w:numPr>
        <w:numId w:val="20"/>
      </w:numPr>
      <w:tabs>
        <w:tab w:val="left" w:pos="522"/>
        <w:tab w:val="left" w:pos="1418"/>
        <w:tab w:val="left" w:pos="2340"/>
        <w:tab w:val="clear" w:pos="2790"/>
        <w:tab w:val="left" w:pos="5640"/>
      </w:tabs>
      <w:adjustRightInd w:val="0"/>
      <w:snapToGrid w:val="0"/>
      <w:ind w:left="2340" w:hanging="450"/>
    </w:pPr>
    <w:rPr>
      <w:rFonts w:ascii="Arial" w:eastAsia="宋体" w:hAnsi="Arial"/>
      <w:kern w:val="2"/>
      <w:sz w:val="24"/>
      <w:szCs w:val="24"/>
      <w:lang w:val="en-US" w:eastAsia="zh-CN"/>
    </w:rPr>
  </w:style>
  <w:style w:type="character" w:customStyle="1" w:styleId="Spec6-SubiconsChar">
    <w:name w:val="(Spec) 6-Sub.icons Char"/>
    <w:link w:val="Spec6-Subicons"/>
    <w:semiHidden/>
    <w:qFormat/>
    <w:rPr>
      <w:rFonts w:ascii="Arial" w:hAnsi="Arial"/>
      <w:kern w:val="2"/>
      <w:sz w:val="24"/>
      <w:szCs w:val="24"/>
    </w:rPr>
  </w:style>
  <w:style w:type="paragraph" w:customStyle="1" w:styleId="Spec8-Normal">
    <w:name w:val="(Spec) 8-Normal"/>
    <w:link w:val="Spec8-Normal0"/>
    <w:semiHidden/>
    <w:qFormat/>
    <w:pPr>
      <w:numPr>
        <w:ilvl w:val="1"/>
        <w:numId w:val="21"/>
      </w:numPr>
      <w:tabs>
        <w:tab w:val="left" w:pos="1620"/>
      </w:tabs>
      <w:spacing w:after="120"/>
      <w:ind w:hanging="540"/>
    </w:pPr>
    <w:rPr>
      <w:rFonts w:ascii="Arial" w:hAnsi="Arial"/>
      <w:kern w:val="52"/>
      <w:sz w:val="22"/>
      <w:szCs w:val="22"/>
    </w:rPr>
  </w:style>
  <w:style w:type="character" w:customStyle="1" w:styleId="Spec8-Normal0">
    <w:name w:val="(Spec) 8-Normal 字元"/>
    <w:link w:val="Spec8-Normal"/>
    <w:semiHidden/>
    <w:qFormat/>
    <w:rPr>
      <w:rFonts w:ascii="Arial" w:hAnsi="Arial"/>
      <w:kern w:val="52"/>
      <w:sz w:val="22"/>
      <w:szCs w:val="22"/>
    </w:rPr>
  </w:style>
  <w:style w:type="paragraph" w:customStyle="1" w:styleId="Default">
    <w:name w:val="Default"/>
    <w:link w:val="DefaultChar"/>
    <w:qFormat/>
    <w:pPr>
      <w:widowControl w:val="0"/>
      <w:autoSpaceDE w:val="0"/>
      <w:autoSpaceDN w:val="0"/>
      <w:adjustRightInd w:val="0"/>
    </w:pPr>
    <w:rPr>
      <w:rFonts w:ascii="华文楷体" w:eastAsia="华文楷体"/>
      <w:color w:val="000000"/>
      <w:sz w:val="24"/>
      <w:szCs w:val="24"/>
      <w:lang w:eastAsia="en-US"/>
    </w:rPr>
  </w:style>
  <w:style w:type="paragraph" w:customStyle="1" w:styleId="locationlist">
    <w:name w:val="locationlist"/>
    <w:basedOn w:val="Normal"/>
    <w:qFormat/>
    <w:pPr>
      <w:spacing w:before="30" w:after="60"/>
    </w:pPr>
    <w:rPr>
      <w:rFonts w:eastAsia="宋体"/>
      <w:szCs w:val="22"/>
      <w:lang w:val="en-US" w:eastAsia="zh-CN"/>
    </w:rPr>
  </w:style>
  <w:style w:type="paragraph" w:customStyle="1" w:styleId="SubLevel1">
    <w:name w:val="Sub Level 1"/>
    <w:basedOn w:val="Normal"/>
    <w:qFormat/>
    <w:pPr>
      <w:tabs>
        <w:tab w:val="left" w:pos="1253"/>
      </w:tabs>
      <w:ind w:left="1253" w:hanging="720"/>
    </w:pPr>
  </w:style>
  <w:style w:type="paragraph" w:customStyle="1" w:styleId="SubLevel2">
    <w:name w:val="Sub Level 2"/>
    <w:basedOn w:val="Normal"/>
    <w:qFormat/>
    <w:pPr>
      <w:tabs>
        <w:tab w:val="left" w:pos="2102"/>
      </w:tabs>
      <w:ind w:left="2102" w:hanging="849"/>
    </w:pPr>
  </w:style>
  <w:style w:type="paragraph" w:customStyle="1" w:styleId="SubLevel3">
    <w:name w:val="Sub Level 3"/>
    <w:basedOn w:val="Normal"/>
    <w:qFormat/>
    <w:pPr>
      <w:tabs>
        <w:tab w:val="left" w:pos="2102"/>
      </w:tabs>
      <w:ind w:left="2102" w:hanging="849"/>
    </w:pPr>
  </w:style>
  <w:style w:type="paragraph" w:customStyle="1" w:styleId="SubLevel4">
    <w:name w:val="Sub Level 4"/>
    <w:basedOn w:val="Normal"/>
    <w:qFormat/>
    <w:pPr>
      <w:numPr>
        <w:ilvl w:val="3"/>
        <w:numId w:val="22"/>
      </w:numPr>
    </w:pPr>
  </w:style>
  <w:style w:type="paragraph" w:customStyle="1" w:styleId="xl26">
    <w:name w:val="xl26"/>
    <w:basedOn w:val="Normal"/>
    <w:qFormat/>
    <w:pPr>
      <w:spacing w:before="100" w:beforeAutospacing="1" w:after="100" w:afterAutospacing="1"/>
      <w:jc w:val="center"/>
    </w:pPr>
    <w:rPr>
      <w:rFonts w:ascii="Arial Unicode MS" w:eastAsia="Arial Unicode MS" w:hAnsi="Arial Unicode MS" w:cs="Arial Unicode MS"/>
      <w:sz w:val="24"/>
      <w:szCs w:val="24"/>
      <w:u w:val="single"/>
      <w:lang w:val="en-US"/>
    </w:rPr>
  </w:style>
  <w:style w:type="paragraph" w:customStyle="1" w:styleId="xl24">
    <w:name w:val="xl24"/>
    <w:basedOn w:val="Normal"/>
    <w:qFormat/>
    <w:pPr>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72">
    <w:name w:val="xl72"/>
    <w:basedOn w:val="Normal"/>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6"/>
      <w:szCs w:val="16"/>
      <w:lang w:val="en-US"/>
    </w:rPr>
  </w:style>
  <w:style w:type="paragraph" w:customStyle="1" w:styleId="font5">
    <w:name w:val="font5"/>
    <w:basedOn w:val="Normal"/>
    <w:qFormat/>
    <w:pPr>
      <w:spacing w:before="100" w:beforeAutospacing="1" w:after="100" w:afterAutospacing="1"/>
    </w:pPr>
    <w:rPr>
      <w:rFonts w:ascii="Arial" w:eastAsia="Arial Unicode MS" w:hAnsi="Arial" w:cs="Arial"/>
      <w:sz w:val="16"/>
      <w:szCs w:val="16"/>
      <w:lang w:val="en-US"/>
    </w:rPr>
  </w:style>
  <w:style w:type="paragraph" w:customStyle="1" w:styleId="font7">
    <w:name w:val="font7"/>
    <w:basedOn w:val="Normal"/>
    <w:qFormat/>
    <w:pPr>
      <w:spacing w:before="100" w:beforeAutospacing="1" w:after="100" w:afterAutospacing="1"/>
    </w:pPr>
    <w:rPr>
      <w:rFonts w:ascii="宋体" w:eastAsia="宋体" w:hAnsi="宋体" w:cs="Arial Unicode MS" w:hint="eastAsia"/>
      <w:b/>
      <w:bCs/>
      <w:sz w:val="20"/>
      <w:lang w:val="en-US"/>
    </w:rPr>
  </w:style>
  <w:style w:type="paragraph" w:customStyle="1" w:styleId="xl36">
    <w:name w:val="xl36"/>
    <w:basedOn w:val="Normal"/>
    <w:qFormat/>
    <w:pPr>
      <w:spacing w:before="100" w:beforeAutospacing="1" w:after="100" w:afterAutospacing="1"/>
      <w:textAlignment w:val="center"/>
    </w:pPr>
    <w:rPr>
      <w:rFonts w:ascii="宋体" w:eastAsia="宋体" w:hAnsi="宋体" w:cs="Arial Unicode MS" w:hint="eastAsia"/>
      <w:sz w:val="16"/>
      <w:szCs w:val="16"/>
      <w:lang w:val="en-US"/>
    </w:rPr>
  </w:style>
  <w:style w:type="paragraph" w:customStyle="1" w:styleId="xl42">
    <w:name w:val="xl42"/>
    <w:basedOn w:val="Normal"/>
    <w:qFormat/>
    <w:pPr>
      <w:pBdr>
        <w:bottom w:val="single" w:sz="4" w:space="0" w:color="auto"/>
      </w:pBdr>
      <w:spacing w:before="100" w:beforeAutospacing="1" w:after="100" w:afterAutospacing="1"/>
      <w:jc w:val="center"/>
      <w:textAlignment w:val="center"/>
    </w:pPr>
    <w:rPr>
      <w:rFonts w:ascii="宋体" w:eastAsia="宋体" w:hAnsi="宋体" w:cs="Arial Unicode MS" w:hint="eastAsia"/>
      <w:b/>
      <w:bCs/>
      <w:sz w:val="16"/>
      <w:szCs w:val="16"/>
      <w:lang w:val="en-US"/>
    </w:rPr>
  </w:style>
  <w:style w:type="paragraph" w:customStyle="1" w:styleId="xl62">
    <w:name w:val="xl62"/>
    <w:basedOn w:val="Normal"/>
    <w:qFormat/>
    <w:pPr>
      <w:pBdr>
        <w:left w:val="single" w:sz="4" w:space="0" w:color="auto"/>
      </w:pBdr>
      <w:spacing w:before="100" w:beforeAutospacing="1" w:after="100" w:afterAutospacing="1"/>
      <w:textAlignment w:val="center"/>
    </w:pPr>
    <w:rPr>
      <w:rFonts w:ascii="Arial Unicode MS" w:eastAsia="Arial Unicode MS" w:hAnsi="Arial Unicode MS" w:cs="Arial Unicode MS"/>
      <w:sz w:val="16"/>
      <w:szCs w:val="16"/>
      <w:lang w:val="en-US"/>
    </w:rPr>
  </w:style>
  <w:style w:type="character" w:customStyle="1" w:styleId="a21">
    <w:name w:val="引用 字符"/>
    <w:basedOn w:val="DefaultParagraphFont"/>
    <w:link w:val="Quote"/>
    <w:uiPriority w:val="29"/>
    <w:qFormat/>
    <w:rPr>
      <w:rFonts w:ascii="Times New Roman" w:eastAsia="PMingLiU" w:hAnsi="Times New Roman" w:cs="Times New Roman"/>
      <w:i/>
      <w:iCs/>
      <w:color w:val="404040" w:themeColor="text1" w:themeTint="BF"/>
      <w:kern w:val="0"/>
      <w:sz w:val="22"/>
      <w:szCs w:val="20"/>
      <w:lang w:val="en-GB" w:eastAsia="en-US"/>
    </w:rPr>
  </w:style>
  <w:style w:type="paragraph" w:styleId="Quote">
    <w:name w:val="Quote"/>
    <w:basedOn w:val="Normal"/>
    <w:next w:val="Normal"/>
    <w:link w:val="a21"/>
    <w:uiPriority w:val="29"/>
    <w:qFormat/>
    <w:pPr>
      <w:spacing w:before="200" w:after="160"/>
      <w:ind w:left="864" w:right="864"/>
      <w:jc w:val="center"/>
    </w:pPr>
    <w:rPr>
      <w:i/>
      <w:iCs/>
      <w:color w:val="404040" w:themeColor="text1" w:themeTint="BF"/>
    </w:rPr>
  </w:style>
  <w:style w:type="character" w:customStyle="1" w:styleId="Char1">
    <w:name w:val="引用 Char1"/>
    <w:basedOn w:val="DefaultParagraphFont"/>
    <w:uiPriority w:val="29"/>
    <w:qFormat/>
    <w:rPr>
      <w:rFonts w:ascii="Times New Roman" w:eastAsia="PMingLiU" w:hAnsi="Times New Roman" w:cs="Times New Roman"/>
      <w:i/>
      <w:iCs/>
      <w:color w:val="404040" w:themeColor="text1" w:themeTint="BF"/>
      <w:kern w:val="0"/>
      <w:sz w:val="22"/>
      <w:szCs w:val="20"/>
      <w:lang w:val="en-GB" w:eastAsia="en-US"/>
    </w:rPr>
  </w:style>
  <w:style w:type="character" w:customStyle="1" w:styleId="a22">
    <w:name w:val="批注主题 字符"/>
    <w:basedOn w:val="a1"/>
    <w:link w:val="CommentSubject"/>
    <w:semiHidden/>
    <w:qFormat/>
    <w:rPr>
      <w:rFonts w:ascii="Times New Roman" w:eastAsia="PMingLiU" w:hAnsi="Times New Roman" w:cs="Times New Roman"/>
      <w:b/>
      <w:bCs/>
      <w:kern w:val="0"/>
      <w:sz w:val="20"/>
      <w:szCs w:val="20"/>
      <w:lang w:val="en-GB" w:eastAsia="en-US"/>
    </w:rPr>
  </w:style>
  <w:style w:type="character" w:customStyle="1" w:styleId="Char10">
    <w:name w:val="批注主题 Char1"/>
    <w:basedOn w:val="a1"/>
    <w:uiPriority w:val="99"/>
    <w:semiHidden/>
    <w:qFormat/>
    <w:rPr>
      <w:rFonts w:ascii="Times New Roman" w:eastAsia="PMingLiU" w:hAnsi="Times New Roman" w:cs="Times New Roman"/>
      <w:b/>
      <w:bCs/>
      <w:kern w:val="0"/>
      <w:sz w:val="20"/>
      <w:szCs w:val="20"/>
      <w:lang w:val="en-GB" w:eastAsia="en-US"/>
    </w:rPr>
  </w:style>
  <w:style w:type="character" w:customStyle="1" w:styleId="a23">
    <w:name w:val="明显引用 字符"/>
    <w:basedOn w:val="DefaultParagraphFont"/>
    <w:link w:val="IntenseQuote"/>
    <w:uiPriority w:val="30"/>
    <w:qFormat/>
    <w:rPr>
      <w:rFonts w:ascii="Times New Roman" w:eastAsia="PMingLiU" w:hAnsi="Times New Roman" w:cs="Times New Roman"/>
      <w:i/>
      <w:iCs/>
      <w:color w:val="5B9BD5" w:themeColor="accent1"/>
      <w:kern w:val="0"/>
      <w:sz w:val="22"/>
      <w:szCs w:val="20"/>
      <w:lang w:val="en-GB" w:eastAsia="en-US"/>
    </w:rPr>
  </w:style>
  <w:style w:type="paragraph" w:styleId="IntenseQuote">
    <w:name w:val="Intense Quote"/>
    <w:basedOn w:val="Normal"/>
    <w:next w:val="Normal"/>
    <w:link w:val="a23"/>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11">
    <w:name w:val="明显引用 Char1"/>
    <w:basedOn w:val="DefaultParagraphFont"/>
    <w:uiPriority w:val="30"/>
    <w:qFormat/>
    <w:rPr>
      <w:rFonts w:ascii="Times New Roman" w:eastAsia="PMingLiU" w:hAnsi="Times New Roman" w:cs="Times New Roman"/>
      <w:i/>
      <w:iCs/>
      <w:color w:val="5B9BD5" w:themeColor="accent1"/>
      <w:kern w:val="0"/>
      <w:sz w:val="22"/>
      <w:szCs w:val="20"/>
      <w:lang w:val="en-GB" w:eastAsia="en-US"/>
    </w:rPr>
  </w:style>
  <w:style w:type="paragraph" w:customStyle="1" w:styleId="TOC10">
    <w:name w:val="TOC 标题1"/>
    <w:basedOn w:val="Heading1"/>
    <w:next w:val="Normal"/>
    <w:uiPriority w:val="39"/>
    <w:unhideWhenUsed/>
    <w:qFormat/>
    <w:pPr>
      <w:keepNext/>
      <w:keepLines/>
      <w:numPr>
        <w:numId w:val="0"/>
      </w:numPr>
      <w:tabs>
        <w:tab w:val="clear" w:pos="1080"/>
      </w:tabs>
      <w:spacing w:before="240" w:line="259" w:lineRule="auto"/>
      <w:outlineLvl w:val="9"/>
    </w:pPr>
    <w:rPr>
      <w:rFonts w:asciiTheme="majorHAnsi" w:eastAsiaTheme="majorEastAsia" w:hAnsiTheme="majorHAnsi" w:cstheme="majorBidi"/>
      <w:b w:val="0"/>
      <w:caps w:val="0"/>
      <w:color w:val="2E74B5" w:themeColor="accent1" w:themeShade="BF"/>
      <w:sz w:val="32"/>
      <w:szCs w:val="32"/>
      <w:lang w:val="en-US" w:eastAsia="zh-CN"/>
    </w:rPr>
  </w:style>
  <w:style w:type="paragraph" w:customStyle="1" w:styleId="12">
    <w:name w:val="修订1"/>
    <w:hidden/>
    <w:uiPriority w:val="99"/>
    <w:semiHidden/>
    <w:qFormat/>
    <w:rPr>
      <w:rFonts w:eastAsia="PMingLiU"/>
      <w:sz w:val="22"/>
      <w:lang w:val="en-GB" w:eastAsia="en-US"/>
    </w:rPr>
  </w:style>
  <w:style w:type="paragraph" w:customStyle="1" w:styleId="1ReportLevel1">
    <w:name w:val="1.Report Level 1"/>
    <w:basedOn w:val="Normal"/>
    <w:next w:val="ReportText"/>
    <w:qFormat/>
    <w:pPr>
      <w:keepNext/>
      <w:outlineLvl w:val="0"/>
    </w:pPr>
    <w:rPr>
      <w:rFonts w:eastAsia="宋体"/>
      <w:b/>
      <w:caps/>
      <w:sz w:val="24"/>
    </w:rPr>
  </w:style>
  <w:style w:type="paragraph" w:customStyle="1" w:styleId="Reportlevel10">
    <w:name w:val="Report level1"/>
    <w:basedOn w:val="Heading1"/>
    <w:next w:val="1ReportLevel1"/>
    <w:link w:val="Reportlevel1Char"/>
    <w:qFormat/>
    <w:pPr>
      <w:keepNext/>
      <w:tabs>
        <w:tab w:val="clear" w:pos="720"/>
        <w:tab w:val="clear" w:pos="1080"/>
      </w:tabs>
      <w:spacing w:line="360" w:lineRule="auto"/>
      <w:ind w:left="425" w:hanging="425"/>
    </w:pPr>
    <w:rPr>
      <w:rFonts w:ascii="宋体" w:hAnsi="宋体" w:cs="Times New Roman"/>
      <w:szCs w:val="24"/>
    </w:rPr>
  </w:style>
  <w:style w:type="character" w:customStyle="1" w:styleId="Reportlevel1Char">
    <w:name w:val="Report level1 Char"/>
    <w:basedOn w:val="1"/>
    <w:link w:val="Reportlevel10"/>
    <w:qFormat/>
    <w:rPr>
      <w:rFonts w:ascii="宋体" w:hAnsi="宋体" w:cs="Arial"/>
      <w:b/>
      <w:caps/>
      <w:sz w:val="24"/>
      <w:szCs w:val="24"/>
      <w:lang w:val="en-GB" w:eastAsia="en-US"/>
    </w:rPr>
  </w:style>
  <w:style w:type="paragraph" w:customStyle="1" w:styleId="ListAlpha">
    <w:name w:val="List Alpha"/>
    <w:basedOn w:val="Normal"/>
    <w:qFormat/>
    <w:pPr>
      <w:numPr>
        <w:numId w:val="23"/>
      </w:numPr>
      <w:spacing w:after="120"/>
      <w:jc w:val="both"/>
    </w:pPr>
    <w:rPr>
      <w:rFonts w:ascii="Frutiger 45 Light" w:eastAsia="宋体" w:hAnsi="Frutiger 45 Light"/>
      <w:lang w:eastAsia="zh-CN"/>
    </w:rPr>
  </w:style>
  <w:style w:type="paragraph" w:styleId="NoSpacing">
    <w:name w:val="No Spacing"/>
    <w:basedOn w:val="Heading1"/>
    <w:link w:val="a24"/>
    <w:uiPriority w:val="1"/>
    <w:qFormat/>
    <w:pPr>
      <w:widowControl w:val="0"/>
      <w:numPr>
        <w:numId w:val="0"/>
      </w:numPr>
      <w:tabs>
        <w:tab w:val="clear" w:pos="1080"/>
      </w:tabs>
      <w:ind w:left="567" w:hanging="567"/>
    </w:pPr>
    <w:rPr>
      <w:rFonts w:asciiTheme="minorHAnsi" w:eastAsiaTheme="minorEastAsia" w:hAnsiTheme="minorHAnsi" w:cstheme="minorBidi"/>
      <w:b w:val="0"/>
      <w:caps w:val="0"/>
      <w:szCs w:val="24"/>
      <w:lang w:val="en-US"/>
    </w:rPr>
  </w:style>
  <w:style w:type="character" w:customStyle="1" w:styleId="DefaultChar">
    <w:name w:val="Default Char"/>
    <w:link w:val="Default"/>
    <w:qFormat/>
    <w:rPr>
      <w:rFonts w:ascii="华文楷体" w:eastAsia="华文楷体" w:hAnsi="Times New Roman" w:cs="Times New Roman"/>
      <w:color w:val="000000"/>
      <w:kern w:val="0"/>
      <w:sz w:val="24"/>
      <w:szCs w:val="24"/>
      <w:lang w:eastAsia="en-US"/>
    </w:rPr>
  </w:style>
  <w:style w:type="character" w:customStyle="1" w:styleId="ReportLevel2Char">
    <w:name w:val="Report Level 2 Char"/>
    <w:qFormat/>
    <w:rPr>
      <w:rFonts w:ascii="Calibri" w:eastAsia="宋体" w:hAnsi="Calibri"/>
      <w:sz w:val="24"/>
      <w:szCs w:val="24"/>
      <w:lang w:val="zh-CN" w:eastAsia="zh-CN"/>
    </w:rPr>
  </w:style>
  <w:style w:type="character" w:customStyle="1" w:styleId="ReportLevel1Char0">
    <w:name w:val="Report Level 1 Char"/>
    <w:link w:val="ReportLevel1"/>
    <w:qFormat/>
    <w:rPr>
      <w:b/>
      <w:caps/>
      <w:sz w:val="24"/>
      <w:lang w:val="en-GB" w:eastAsia="en-US"/>
    </w:rPr>
  </w:style>
  <w:style w:type="character" w:customStyle="1" w:styleId="a24">
    <w:name w:val="无间隔 字符"/>
    <w:basedOn w:val="DefaultParagraphFont"/>
    <w:link w:val="NoSpacing"/>
    <w:uiPriority w:val="1"/>
    <w:qFormat/>
    <w:rPr>
      <w:sz w:val="24"/>
      <w:szCs w:val="24"/>
      <w:lang w:eastAsia="en-US"/>
    </w:rPr>
  </w:style>
  <w:style w:type="paragraph" w:customStyle="1" w:styleId="H2">
    <w:name w:val="H2"/>
    <w:qFormat/>
    <w:pPr>
      <w:widowControl w:val="0"/>
      <w:adjustRightInd w:val="0"/>
      <w:spacing w:after="240" w:line="0" w:lineRule="atLeast"/>
      <w:textAlignment w:val="baseline"/>
    </w:pPr>
    <w:rPr>
      <w:rFonts w:eastAsia="全真中明體"/>
      <w:b/>
      <w:spacing w:val="20"/>
      <w:sz w:val="24"/>
      <w:lang w:val="en-GB" w:eastAsia="zh-TW"/>
    </w:rPr>
  </w:style>
  <w:style w:type="paragraph" w:customStyle="1" w:styleId="P7">
    <w:name w:val="P7"/>
    <w:qFormat/>
    <w:pPr>
      <w:widowControl w:val="0"/>
      <w:tabs>
        <w:tab w:val="left" w:pos="576"/>
      </w:tabs>
      <w:adjustRightInd w:val="0"/>
      <w:spacing w:after="240" w:line="0" w:lineRule="atLeast"/>
      <w:ind w:left="1728" w:hanging="1728"/>
      <w:jc w:val="both"/>
      <w:textAlignment w:val="baseline"/>
    </w:pPr>
    <w:rPr>
      <w:rFonts w:eastAsia="全真中明體"/>
      <w:spacing w:val="20"/>
      <w:sz w:val="24"/>
      <w:lang w:val="en-GB" w:eastAsia="zh-TW"/>
    </w:rPr>
  </w:style>
  <w:style w:type="paragraph" w:customStyle="1" w:styleId="Role">
    <w:name w:val="Role"/>
    <w:qFormat/>
    <w:pPr>
      <w:spacing w:before="160" w:after="120"/>
    </w:pPr>
    <w:rPr>
      <w:rFonts w:ascii="Arial" w:hAnsi="Arial" w:cstheme="minorBidi"/>
      <w:b/>
      <w:color w:val="44546A" w:themeColor="text2"/>
      <w:sz w:val="26"/>
      <w:szCs w:val="22"/>
      <w:lang w:val="en-GB" w:eastAsia="en-US"/>
    </w:rPr>
  </w:style>
  <w:style w:type="paragraph" w:customStyle="1" w:styleId="Cover-1">
    <w:name w:val="Cover-1"/>
    <w:basedOn w:val="Normal"/>
    <w:qFormat/>
    <w:pPr>
      <w:tabs>
        <w:tab w:val="left" w:pos="-1440"/>
        <w:tab w:val="left" w:pos="-720"/>
      </w:tabs>
      <w:suppressAutoHyphens/>
      <w:spacing w:after="43"/>
      <w:jc w:val="center"/>
    </w:pPr>
    <w:rPr>
      <w:rFonts w:eastAsia="宋体" w:hAnsi="Arial"/>
      <w:spacing w:val="-2"/>
      <w:sz w:val="20"/>
      <w:lang w:val="en-US" w:eastAsia="zh-TW"/>
    </w:rPr>
  </w:style>
  <w:style w:type="paragraph" w:customStyle="1" w:styleId="Normal1">
    <w:name w:val="Normal1"/>
    <w:basedOn w:val="H1"/>
    <w:qFormat/>
    <w:pPr>
      <w:spacing w:line="0" w:lineRule="atLeast"/>
    </w:pPr>
  </w:style>
  <w:style w:type="paragraph" w:customStyle="1" w:styleId="P8">
    <w:name w:val="P8"/>
    <w:basedOn w:val="P6"/>
    <w:qFormat/>
    <w:pPr>
      <w:spacing w:line="0" w:lineRule="atLeast"/>
      <w:ind w:left="4052"/>
    </w:pPr>
  </w:style>
  <w:style w:type="paragraph" w:customStyle="1" w:styleId="P">
    <w:name w:val="P"/>
    <w:basedOn w:val="P6"/>
    <w:qFormat/>
    <w:pPr>
      <w:spacing w:line="0" w:lineRule="atLeast"/>
      <w:ind w:left="4052"/>
    </w:pPr>
  </w:style>
  <w:style w:type="paragraph" w:customStyle="1" w:styleId="1stindent">
    <w:name w:val="1st indent"/>
    <w:basedOn w:val="Normal"/>
    <w:qFormat/>
    <w:pPr>
      <w:jc w:val="center"/>
    </w:pPr>
    <w:rPr>
      <w:rFonts w:eastAsia="黑体" w:hAnsi="Arial" w:cs="Arial"/>
      <w:b/>
      <w:bCs/>
      <w:sz w:val="32"/>
      <w:lang w:eastAsia="zh-TW"/>
    </w:rPr>
  </w:style>
  <w:style w:type="paragraph" w:customStyle="1" w:styleId="P4">
    <w:name w:val="P4"/>
    <w:qFormat/>
    <w:pPr>
      <w:widowControl w:val="0"/>
      <w:adjustRightInd w:val="0"/>
      <w:spacing w:after="240" w:line="0" w:lineRule="atLeast"/>
      <w:ind w:left="2880"/>
      <w:jc w:val="both"/>
      <w:textAlignment w:val="baseline"/>
    </w:pPr>
    <w:rPr>
      <w:rFonts w:eastAsia="全真中明體"/>
      <w:spacing w:val="30"/>
      <w:sz w:val="24"/>
      <w:lang w:val="en-GB" w:eastAsia="zh-TW"/>
    </w:rPr>
  </w:style>
  <w:style w:type="character" w:customStyle="1" w:styleId="12Char">
    <w:name w:val="（1）（2） Char"/>
    <w:basedOn w:val="DefaultParagraphFont"/>
    <w:link w:val="120"/>
    <w:qFormat/>
    <w:rPr>
      <w:rFonts w:ascii="宋体" w:hAnsi="宋体"/>
    </w:rPr>
  </w:style>
  <w:style w:type="paragraph" w:customStyle="1" w:styleId="120">
    <w:name w:val="（1）（2）"/>
    <w:basedOn w:val="Normal"/>
    <w:link w:val="12Char"/>
    <w:qFormat/>
    <w:pPr>
      <w:ind w:left="846" w:right="210" w:hanging="420"/>
      <w:jc w:val="both"/>
    </w:pPr>
    <w:rPr>
      <w:rFonts w:ascii="宋体" w:eastAsia="宋体" w:hAnsi="宋体"/>
      <w:sz w:val="20"/>
      <w:lang w:val="en-US" w:eastAsia="zh-CN"/>
    </w:rPr>
  </w:style>
  <w:style w:type="paragraph" w:customStyle="1" w:styleId="cc">
    <w:name w:val="cc正文"/>
    <w:basedOn w:val="Normal"/>
    <w:link w:val="ccChar"/>
    <w:qFormat/>
    <w:pPr>
      <w:ind w:firstLine="420"/>
      <w:jc w:val="both"/>
    </w:pPr>
    <w:rPr>
      <w:rFonts w:ascii="宋体" w:eastAsia="宋体" w:hAnsi="宋体"/>
      <w:sz w:val="20"/>
      <w:lang w:val="en-US" w:eastAsia="zh-CN"/>
    </w:rPr>
  </w:style>
  <w:style w:type="character" w:customStyle="1" w:styleId="ccChar">
    <w:name w:val="cc正文 Char"/>
    <w:basedOn w:val="DefaultParagraphFont"/>
    <w:link w:val="cc"/>
    <w:qFormat/>
    <w:rPr>
      <w:rFonts w:ascii="宋体" w:hAnsi="宋体"/>
    </w:rPr>
  </w:style>
  <w:style w:type="paragraph" w:customStyle="1" w:styleId="TableParagraph">
    <w:name w:val="Table Paragraph"/>
    <w:basedOn w:val="Normal"/>
    <w:uiPriority w:val="1"/>
    <w:qFormat/>
    <w:pPr>
      <w:widowControl w:val="0"/>
      <w:autoSpaceDE w:val="0"/>
      <w:autoSpaceDN w:val="0"/>
      <w:adjustRightInd w:val="0"/>
    </w:pPr>
    <w:rPr>
      <w:rFonts w:eastAsiaTheme="minorEastAsia"/>
      <w:sz w:val="24"/>
      <w:szCs w:val="24"/>
      <w:lang w:val="en-US" w:eastAsia="zh-CN"/>
    </w:rPr>
  </w:style>
  <w:style w:type="paragraph" w:customStyle="1" w:styleId="Style13">
    <w:name w:val="Style13"/>
    <w:basedOn w:val="Normal"/>
    <w:link w:val="Style13Char"/>
    <w:qFormat/>
    <w:pPr>
      <w:widowControl w:val="0"/>
      <w:spacing w:before="120" w:after="120" w:line="360" w:lineRule="auto"/>
      <w:ind w:left="565" w:leftChars="269"/>
      <w:jc w:val="both"/>
    </w:pPr>
    <w:rPr>
      <w:rFonts w:ascii="华文细黑" w:eastAsia="华文细黑" w:hAnsi="华文细黑"/>
      <w:color w:val="000000"/>
      <w:kern w:val="2"/>
      <w:sz w:val="21"/>
      <w:szCs w:val="21"/>
      <w:lang w:val="zh-CN" w:eastAsia="zh-CN"/>
    </w:rPr>
  </w:style>
  <w:style w:type="character" w:customStyle="1" w:styleId="Style13Char">
    <w:name w:val="Style13 Char"/>
    <w:link w:val="Style13"/>
    <w:qFormat/>
    <w:rPr>
      <w:rFonts w:ascii="华文细黑" w:eastAsia="华文细黑" w:hAnsi="华文细黑"/>
      <w:color w:val="000000"/>
      <w:kern w:val="2"/>
      <w:sz w:val="21"/>
      <w:szCs w:val="21"/>
      <w:lang w:val="zh-CN" w:eastAsia="zh-CN"/>
    </w:rPr>
  </w:style>
  <w:style w:type="paragraph" w:customStyle="1" w:styleId="Style14">
    <w:name w:val="Style14"/>
    <w:basedOn w:val="Normal"/>
    <w:link w:val="Style14Char"/>
    <w:qFormat/>
    <w:pPr>
      <w:widowControl w:val="0"/>
      <w:spacing w:line="360" w:lineRule="auto"/>
      <w:ind w:left="567"/>
      <w:jc w:val="both"/>
    </w:pPr>
    <w:rPr>
      <w:rFonts w:ascii="华文细黑" w:eastAsia="华文细黑" w:hAnsi="华文细黑"/>
      <w:kern w:val="2"/>
      <w:sz w:val="21"/>
      <w:szCs w:val="21"/>
      <w:lang w:val="zh-CN" w:eastAsia="zh-CN"/>
    </w:rPr>
  </w:style>
  <w:style w:type="character" w:customStyle="1" w:styleId="Style14Char">
    <w:name w:val="Style14 Char"/>
    <w:link w:val="Style14"/>
    <w:qFormat/>
    <w:rPr>
      <w:rFonts w:ascii="华文细黑" w:eastAsia="华文细黑" w:hAnsi="华文细黑"/>
      <w:kern w:val="2"/>
      <w:sz w:val="21"/>
      <w:szCs w:val="21"/>
      <w:lang w:val="zh-CN" w:eastAsia="zh-CN"/>
    </w:rPr>
  </w:style>
  <w:style w:type="paragraph" w:customStyle="1" w:styleId="Normal4">
    <w:name w:val="Normal_4"/>
    <w:qFormat/>
    <w:pPr>
      <w:widowControl w:val="0"/>
      <w:jc w:val="both"/>
    </w:pPr>
    <w:rPr>
      <w:szCs w:val="24"/>
    </w:rPr>
  </w:style>
  <w:style w:type="table" w:customStyle="1" w:styleId="23">
    <w:name w:val="网格型2"/>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_0"/>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hyperlink" Target="https://d.book118.com/307026030002006050" TargetMode="External" /><Relationship Id="rId24" Type="http://schemas.openxmlformats.org/officeDocument/2006/relationships/footer" Target="footer1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99FA8-D820-4AC6-98D8-8B6EA5991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658</TotalTime>
  <Pages>22</Pages>
  <Words>5164</Words>
  <Characters>29441</Characters>
  <Application>Microsoft Office Word</Application>
  <DocSecurity>0</DocSecurity>
  <Lines>245</Lines>
  <Paragraphs>69</Paragraphs>
  <ScaleCrop>false</ScaleCrop>
  <Company/>
  <LinksUpToDate>false</LinksUpToDate>
  <CharactersWithSpaces>34536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S国际设计中心-林娴</dc:creator>
  <cp:lastModifiedBy>windows</cp:lastModifiedBy>
  <cp:revision>43</cp:revision>
  <cp:lastPrinted>2020-05-18T01:06:00Z</cp:lastPrinted>
  <dcterms:created xsi:type="dcterms:W3CDTF">2021-03-05T07:17:00Z</dcterms:created>
  <dcterms:modified xsi:type="dcterms:W3CDTF">2024-03-06T07:43:00Z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1C54F924AC944A03B156B5AFE0F2D41B</vt:lpwstr>
  </property>
  <property fmtid="{D5CDD505-2E9C-101B-9397-08002B2CF9AE}" pid="3" name="KSOProductBuildVer">
    <vt:lpwstr>2052-11.1.0.12763</vt:lpwstr>
  </property>
</Properties>
</file>