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" w:line="188" w:lineRule="auto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67.080.10</w:t>
      </w:r>
    </w:p>
    <w:p>
      <w:pPr>
        <w:spacing w:before="131" w:line="188" w:lineRule="auto"/>
        <w:ind w:left="30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Times New Roman" w:eastAsia="Times New Roman" w:hAnsi="Times New Roman" w:cs="Times New Roman"/>
          <w:spacing w:val="-9"/>
          <w:position w:val="7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13"/>
          <w:position w:val="7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71"/>
          <w:sz w:val="21"/>
          <w:szCs w:val="21"/>
        </w:rPr>
        <w:t>31</w:t>
      </w:r>
      <w:r>
        <w:rPr>
          <w:rFonts w:ascii="Times New Roman" w:eastAsia="Times New Roman" w:hAnsi="Times New Roman" w:cs="Times New Roman"/>
          <w:position w:val="71"/>
          <w:sz w:val="21"/>
          <w:szCs w:val="21"/>
        </w:rPr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9"/>
          <w:position w:val="-1"/>
          <w:sz w:val="127"/>
          <w:szCs w:val="127"/>
        </w:rPr>
        <w:t>DB65</w:t>
      </w:r>
    </w:p>
    <w:p>
      <w:pPr>
        <w:spacing w:before="250" w:line="221" w:lineRule="auto"/>
        <w:ind w:left="3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新</w:t>
      </w:r>
      <w:r>
        <w:rPr>
          <w:rFonts w:ascii="SimHei" w:eastAsia="SimHei" w:hAnsi="SimHei" w:cs="SimHei"/>
          <w:spacing w:val="170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疆</w:t>
      </w:r>
      <w:r>
        <w:rPr>
          <w:rFonts w:ascii="SimHei" w:eastAsia="SimHei" w:hAnsi="SimHei" w:cs="SimHei"/>
          <w:spacing w:val="140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维</w:t>
      </w:r>
      <w:r>
        <w:rPr>
          <w:rFonts w:ascii="SimHei" w:eastAsia="SimHei" w:hAnsi="SimHei" w:cs="SimHei"/>
          <w:spacing w:val="20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吾</w:t>
      </w:r>
      <w:r>
        <w:rPr>
          <w:rFonts w:ascii="SimHei" w:eastAsia="SimHei" w:hAnsi="SimHei" w:cs="SimHei"/>
          <w:spacing w:val="126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尔</w:t>
      </w:r>
      <w:r>
        <w:rPr>
          <w:rFonts w:ascii="SimHei" w:eastAsia="SimHei" w:hAnsi="SimHei" w:cs="SimHei"/>
          <w:spacing w:val="177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自</w:t>
      </w:r>
      <w:r>
        <w:rPr>
          <w:rFonts w:ascii="SimHei" w:eastAsia="SimHei" w:hAnsi="SimHei" w:cs="SimHei"/>
          <w:spacing w:val="182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治</w:t>
      </w:r>
      <w:r>
        <w:rPr>
          <w:rFonts w:ascii="SimHei" w:eastAsia="SimHei" w:hAnsi="SimHei" w:cs="SimHei"/>
          <w:spacing w:val="179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区</w:t>
      </w:r>
      <w:r>
        <w:rPr>
          <w:rFonts w:ascii="SimHei" w:eastAsia="SimHei" w:hAnsi="SimHei" w:cs="SimHei"/>
          <w:spacing w:val="141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地</w:t>
      </w:r>
      <w:r>
        <w:rPr>
          <w:rFonts w:ascii="SimHei" w:eastAsia="SimHei" w:hAnsi="SimHei" w:cs="SimHei"/>
          <w:spacing w:val="16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方</w:t>
      </w:r>
      <w:r>
        <w:rPr>
          <w:rFonts w:ascii="SimHei" w:eastAsia="SimHei" w:hAnsi="SimHei" w:cs="SimHei"/>
          <w:spacing w:val="146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标</w:t>
      </w:r>
      <w:r>
        <w:rPr>
          <w:rFonts w:ascii="SimHei" w:eastAsia="SimHei" w:hAnsi="SimHei" w:cs="SimHei"/>
          <w:spacing w:val="15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7"/>
          <w:szCs w:val="47"/>
        </w:rPr>
        <w:t>准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81" w:line="192" w:lineRule="auto"/>
        <w:ind w:right="313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DB65/T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4248—2019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spacing w:line="20" w:lineRule="exact"/>
        <w:textAlignment w:val="center"/>
      </w:pPr>
      <w:r>
        <w:drawing>
          <wp:inline distT="0" distB="0" distL="0" distR="0">
            <wp:extent cx="6115093" cy="12722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5093" cy="12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53" w:line="221" w:lineRule="auto"/>
        <w:ind w:left="120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35"/>
          <w:sz w:val="47"/>
          <w:szCs w:val="47"/>
        </w:rPr>
        <w:t>无核白葡萄冷链物流技术规程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81" w:line="192" w:lineRule="auto"/>
        <w:ind w:left="25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Technical</w:t>
      </w:r>
      <w:r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specification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code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chain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logistics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fres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Thompson</w:t>
      </w:r>
      <w:r>
        <w:rPr>
          <w:rFonts w:ascii="Times New Roman" w:eastAsia="Times New Roman" w:hAnsi="Times New Roman" w:cs="Times New Roman"/>
          <w:spacing w:val="17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Seedless</w:t>
      </w:r>
    </w:p>
    <w:p/>
    <w:p/>
    <w:p/>
    <w:p/>
    <w:p/>
    <w:p/>
    <w:p/>
    <w:p/>
    <w:p/>
    <w:p/>
    <w:p/>
    <w:p/>
    <w:p/>
    <w:p/>
    <w:p/>
    <w:p/>
    <w:p>
      <w:pPr>
        <w:sectPr>
          <w:pgSz w:w="12120" w:h="16980"/>
          <w:pgMar w:top="553" w:right="1133" w:bottom="0" w:left="1339" w:header="0" w:footer="0" w:gutter="0"/>
          <w:cols w:num="1" w:space="708" w:equalWidth="0">
            <w:col w:w="9647" w:space="0"/>
          </w:cols>
        </w:sectPr>
      </w:pPr>
    </w:p>
    <w:p/>
    <w:p/>
    <w:p/>
    <w:p/>
    <w:p/>
    <w:p/>
    <w:p/>
    <w:p/>
    <w:p/>
    <w:p>
      <w:pPr>
        <w:spacing w:line="150" w:lineRule="exact"/>
      </w:pPr>
    </w:p>
    <w:p>
      <w:pPr>
        <w:sectPr>
          <w:type w:val="nextPage"/>
          <w:pgSz w:w="12120" w:h="16980"/>
          <w:pgMar w:top="553" w:right="1133" w:bottom="0" w:left="1339" w:header="0" w:footer="0" w:gutter="0"/>
          <w:pgNumType w:start="2"/>
          <w:cols w:num="1" w:space="708" w:equalWidth="0">
            <w:col w:w="9647" w:space="0"/>
          </w:cols>
          <w:titlePg w:val="0"/>
        </w:sectPr>
      </w:pPr>
    </w:p>
    <w:p>
      <w:pPr>
        <w:spacing w:before="57" w:line="188" w:lineRule="auto"/>
        <w:ind w:left="163"/>
        <w:rPr>
          <w:rFonts w:ascii="SimHei" w:eastAsia="SimHei" w:hAnsi="SimHei" w:cs="SimHei"/>
          <w:sz w:val="28"/>
          <w:szCs w:val="2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98620</wp:posOffset>
            </wp:positionH>
            <wp:positionV relativeFrom="paragraph">
              <wp:posOffset>204943</wp:posOffset>
            </wp:positionV>
            <wp:extent cx="5996887" cy="960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6887" cy="9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2"/>
          <w:sz w:val="28"/>
          <w:szCs w:val="28"/>
        </w:rPr>
        <w:t>2020-06-01发布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187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2</w:t>
      </w:r>
      <w:r>
        <w:rPr>
          <w:rFonts w:ascii="SimHei" w:eastAsia="SimHei" w:hAnsi="SimHei" w:cs="SimHei"/>
          <w:spacing w:val="-3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0</w:t>
      </w:r>
      <w:r>
        <w:rPr>
          <w:rFonts w:ascii="SimHei" w:eastAsia="SimHei" w:hAnsi="SimHei" w:cs="SimHei"/>
          <w:spacing w:val="-3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2</w:t>
      </w:r>
      <w:r>
        <w:rPr>
          <w:rFonts w:ascii="SimHei" w:eastAsia="SimHei" w:hAnsi="SimHei" w:cs="SimHei"/>
          <w:spacing w:val="-3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0</w:t>
      </w:r>
      <w:r>
        <w:rPr>
          <w:rFonts w:ascii="SimHei" w:eastAsia="SimHei" w:hAnsi="SimHei" w:cs="SimHei"/>
          <w:spacing w:val="-4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-</w:t>
      </w:r>
      <w:r>
        <w:rPr>
          <w:rFonts w:ascii="SimHei" w:eastAsia="SimHei" w:hAnsi="SimHei" w:cs="SimHei"/>
          <w:spacing w:val="-3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0</w:t>
      </w:r>
      <w:r>
        <w:rPr>
          <w:rFonts w:ascii="SimHei" w:eastAsia="SimHei" w:hAnsi="SimHei" w:cs="SimHei"/>
          <w:spacing w:val="-3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7</w:t>
      </w:r>
      <w:r>
        <w:rPr>
          <w:rFonts w:ascii="SimHei" w:eastAsia="SimHei" w:hAnsi="SimHei" w:cs="SimHei"/>
          <w:spacing w:val="-4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-</w:t>
      </w:r>
      <w:r>
        <w:rPr>
          <w:rFonts w:ascii="SimHei" w:eastAsia="SimHei" w:hAnsi="SimHei" w:cs="SimHei"/>
          <w:spacing w:val="-3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0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1</w:t>
      </w:r>
      <w:r>
        <w:rPr>
          <w:rFonts w:ascii="SimHei" w:eastAsia="SimHei" w:hAnsi="SimHei" w:cs="SimHei"/>
          <w:spacing w:val="-2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实</w:t>
      </w:r>
      <w:r>
        <w:rPr>
          <w:rFonts w:ascii="SimHei" w:eastAsia="SimHei" w:hAnsi="SimHei" w:cs="SimHei"/>
          <w:spacing w:val="-3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施</w:t>
      </w:r>
    </w:p>
    <w:p>
      <w:pPr>
        <w:sectPr>
          <w:type w:val="continuous"/>
          <w:pgSz w:w="12120" w:h="16980"/>
          <w:pgMar w:top="553" w:right="1133" w:bottom="0" w:left="1339" w:header="0" w:footer="0" w:gutter="0"/>
          <w:pgNumType w:start="3"/>
          <w:cols w:num="2" w:space="708" w:equalWidth="0">
            <w:col w:w="6522" w:space="100"/>
            <w:col w:w="3026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2" w:line="187" w:lineRule="auto"/>
        <w:ind w:left="7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新</w:t>
      </w:r>
      <w:r>
        <w:rPr>
          <w:rFonts w:ascii="SimHei" w:eastAsia="SimHei" w:hAnsi="SimHei" w:cs="SimHei"/>
          <w:spacing w:val="13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疆</w:t>
      </w:r>
      <w:r>
        <w:rPr>
          <w:rFonts w:ascii="SimHei" w:eastAsia="SimHei" w:hAnsi="SimHei" w:cs="SimHei"/>
          <w:spacing w:val="12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维</w:t>
      </w:r>
      <w:r>
        <w:rPr>
          <w:rFonts w:ascii="SimHei" w:eastAsia="SimHei" w:hAnsi="SimHei" w:cs="SimHei"/>
          <w:spacing w:val="24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吾</w:t>
      </w:r>
      <w:r>
        <w:rPr>
          <w:rFonts w:ascii="SimHei" w:eastAsia="SimHei" w:hAnsi="SimHei" w:cs="SimHei"/>
          <w:spacing w:val="1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尔</w:t>
      </w:r>
      <w:r>
        <w:rPr>
          <w:rFonts w:ascii="SimHei" w:eastAsia="SimHei" w:hAnsi="SimHei" w:cs="SimHei"/>
          <w:spacing w:val="4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自</w:t>
      </w:r>
      <w:r>
        <w:rPr>
          <w:rFonts w:ascii="SimHei" w:eastAsia="SimHei" w:hAnsi="SimHei" w:cs="SimHei"/>
          <w:spacing w:val="1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治</w:t>
      </w:r>
      <w:r>
        <w:rPr>
          <w:rFonts w:ascii="SimHei" w:eastAsia="SimHei" w:hAnsi="SimHei" w:cs="SimHei"/>
          <w:spacing w:val="3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区</w:t>
      </w:r>
      <w:r>
        <w:rPr>
          <w:rFonts w:ascii="SimHei" w:eastAsia="SimHei" w:hAnsi="SimHei" w:cs="SimHei"/>
          <w:spacing w:val="1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市</w:t>
      </w:r>
      <w:r>
        <w:rPr>
          <w:rFonts w:ascii="SimHei" w:eastAsia="SimHei" w:hAnsi="SimHei" w:cs="SimHei"/>
          <w:spacing w:val="12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场</w:t>
      </w:r>
      <w:r>
        <w:rPr>
          <w:rFonts w:ascii="SimHei" w:eastAsia="SimHei" w:hAnsi="SimHei" w:cs="SimHei"/>
          <w:spacing w:val="13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监</w:t>
      </w:r>
      <w:r>
        <w:rPr>
          <w:rFonts w:ascii="SimHei" w:eastAsia="SimHei" w:hAnsi="SimHei" w:cs="SimHei"/>
          <w:spacing w:val="17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督</w:t>
      </w:r>
      <w:r>
        <w:rPr>
          <w:rFonts w:ascii="SimHei" w:eastAsia="SimHei" w:hAnsi="SimHei" w:cs="SimHei"/>
          <w:spacing w:val="17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管</w:t>
      </w:r>
      <w:r>
        <w:rPr>
          <w:rFonts w:ascii="SimHei" w:eastAsia="SimHei" w:hAnsi="SimHei" w:cs="SimHei"/>
          <w:spacing w:val="13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理</w:t>
      </w:r>
      <w:r>
        <w:rPr>
          <w:rFonts w:ascii="SimHei" w:eastAsia="SimHei" w:hAnsi="SimHei" w:cs="SimHei"/>
          <w:spacing w:val="14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8"/>
          <w:szCs w:val="28"/>
        </w:rPr>
        <w:t>局</w:t>
      </w:r>
      <w:r>
        <w:rPr>
          <w:rFonts w:ascii="SimHei" w:eastAsia="SimHei" w:hAnsi="SimHei" w:cs="SimHei"/>
          <w:spacing w:val="24"/>
          <w:sz w:val="28"/>
          <w:szCs w:val="28"/>
        </w:rPr>
        <w:t xml:space="preserve">    </w:t>
      </w:r>
      <w:r>
        <w:rPr>
          <w:rFonts w:ascii="SimHei" w:eastAsia="SimHei" w:hAnsi="SimHei" w:cs="SimHei"/>
          <w:spacing w:val="-17"/>
          <w:sz w:val="28"/>
          <w:szCs w:val="28"/>
        </w:rPr>
        <w:t>发</w:t>
      </w:r>
      <w:r>
        <w:rPr>
          <w:rFonts w:ascii="SimHei" w:eastAsia="SimHei" w:hAnsi="SimHei" w:cs="SimHei"/>
          <w:spacing w:val="49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7"/>
          <w:sz w:val="28"/>
          <w:szCs w:val="28"/>
        </w:rPr>
        <w:t>布</w:t>
      </w:r>
    </w:p>
    <w:p>
      <w:pPr>
        <w:sectPr>
          <w:type w:val="continuous"/>
          <w:pgSz w:w="12120" w:h="16980"/>
          <w:pgMar w:top="553" w:right="1133" w:bottom="0" w:left="1339" w:header="0" w:footer="0" w:gutter="0"/>
          <w:pgNumType w:start="4"/>
          <w:cols w:num="1" w:space="708" w:equalWidth="0">
            <w:col w:w="9647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pgSz w:w="11910" w:h="16840"/>
          <w:pgMar w:top="0" w:right="0" w:bottom="0" w:left="0" w:header="0" w:footer="0" w:gutter="0"/>
          <w:pgNumType w:start="5"/>
          <w:cols w:space="708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58" w:line="188" w:lineRule="auto"/>
        <w:ind w:right="42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4248—2019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11" w:line="222" w:lineRule="auto"/>
        <w:ind w:left="401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前</w:t>
      </w:r>
      <w:r>
        <w:rPr>
          <w:rFonts w:ascii="SimHei" w:eastAsia="SimHei" w:hAnsi="SimHei" w:cs="SimHei"/>
          <w:spacing w:val="14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言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65" w:line="219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本标准依据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9"/>
          <w:sz w:val="20"/>
          <w:szCs w:val="20"/>
        </w:rPr>
        <w:t>/T1.1-2009</w:t>
      </w:r>
      <w:r>
        <w:rPr>
          <w:rFonts w:ascii="SimSun" w:eastAsia="SimSun" w:hAnsi="SimSun" w:cs="SimSun"/>
          <w:spacing w:val="10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《标准化工作导则第1部分：标准的结构和编写》的要求编写。</w:t>
      </w:r>
    </w:p>
    <w:p>
      <w:pPr>
        <w:spacing w:before="72" w:line="219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本标准由新疆农业科学院提出并组织实施。</w:t>
      </w:r>
    </w:p>
    <w:p>
      <w:pPr>
        <w:spacing w:before="73" w:line="219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本标准由新疆维吾尔自治区林业和草原局归口。</w:t>
      </w:r>
    </w:p>
    <w:p>
      <w:pPr>
        <w:spacing w:before="72" w:line="219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本标准起草单位：新疆农业科学院、新疆维吾尔自治区标准化研究院。</w:t>
      </w:r>
    </w:p>
    <w:p>
      <w:pPr>
        <w:spacing w:before="74" w:line="253" w:lineRule="auto"/>
        <w:ind w:firstLine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本标准主要起草人：赵晓梅、吴玉鹏、李瑜、古丽尼帕尔、樊国全</w:t>
      </w:r>
      <w:r>
        <w:rPr>
          <w:rFonts w:ascii="SimSun" w:eastAsia="SimSun" w:hAnsi="SimSun" w:cs="SimSun"/>
          <w:spacing w:val="7"/>
          <w:sz w:val="20"/>
          <w:szCs w:val="20"/>
        </w:rPr>
        <w:t>、马平、樊丁宇、朱敏、王卉、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山其米克、赵志霞、哈丽旦、叶凯。</w:t>
      </w:r>
    </w:p>
    <w:p>
      <w:pPr>
        <w:spacing w:before="91" w:line="219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本标准实施应用中的疑问，请咨询新疆农业科学院。</w:t>
      </w:r>
    </w:p>
    <w:p>
      <w:pPr>
        <w:spacing w:before="73" w:line="219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对本标准的修改意见建议，请反馈至新疆农业科学院(乌鲁木齐市</w:t>
      </w:r>
      <w:r>
        <w:rPr>
          <w:rFonts w:ascii="SimSun" w:eastAsia="SimSun" w:hAnsi="SimSun" w:cs="SimSun"/>
          <w:spacing w:val="15"/>
          <w:sz w:val="20"/>
          <w:szCs w:val="20"/>
        </w:rPr>
        <w:t>南昌路403号)。</w:t>
      </w:r>
    </w:p>
    <w:p>
      <w:pPr>
        <w:spacing w:before="72" w:line="219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新疆农业科学院</w:t>
      </w:r>
      <w:r>
        <w:rPr>
          <w:rFonts w:ascii="SimSun" w:eastAsia="SimSun" w:hAnsi="SimSun" w:cs="SimSun"/>
          <w:spacing w:val="9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联系电话：0991-4537569;传真：0991</w:t>
      </w:r>
      <w:r>
        <w:rPr>
          <w:rFonts w:ascii="SimSun" w:eastAsia="SimSun" w:hAnsi="SimSun" w:cs="SimSun"/>
          <w:spacing w:val="8"/>
          <w:sz w:val="20"/>
          <w:szCs w:val="20"/>
        </w:rPr>
        <w:t>-4500394;邮编：830091</w:t>
      </w:r>
    </w:p>
    <w:p>
      <w:pPr>
        <w:sectPr>
          <w:headerReference w:type="default" r:id="rId8"/>
          <w:footerReference w:type="default" r:id="rId9"/>
          <w:pgSz w:w="11910" w:h="16840"/>
          <w:pgMar w:top="400" w:right="1189" w:bottom="400" w:left="1410" w:header="0" w:footer="0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10"/>
          <w:footerReference w:type="default" r:id="rId11"/>
          <w:pgSz w:w="11910" w:h="16840"/>
          <w:pgMar w:top="0" w:right="0" w:bottom="0" w:left="0" w:header="0" w:footer="0" w:gutter="0"/>
          <w:pgNumType w:start="7"/>
          <w:cols w:space="708"/>
        </w:sectPr>
      </w:pPr>
    </w:p>
    <w:p>
      <w:pPr>
        <w:spacing w:line="410" w:lineRule="auto"/>
        <w:rPr>
          <w:rFonts w:ascii="Arial"/>
          <w:sz w:val="21"/>
        </w:rPr>
      </w:pPr>
    </w:p>
    <w:p>
      <w:pPr>
        <w:spacing w:before="60" w:line="188" w:lineRule="auto"/>
        <w:ind w:right="75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DB65/T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4248—2019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0" w:line="221" w:lineRule="auto"/>
        <w:ind w:left="271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z w:val="31"/>
          <w:szCs w:val="31"/>
        </w:rPr>
        <w:t>无核白葡萄冷链物流技术规程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9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9"/>
          <w:sz w:val="21"/>
          <w:szCs w:val="21"/>
        </w:rPr>
        <w:t>1</w:t>
      </w:r>
      <w:r>
        <w:rPr>
          <w:rFonts w:ascii="SimHei" w:eastAsia="SimHei" w:hAnsi="SimHei" w:cs="SimHei"/>
          <w:spacing w:val="10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9"/>
          <w:sz w:val="21"/>
          <w:szCs w:val="21"/>
        </w:rPr>
        <w:t>范围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69" w:line="251" w:lineRule="auto"/>
        <w:ind w:left="95" w:right="216" w:firstLine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本标准规定了无核白葡萄采前管理、冷链物流流程、果实采收、预冷、冷藏、温控运输及销售终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端的技术要求。</w:t>
      </w:r>
    </w:p>
    <w:p>
      <w:pPr>
        <w:spacing w:before="58" w:line="247" w:lineRule="auto"/>
        <w:ind w:left="95" w:right="105" w:firstLine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本标准适用于吐鲁番市西北(东经88°57'～89°10',北纬42°56'～43°72')无核白葡萄鲜果的冷</w:t>
      </w:r>
      <w:r>
        <w:rPr>
          <w:rFonts w:ascii="SimSun" w:eastAsia="SimSun" w:hAnsi="SimSun" w:cs="SimSun"/>
          <w:spacing w:val="-6"/>
          <w:sz w:val="21"/>
          <w:szCs w:val="21"/>
        </w:rPr>
        <w:t>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物流操作。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9" w:line="222" w:lineRule="auto"/>
        <w:ind w:left="9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2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术语和定义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19" w:lineRule="auto"/>
        <w:ind w:left="59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下列术语和定义适用于本文件。</w:t>
      </w:r>
    </w:p>
    <w:p>
      <w:pPr>
        <w:spacing w:before="255" w:line="184" w:lineRule="auto"/>
        <w:ind w:left="9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2.1</w:t>
      </w:r>
    </w:p>
    <w:p>
      <w:pPr>
        <w:spacing w:before="225" w:line="220" w:lineRule="auto"/>
        <w:ind w:left="5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3"/>
          <w:sz w:val="21"/>
          <w:szCs w:val="21"/>
        </w:rPr>
        <w:t>缺陷果</w:t>
      </w:r>
      <w:r>
        <w:rPr>
          <w:rFonts w:ascii="SimSun" w:eastAsia="SimSun" w:hAnsi="SimSun" w:cs="SimSun"/>
          <w:spacing w:val="95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21"/>
          <w:szCs w:val="21"/>
        </w:rPr>
        <w:t>defect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21"/>
          <w:szCs w:val="21"/>
        </w:rPr>
        <w:t>fruit</w:t>
      </w:r>
    </w:p>
    <w:p>
      <w:pPr>
        <w:spacing w:before="232" w:line="495" w:lineRule="exact"/>
        <w:ind w:left="5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1"/>
          <w:sz w:val="21"/>
          <w:szCs w:val="21"/>
        </w:rPr>
        <w:t>发育不完全的畸形果实。</w:t>
      </w:r>
    </w:p>
    <w:p>
      <w:pPr>
        <w:spacing w:line="183" w:lineRule="auto"/>
        <w:ind w:left="9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2.2</w:t>
      </w:r>
    </w:p>
    <w:p>
      <w:pPr>
        <w:spacing w:before="229" w:line="218" w:lineRule="auto"/>
        <w:ind w:left="5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采收成熟度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harvest</w:t>
      </w:r>
      <w:r>
        <w:rPr>
          <w:rFonts w:ascii="SimHei" w:eastAsia="SimHei" w:hAnsi="SimHei" w:cs="SimHei"/>
          <w:spacing w:val="-1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maturity</w:t>
      </w:r>
    </w:p>
    <w:p>
      <w:pPr>
        <w:spacing w:before="219" w:line="250" w:lineRule="auto"/>
        <w:ind w:left="95" w:right="86" w:firstLine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根据果实采后的用途，采后运输距离的远近、</w:t>
      </w:r>
      <w:r>
        <w:rPr>
          <w:rFonts w:ascii="SimSun" w:eastAsia="SimSun" w:hAnsi="SimSun" w:cs="SimSun"/>
          <w:spacing w:val="-4"/>
          <w:sz w:val="21"/>
          <w:szCs w:val="21"/>
        </w:rPr>
        <w:t>贮藏和销售时间的长短以及产品的生理特点来确定其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最佳的采收期。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69" w:line="222" w:lineRule="auto"/>
        <w:ind w:left="9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3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采前管理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68" w:line="219" w:lineRule="auto"/>
        <w:ind w:left="9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3.1</w:t>
      </w:r>
      <w:r>
        <w:rPr>
          <w:rFonts w:ascii="SimSun" w:eastAsia="SimSun" w:hAnsi="SimSun" w:cs="SimSun"/>
          <w:spacing w:val="10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产地环境</w:t>
      </w:r>
    </w:p>
    <w:p>
      <w:pPr>
        <w:spacing w:before="222" w:line="245" w:lineRule="auto"/>
        <w:ind w:left="95" w:right="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3.1.1</w:t>
      </w:r>
      <w:r>
        <w:rPr>
          <w:rFonts w:ascii="SimSun" w:eastAsia="SimSun" w:hAnsi="SimSun" w:cs="SimSun"/>
          <w:spacing w:val="109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灌溉水质量应符合表1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的要求。同时可根据当地无公害农产品种植业产地环境的特点和灌溉水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的来源特性，依据表2选择相应的补充检测项目。</w:t>
      </w:r>
    </w:p>
    <w:p>
      <w:pPr>
        <w:spacing w:before="227" w:line="221" w:lineRule="auto"/>
        <w:ind w:left="375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表1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灌溉水基本指标</w:t>
      </w:r>
    </w:p>
    <w:tbl>
      <w:tblPr>
        <w:tblStyle w:val="TableNormal0"/>
        <w:tblW w:w="9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53"/>
        <w:gridCol w:w="7127"/>
      </w:tblGrid>
      <w:tr>
        <w:tblPrEx>
          <w:tblW w:w="9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2353" w:type="dxa"/>
            <w:tcBorders>
              <w:bottom w:val="nil"/>
            </w:tcBorders>
            <w:vAlign w:val="top"/>
          </w:tcPr>
          <w:p>
            <w:pPr>
              <w:spacing w:before="242" w:line="220" w:lineRule="auto"/>
              <w:ind w:left="9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项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目</w:t>
            </w:r>
          </w:p>
        </w:tc>
        <w:tc>
          <w:tcPr>
            <w:tcW w:w="7127" w:type="dxa"/>
            <w:vAlign w:val="top"/>
          </w:tcPr>
          <w:p>
            <w:pPr>
              <w:spacing w:before="72" w:line="220" w:lineRule="auto"/>
              <w:ind w:left="33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指标</w:t>
            </w:r>
          </w:p>
        </w:tc>
      </w:tr>
    </w:tbl>
    <w:p>
      <w:pPr>
        <w:sectPr>
          <w:headerReference w:type="default" r:id="rId12"/>
          <w:footerReference w:type="default" r:id="rId13"/>
          <w:pgSz w:w="11910" w:h="16840"/>
          <w:pgMar w:top="400" w:right="1465" w:bottom="1131" w:left="954" w:header="0" w:footer="1002" w:gutter="0"/>
          <w:pgNumType w:start="8"/>
          <w:cols w:space="708"/>
        </w:sectPr>
      </w:pPr>
    </w:p>
    <w:tbl>
      <w:tblPr>
        <w:tblStyle w:val="TableNormal1"/>
        <w:tblW w:w="9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53"/>
        <w:gridCol w:w="2377"/>
        <w:gridCol w:w="2377"/>
        <w:gridCol w:w="2373"/>
      </w:tblGrid>
      <w:tr>
        <w:tblPrEx>
          <w:tblW w:w="9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8"/>
        </w:trPr>
        <w:tc>
          <w:tcPr>
            <w:tcW w:w="235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Align w:val="top"/>
          </w:tcPr>
          <w:p>
            <w:pPr>
              <w:spacing w:before="68" w:line="219" w:lineRule="auto"/>
              <w:ind w:left="10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水田</w:t>
            </w:r>
          </w:p>
        </w:tc>
        <w:tc>
          <w:tcPr>
            <w:tcW w:w="2377" w:type="dxa"/>
            <w:vAlign w:val="top"/>
          </w:tcPr>
          <w:p>
            <w:pPr>
              <w:spacing w:before="69" w:line="221" w:lineRule="auto"/>
              <w:ind w:left="10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旱地</w:t>
            </w:r>
          </w:p>
        </w:tc>
        <w:tc>
          <w:tcPr>
            <w:tcW w:w="2373" w:type="dxa"/>
            <w:vAlign w:val="top"/>
          </w:tcPr>
          <w:p>
            <w:pPr>
              <w:spacing w:before="68" w:line="219" w:lineRule="auto"/>
              <w:ind w:left="9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菜地</w:t>
            </w:r>
          </w:p>
        </w:tc>
      </w:tr>
      <w:tr>
        <w:tblPrEx>
          <w:tblW w:w="9480" w:type="dxa"/>
          <w:tblInd w:w="5" w:type="dxa"/>
          <w:tblLayout w:type="fixed"/>
        </w:tblPrEx>
        <w:trPr>
          <w:trHeight w:val="309"/>
        </w:trPr>
        <w:tc>
          <w:tcPr>
            <w:tcW w:w="2353" w:type="dxa"/>
            <w:vAlign w:val="top"/>
          </w:tcPr>
          <w:p>
            <w:pPr>
              <w:spacing w:before="94" w:line="182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pH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spacing w:before="116" w:line="183" w:lineRule="auto"/>
              <w:ind w:left="31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5.5～8.5</w:t>
            </w:r>
          </w:p>
        </w:tc>
      </w:tr>
      <w:tr>
        <w:tblPrEx>
          <w:tblW w:w="9480" w:type="dxa"/>
          <w:tblInd w:w="5" w:type="dxa"/>
          <w:tblLayout w:type="fixed"/>
        </w:tblPrEx>
        <w:trPr>
          <w:trHeight w:val="319"/>
        </w:trPr>
        <w:tc>
          <w:tcPr>
            <w:tcW w:w="2353" w:type="dxa"/>
            <w:vAlign w:val="top"/>
          </w:tcPr>
          <w:p>
            <w:pPr>
              <w:spacing w:before="65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总录，mg/L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spacing w:before="87" w:line="236" w:lineRule="auto"/>
              <w:ind w:left="3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≤0.001</w:t>
            </w:r>
          </w:p>
        </w:tc>
      </w:tr>
      <w:tr>
        <w:tblPrEx>
          <w:tblW w:w="9480" w:type="dxa"/>
          <w:tblInd w:w="5" w:type="dxa"/>
          <w:tblLayout w:type="fixed"/>
        </w:tblPrEx>
        <w:trPr>
          <w:trHeight w:val="319"/>
        </w:trPr>
        <w:tc>
          <w:tcPr>
            <w:tcW w:w="2353" w:type="dxa"/>
            <w:vAlign w:val="top"/>
          </w:tcPr>
          <w:p>
            <w:pPr>
              <w:spacing w:before="66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总镉，mg/L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spacing w:before="88" w:line="236" w:lineRule="auto"/>
              <w:ind w:left="32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≤0.01</w:t>
            </w:r>
          </w:p>
        </w:tc>
      </w:tr>
      <w:tr>
        <w:tblPrEx>
          <w:tblW w:w="9480" w:type="dxa"/>
          <w:tblInd w:w="5" w:type="dxa"/>
          <w:tblLayout w:type="fixed"/>
        </w:tblPrEx>
        <w:trPr>
          <w:trHeight w:val="309"/>
        </w:trPr>
        <w:tc>
          <w:tcPr>
            <w:tcW w:w="2353" w:type="dxa"/>
            <w:vAlign w:val="top"/>
          </w:tcPr>
          <w:p>
            <w:pPr>
              <w:spacing w:before="67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总砷，mg/L</w:t>
            </w:r>
          </w:p>
        </w:tc>
        <w:tc>
          <w:tcPr>
            <w:tcW w:w="2377" w:type="dxa"/>
            <w:vAlign w:val="top"/>
          </w:tcPr>
          <w:p>
            <w:pPr>
              <w:spacing w:before="89" w:line="225" w:lineRule="auto"/>
              <w:ind w:left="9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≤0.05</w:t>
            </w:r>
          </w:p>
        </w:tc>
        <w:tc>
          <w:tcPr>
            <w:tcW w:w="2377" w:type="dxa"/>
            <w:vAlign w:val="top"/>
          </w:tcPr>
          <w:p>
            <w:pPr>
              <w:spacing w:before="89" w:line="225" w:lineRule="auto"/>
              <w:ind w:left="9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≤0.1</w:t>
            </w:r>
          </w:p>
        </w:tc>
        <w:tc>
          <w:tcPr>
            <w:tcW w:w="2373" w:type="dxa"/>
            <w:vAlign w:val="top"/>
          </w:tcPr>
          <w:p>
            <w:pPr>
              <w:spacing w:before="89" w:line="225" w:lineRule="auto"/>
              <w:ind w:left="9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≤0.05</w:t>
            </w:r>
          </w:p>
        </w:tc>
      </w:tr>
      <w:tr>
        <w:tblPrEx>
          <w:tblW w:w="9480" w:type="dxa"/>
          <w:tblInd w:w="5" w:type="dxa"/>
          <w:tblLayout w:type="fixed"/>
        </w:tblPrEx>
        <w:trPr>
          <w:trHeight w:val="319"/>
        </w:trPr>
        <w:tc>
          <w:tcPr>
            <w:tcW w:w="2353" w:type="dxa"/>
            <w:vAlign w:val="top"/>
          </w:tcPr>
          <w:p>
            <w:pPr>
              <w:spacing w:before="68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总铅，mg/L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spacing w:before="89" w:line="235" w:lineRule="auto"/>
              <w:ind w:left="33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≤0.2</w:t>
            </w:r>
          </w:p>
        </w:tc>
      </w:tr>
      <w:tr>
        <w:tblPrEx>
          <w:tblW w:w="9480" w:type="dxa"/>
          <w:tblInd w:w="5" w:type="dxa"/>
          <w:tblLayout w:type="fixed"/>
        </w:tblPrEx>
        <w:trPr>
          <w:trHeight w:val="309"/>
        </w:trPr>
        <w:tc>
          <w:tcPr>
            <w:tcW w:w="2353" w:type="dxa"/>
            <w:vAlign w:val="top"/>
          </w:tcPr>
          <w:p>
            <w:pPr>
              <w:spacing w:before="69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铬(六价),mg/L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spacing w:before="91" w:line="223" w:lineRule="auto"/>
              <w:ind w:left="33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≤0.1</w:t>
            </w:r>
          </w:p>
        </w:tc>
      </w:tr>
      <w:tr>
        <w:tblPrEx>
          <w:tblW w:w="9480" w:type="dxa"/>
          <w:tblInd w:w="5" w:type="dxa"/>
          <w:tblLayout w:type="fixed"/>
        </w:tblPrEx>
        <w:trPr>
          <w:trHeight w:val="343"/>
        </w:trPr>
        <w:tc>
          <w:tcPr>
            <w:tcW w:w="9480" w:type="dxa"/>
            <w:gridSpan w:val="4"/>
            <w:vAlign w:val="top"/>
          </w:tcPr>
          <w:p>
            <w:pPr>
              <w:spacing w:before="85" w:line="219" w:lineRule="auto"/>
              <w:ind w:left="4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注：对实行水旱轮作、菜粮套种或果粮套种等种植方式的农地，执行其中较低标准值的一项作物的标准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值。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4"/>
          <w:footerReference w:type="default" r:id="rId15"/>
          <w:type w:val="nextPage"/>
          <w:pgSz w:w="11910" w:h="16840"/>
          <w:pgMar w:top="400" w:right="1465" w:bottom="1131" w:left="954" w:header="0" w:footer="1002" w:gutter="0"/>
          <w:pgNumType w:start="9"/>
          <w:cols w:space="708"/>
          <w:titlePg w:val="0"/>
        </w:sectPr>
      </w:pPr>
    </w:p>
    <w:p>
      <w:pPr>
        <w:spacing w:line="439" w:lineRule="auto"/>
        <w:rPr>
          <w:rFonts w:ascii="Arial"/>
          <w:sz w:val="21"/>
        </w:rPr>
      </w:pPr>
    </w:p>
    <w:p>
      <w:pPr>
        <w:spacing w:before="52" w:line="188" w:lineRule="auto"/>
        <w:ind w:left="15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4248—2019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68" w:line="221" w:lineRule="auto"/>
        <w:ind w:left="37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表2</w:t>
      </w:r>
      <w:r>
        <w:rPr>
          <w:rFonts w:ascii="SimHei" w:eastAsia="SimHei" w:hAnsi="SimHei" w:cs="SimHei"/>
          <w:spacing w:val="9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灌溉水选择性指标</w:t>
      </w:r>
    </w:p>
    <w:p>
      <w:pPr>
        <w:spacing w:line="169" w:lineRule="exact"/>
      </w:pPr>
    </w:p>
    <w:tbl>
      <w:tblPr>
        <w:tblStyle w:val="TableNormal2"/>
        <w:tblW w:w="9550" w:type="dxa"/>
        <w:tblInd w:w="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73"/>
        <w:gridCol w:w="2397"/>
        <w:gridCol w:w="2388"/>
        <w:gridCol w:w="2392"/>
      </w:tblGrid>
      <w:tr>
        <w:tblPrEx>
          <w:tblW w:w="9550" w:type="dxa"/>
          <w:tblInd w:w="4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2373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220" w:lineRule="auto"/>
              <w:ind w:left="9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项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目</w:t>
            </w:r>
          </w:p>
        </w:tc>
        <w:tc>
          <w:tcPr>
            <w:tcW w:w="7177" w:type="dxa"/>
            <w:gridSpan w:val="3"/>
            <w:vAlign w:val="top"/>
          </w:tcPr>
          <w:p>
            <w:pPr>
              <w:spacing w:before="72" w:line="220" w:lineRule="auto"/>
              <w:ind w:left="34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指标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309"/>
        </w:trPr>
        <w:tc>
          <w:tcPr>
            <w:tcW w:w="23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7" w:type="dxa"/>
            <w:vAlign w:val="top"/>
          </w:tcPr>
          <w:p>
            <w:pPr>
              <w:spacing w:before="68" w:line="219" w:lineRule="auto"/>
              <w:ind w:left="10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水田</w:t>
            </w:r>
          </w:p>
        </w:tc>
        <w:tc>
          <w:tcPr>
            <w:tcW w:w="2388" w:type="dxa"/>
            <w:vAlign w:val="top"/>
          </w:tcPr>
          <w:p>
            <w:pPr>
              <w:spacing w:before="69" w:line="221" w:lineRule="auto"/>
              <w:ind w:left="10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旱地</w:t>
            </w:r>
          </w:p>
        </w:tc>
        <w:tc>
          <w:tcPr>
            <w:tcW w:w="2392" w:type="dxa"/>
            <w:vAlign w:val="top"/>
          </w:tcPr>
          <w:p>
            <w:pPr>
              <w:spacing w:before="68" w:line="219" w:lineRule="auto"/>
              <w:ind w:left="10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菜地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309"/>
        </w:trPr>
        <w:tc>
          <w:tcPr>
            <w:tcW w:w="2373" w:type="dxa"/>
            <w:vAlign w:val="top"/>
          </w:tcPr>
          <w:p>
            <w:pPr>
              <w:spacing w:before="63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氰化物，mg/L</w:t>
            </w:r>
          </w:p>
        </w:tc>
        <w:tc>
          <w:tcPr>
            <w:tcW w:w="7177" w:type="dxa"/>
            <w:gridSpan w:val="3"/>
            <w:vAlign w:val="top"/>
          </w:tcPr>
          <w:p>
            <w:pPr>
              <w:spacing w:before="85" w:line="229" w:lineRule="auto"/>
              <w:ind w:left="33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≤0.5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309"/>
        </w:trPr>
        <w:tc>
          <w:tcPr>
            <w:tcW w:w="2373" w:type="dxa"/>
            <w:vAlign w:val="top"/>
          </w:tcPr>
          <w:p>
            <w:pPr>
              <w:spacing w:before="64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化学需氧量，mg/L</w:t>
            </w:r>
          </w:p>
        </w:tc>
        <w:tc>
          <w:tcPr>
            <w:tcW w:w="2397" w:type="dxa"/>
            <w:vAlign w:val="top"/>
          </w:tcPr>
          <w:p>
            <w:pPr>
              <w:spacing w:before="86" w:line="228" w:lineRule="auto"/>
              <w:ind w:left="9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≤150</w:t>
            </w:r>
          </w:p>
        </w:tc>
        <w:tc>
          <w:tcPr>
            <w:tcW w:w="2388" w:type="dxa"/>
            <w:vAlign w:val="top"/>
          </w:tcPr>
          <w:p>
            <w:pPr>
              <w:spacing w:before="86" w:line="228" w:lineRule="auto"/>
              <w:ind w:left="9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≤200</w:t>
            </w:r>
          </w:p>
        </w:tc>
        <w:tc>
          <w:tcPr>
            <w:tcW w:w="2392" w:type="dxa"/>
            <w:vAlign w:val="top"/>
          </w:tcPr>
          <w:p>
            <w:pPr>
              <w:spacing w:before="67" w:line="216" w:lineRule="auto"/>
              <w:ind w:left="6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≤100°,≤60b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319"/>
        </w:trPr>
        <w:tc>
          <w:tcPr>
            <w:tcW w:w="2373" w:type="dxa"/>
            <w:vAlign w:val="top"/>
          </w:tcPr>
          <w:p>
            <w:pPr>
              <w:spacing w:before="65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挥发酚，mg/L</w:t>
            </w:r>
          </w:p>
        </w:tc>
        <w:tc>
          <w:tcPr>
            <w:tcW w:w="7177" w:type="dxa"/>
            <w:gridSpan w:val="3"/>
            <w:vAlign w:val="top"/>
          </w:tcPr>
          <w:p>
            <w:pPr>
              <w:spacing w:before="87" w:line="236" w:lineRule="auto"/>
              <w:ind w:left="3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≤1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299"/>
        </w:trPr>
        <w:tc>
          <w:tcPr>
            <w:tcW w:w="2373" w:type="dxa"/>
            <w:vAlign w:val="top"/>
          </w:tcPr>
          <w:p>
            <w:pPr>
              <w:spacing w:before="56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石油类，mg/L</w:t>
            </w:r>
          </w:p>
        </w:tc>
        <w:tc>
          <w:tcPr>
            <w:tcW w:w="2397" w:type="dxa"/>
            <w:vAlign w:val="top"/>
          </w:tcPr>
          <w:p>
            <w:pPr>
              <w:spacing w:before="78" w:line="226" w:lineRule="auto"/>
              <w:ind w:left="10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≤5</w:t>
            </w:r>
          </w:p>
        </w:tc>
        <w:tc>
          <w:tcPr>
            <w:tcW w:w="2388" w:type="dxa"/>
            <w:vAlign w:val="top"/>
          </w:tcPr>
          <w:p>
            <w:pPr>
              <w:spacing w:before="78" w:line="226" w:lineRule="auto"/>
              <w:ind w:left="10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≤10</w:t>
            </w:r>
          </w:p>
        </w:tc>
        <w:tc>
          <w:tcPr>
            <w:tcW w:w="2392" w:type="dxa"/>
            <w:vAlign w:val="top"/>
          </w:tcPr>
          <w:p>
            <w:pPr>
              <w:spacing w:before="78" w:line="226" w:lineRule="auto"/>
              <w:ind w:left="10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≤1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309"/>
        </w:trPr>
        <w:tc>
          <w:tcPr>
            <w:tcW w:w="2373" w:type="dxa"/>
            <w:vAlign w:val="top"/>
          </w:tcPr>
          <w:p>
            <w:pPr>
              <w:spacing w:before="67" w:line="214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全盐量，mg/L</w:t>
            </w:r>
          </w:p>
        </w:tc>
        <w:tc>
          <w:tcPr>
            <w:tcW w:w="7177" w:type="dxa"/>
            <w:gridSpan w:val="3"/>
            <w:vAlign w:val="top"/>
          </w:tcPr>
          <w:p>
            <w:pPr>
              <w:spacing w:before="70" w:line="216" w:lineRule="auto"/>
              <w:ind w:left="14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≤1000(非盐碱土地区),≤2000(非盐碱土地区)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319"/>
        </w:trPr>
        <w:tc>
          <w:tcPr>
            <w:tcW w:w="2373" w:type="dxa"/>
            <w:vAlign w:val="top"/>
          </w:tcPr>
          <w:p>
            <w:pPr>
              <w:spacing w:before="74" w:line="219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粪大肠菌群，个/100mL</w:t>
            </w:r>
          </w:p>
        </w:tc>
        <w:tc>
          <w:tcPr>
            <w:tcW w:w="2397" w:type="dxa"/>
            <w:vAlign w:val="top"/>
          </w:tcPr>
          <w:p>
            <w:pPr>
              <w:spacing w:before="89" w:line="235" w:lineRule="auto"/>
              <w:ind w:left="9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≤4000</w:t>
            </w:r>
          </w:p>
        </w:tc>
        <w:tc>
          <w:tcPr>
            <w:tcW w:w="2388" w:type="dxa"/>
            <w:vAlign w:val="top"/>
          </w:tcPr>
          <w:p>
            <w:pPr>
              <w:spacing w:before="89" w:line="235" w:lineRule="auto"/>
              <w:ind w:left="8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≤4.000</w:t>
            </w:r>
          </w:p>
        </w:tc>
        <w:tc>
          <w:tcPr>
            <w:tcW w:w="2392" w:type="dxa"/>
            <w:vAlign w:val="top"/>
          </w:tcPr>
          <w:p>
            <w:pPr>
              <w:spacing w:before="71" w:line="216" w:lineRule="auto"/>
              <w:ind w:left="4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≤2000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⁴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,≤10006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319"/>
        </w:trPr>
        <w:tc>
          <w:tcPr>
            <w:tcW w:w="9550" w:type="dxa"/>
            <w:gridSpan w:val="4"/>
            <w:vAlign w:val="top"/>
          </w:tcPr>
          <w:p>
            <w:pPr>
              <w:spacing w:before="74" w:line="219" w:lineRule="auto"/>
              <w:ind w:left="4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注：对实行水旱轮作、菜粮套种或果粮套种等种植方式的农地，执行其中较低标准值的一项作物的标准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值。</w:t>
            </w:r>
          </w:p>
        </w:tc>
      </w:tr>
      <w:tr>
        <w:tblPrEx>
          <w:tblW w:w="9550" w:type="dxa"/>
          <w:tblInd w:w="44" w:type="dxa"/>
          <w:tblLayout w:type="fixed"/>
        </w:tblPrEx>
        <w:trPr>
          <w:trHeight w:val="643"/>
        </w:trPr>
        <w:tc>
          <w:tcPr>
            <w:tcW w:w="9550" w:type="dxa"/>
            <w:gridSpan w:val="4"/>
            <w:vAlign w:val="top"/>
          </w:tcPr>
          <w:p>
            <w:pPr>
              <w:spacing w:before="86" w:line="219" w:lineRule="auto"/>
              <w:ind w:left="4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加工、烹饪及去皮蔬菜。</w:t>
            </w:r>
          </w:p>
          <w:p>
            <w:pPr>
              <w:spacing w:before="105" w:line="219" w:lineRule="auto"/>
              <w:ind w:left="4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生食类蔬菜、瓜类和草本水果。</w:t>
            </w:r>
          </w:p>
        </w:tc>
      </w:tr>
    </w:tbl>
    <w:p>
      <w:pPr>
        <w:spacing w:before="24" w:line="219" w:lineRule="auto"/>
        <w:ind w:left="1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3.1.2土壤环境质量应符合表3的要求，具体内容</w:t>
      </w:r>
      <w:r>
        <w:rPr>
          <w:rFonts w:ascii="SimSun" w:eastAsia="SimSun" w:hAnsi="SimSun" w:cs="SimSun"/>
          <w:spacing w:val="3"/>
          <w:sz w:val="21"/>
          <w:szCs w:val="21"/>
        </w:rPr>
        <w:t>如下：</w:t>
      </w:r>
    </w:p>
    <w:p>
      <w:pPr>
        <w:spacing w:before="256" w:line="222" w:lineRule="auto"/>
        <w:ind w:left="326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表3</w:t>
      </w:r>
      <w:r>
        <w:rPr>
          <w:rFonts w:ascii="SimHei" w:eastAsia="SimHei" w:hAnsi="SimHei" w:cs="SimHei"/>
          <w:spacing w:val="10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农用地土壤污染风险筛选值</w:t>
      </w:r>
    </w:p>
    <w:p>
      <w:pPr>
        <w:spacing w:line="178" w:lineRule="exact"/>
      </w:pPr>
    </w:p>
    <w:tbl>
      <w:tblPr>
        <w:tblStyle w:val="TableNormal2"/>
        <w:tblW w:w="9570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4"/>
        <w:gridCol w:w="1219"/>
        <w:gridCol w:w="1718"/>
        <w:gridCol w:w="1858"/>
        <w:gridCol w:w="1738"/>
        <w:gridCol w:w="1683"/>
      </w:tblGrid>
      <w:tr>
        <w:tblPrEx>
          <w:tblW w:w="9570" w:type="dxa"/>
          <w:tblInd w:w="1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25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70" w:line="217" w:lineRule="auto"/>
              <w:ind w:left="6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污染物项目①②</w:t>
            </w:r>
          </w:p>
        </w:tc>
        <w:tc>
          <w:tcPr>
            <w:tcW w:w="6997" w:type="dxa"/>
            <w:gridSpan w:val="4"/>
            <w:vAlign w:val="top"/>
          </w:tcPr>
          <w:p>
            <w:pPr>
              <w:spacing w:before="92" w:line="219" w:lineRule="auto"/>
              <w:ind w:left="301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风险筛选值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59"/>
        </w:trPr>
        <w:tc>
          <w:tcPr>
            <w:tcW w:w="2573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spacing w:before="83" w:line="214" w:lineRule="auto"/>
              <w:ind w:left="51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pH≤5.5</w:t>
            </w:r>
          </w:p>
        </w:tc>
        <w:tc>
          <w:tcPr>
            <w:tcW w:w="1858" w:type="dxa"/>
            <w:vAlign w:val="top"/>
          </w:tcPr>
          <w:p>
            <w:pPr>
              <w:spacing w:before="83" w:line="214" w:lineRule="auto"/>
              <w:ind w:left="3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5.5&lt;pH≤6.5</w:t>
            </w:r>
          </w:p>
        </w:tc>
        <w:tc>
          <w:tcPr>
            <w:tcW w:w="1738" w:type="dxa"/>
            <w:vAlign w:val="top"/>
          </w:tcPr>
          <w:p>
            <w:pPr>
              <w:spacing w:before="83" w:line="214" w:lineRule="auto"/>
              <w:ind w:left="33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6.5&lt;pH≤7.5</w:t>
            </w:r>
          </w:p>
        </w:tc>
        <w:tc>
          <w:tcPr>
            <w:tcW w:w="1683" w:type="dxa"/>
            <w:vAlign w:val="top"/>
          </w:tcPr>
          <w:p>
            <w:pPr>
              <w:spacing w:before="83" w:line="214" w:lineRule="auto"/>
              <w:ind w:left="54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pH&gt;7.5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39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before="243" w:line="214" w:lineRule="auto"/>
              <w:ind w:left="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镉，mg/kg</w:t>
            </w:r>
          </w:p>
        </w:tc>
        <w:tc>
          <w:tcPr>
            <w:tcW w:w="1219" w:type="dxa"/>
            <w:vAlign w:val="top"/>
          </w:tcPr>
          <w:p>
            <w:pPr>
              <w:spacing w:before="80" w:line="219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2"/>
                <w:sz w:val="19"/>
                <w:szCs w:val="19"/>
              </w:rPr>
              <w:t>水田</w:t>
            </w:r>
          </w:p>
        </w:tc>
        <w:tc>
          <w:tcPr>
            <w:tcW w:w="1718" w:type="dxa"/>
            <w:vAlign w:val="top"/>
          </w:tcPr>
          <w:p>
            <w:pPr>
              <w:spacing w:before="128" w:line="183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0.3</w:t>
            </w:r>
          </w:p>
        </w:tc>
        <w:tc>
          <w:tcPr>
            <w:tcW w:w="1858" w:type="dxa"/>
            <w:vAlign w:val="top"/>
          </w:tcPr>
          <w:p>
            <w:pPr>
              <w:spacing w:before="128" w:line="183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0.4</w:t>
            </w:r>
          </w:p>
        </w:tc>
        <w:tc>
          <w:tcPr>
            <w:tcW w:w="1738" w:type="dxa"/>
            <w:vAlign w:val="top"/>
          </w:tcPr>
          <w:p>
            <w:pPr>
              <w:spacing w:before="128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0.6</w:t>
            </w:r>
          </w:p>
        </w:tc>
        <w:tc>
          <w:tcPr>
            <w:tcW w:w="1683" w:type="dxa"/>
            <w:vAlign w:val="top"/>
          </w:tcPr>
          <w:p>
            <w:pPr>
              <w:spacing w:before="128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0.8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39"/>
        </w:trPr>
        <w:tc>
          <w:tcPr>
            <w:tcW w:w="13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spacing w:before="81" w:line="220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1718" w:type="dxa"/>
            <w:vAlign w:val="top"/>
          </w:tcPr>
          <w:p>
            <w:pPr>
              <w:spacing w:before="129" w:line="183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0.3</w:t>
            </w:r>
          </w:p>
        </w:tc>
        <w:tc>
          <w:tcPr>
            <w:tcW w:w="1858" w:type="dxa"/>
            <w:vAlign w:val="top"/>
          </w:tcPr>
          <w:p>
            <w:pPr>
              <w:spacing w:before="129" w:line="183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0.3</w:t>
            </w:r>
          </w:p>
        </w:tc>
        <w:tc>
          <w:tcPr>
            <w:tcW w:w="1738" w:type="dxa"/>
            <w:vAlign w:val="top"/>
          </w:tcPr>
          <w:p>
            <w:pPr>
              <w:spacing w:before="129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0.3</w:t>
            </w:r>
          </w:p>
        </w:tc>
        <w:tc>
          <w:tcPr>
            <w:tcW w:w="1683" w:type="dxa"/>
            <w:vAlign w:val="top"/>
          </w:tcPr>
          <w:p>
            <w:pPr>
              <w:spacing w:before="129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0.6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39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before="245" w:line="214" w:lineRule="auto"/>
              <w:ind w:left="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汞，mg/kg</w:t>
            </w:r>
          </w:p>
        </w:tc>
        <w:tc>
          <w:tcPr>
            <w:tcW w:w="1219" w:type="dxa"/>
            <w:vAlign w:val="top"/>
          </w:tcPr>
          <w:p>
            <w:pPr>
              <w:spacing w:before="81" w:line="219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水Ⅲ</w:t>
            </w:r>
          </w:p>
        </w:tc>
        <w:tc>
          <w:tcPr>
            <w:tcW w:w="1718" w:type="dxa"/>
            <w:vAlign w:val="top"/>
          </w:tcPr>
          <w:p>
            <w:pPr>
              <w:spacing w:before="130" w:line="183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0.5</w:t>
            </w:r>
          </w:p>
        </w:tc>
        <w:tc>
          <w:tcPr>
            <w:tcW w:w="1858" w:type="dxa"/>
            <w:vAlign w:val="top"/>
          </w:tcPr>
          <w:p>
            <w:pPr>
              <w:spacing w:before="130" w:line="183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0.5</w:t>
            </w:r>
          </w:p>
        </w:tc>
        <w:tc>
          <w:tcPr>
            <w:tcW w:w="1738" w:type="dxa"/>
            <w:vAlign w:val="top"/>
          </w:tcPr>
          <w:p>
            <w:pPr>
              <w:spacing w:before="130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0.6</w:t>
            </w:r>
          </w:p>
        </w:tc>
        <w:tc>
          <w:tcPr>
            <w:tcW w:w="1683" w:type="dxa"/>
            <w:vAlign w:val="top"/>
          </w:tcPr>
          <w:p>
            <w:pPr>
              <w:spacing w:before="129" w:line="184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1.0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39"/>
        </w:trPr>
        <w:tc>
          <w:tcPr>
            <w:tcW w:w="13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spacing w:before="83" w:line="220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1718" w:type="dxa"/>
            <w:vAlign w:val="top"/>
          </w:tcPr>
          <w:p>
            <w:pPr>
              <w:spacing w:before="130" w:line="184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1.3</w:t>
            </w:r>
          </w:p>
        </w:tc>
        <w:tc>
          <w:tcPr>
            <w:tcW w:w="1858" w:type="dxa"/>
            <w:vAlign w:val="top"/>
          </w:tcPr>
          <w:p>
            <w:pPr>
              <w:spacing w:before="130" w:line="184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1.8</w:t>
            </w:r>
          </w:p>
        </w:tc>
        <w:tc>
          <w:tcPr>
            <w:tcW w:w="1738" w:type="dxa"/>
            <w:vAlign w:val="top"/>
          </w:tcPr>
          <w:p>
            <w:pPr>
              <w:spacing w:before="131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2.4</w:t>
            </w:r>
          </w:p>
        </w:tc>
        <w:tc>
          <w:tcPr>
            <w:tcW w:w="1683" w:type="dxa"/>
            <w:vAlign w:val="top"/>
          </w:tcPr>
          <w:p>
            <w:pPr>
              <w:spacing w:before="131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3.4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39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before="247" w:line="214" w:lineRule="auto"/>
              <w:ind w:left="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砷，mg/kg</w:t>
            </w:r>
          </w:p>
        </w:tc>
        <w:tc>
          <w:tcPr>
            <w:tcW w:w="1219" w:type="dxa"/>
            <w:vAlign w:val="top"/>
          </w:tcPr>
          <w:p>
            <w:pPr>
              <w:spacing w:before="83" w:line="219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2"/>
                <w:sz w:val="19"/>
                <w:szCs w:val="19"/>
              </w:rPr>
              <w:t>水田</w:t>
            </w:r>
          </w:p>
        </w:tc>
        <w:tc>
          <w:tcPr>
            <w:tcW w:w="1718" w:type="dxa"/>
            <w:vAlign w:val="top"/>
          </w:tcPr>
          <w:p>
            <w:pPr>
              <w:spacing w:before="132" w:line="183" w:lineRule="auto"/>
              <w:ind w:left="75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</w:t>
            </w:r>
          </w:p>
        </w:tc>
        <w:tc>
          <w:tcPr>
            <w:tcW w:w="1858" w:type="dxa"/>
            <w:vAlign w:val="top"/>
          </w:tcPr>
          <w:p>
            <w:pPr>
              <w:spacing w:before="132" w:line="183" w:lineRule="auto"/>
              <w:ind w:left="8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</w:t>
            </w:r>
          </w:p>
        </w:tc>
        <w:tc>
          <w:tcPr>
            <w:tcW w:w="1738" w:type="dxa"/>
            <w:vAlign w:val="top"/>
          </w:tcPr>
          <w:p>
            <w:pPr>
              <w:spacing w:before="132" w:line="183" w:lineRule="auto"/>
              <w:ind w:left="7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25</w:t>
            </w:r>
          </w:p>
        </w:tc>
        <w:tc>
          <w:tcPr>
            <w:tcW w:w="1683" w:type="dxa"/>
            <w:vAlign w:val="top"/>
          </w:tcPr>
          <w:p>
            <w:pPr>
              <w:spacing w:before="132" w:line="183" w:lineRule="auto"/>
              <w:ind w:left="7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29"/>
        </w:trPr>
        <w:tc>
          <w:tcPr>
            <w:tcW w:w="13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spacing w:before="75" w:line="220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1718" w:type="dxa"/>
            <w:vAlign w:val="top"/>
          </w:tcPr>
          <w:p>
            <w:pPr>
              <w:spacing w:before="123" w:line="183" w:lineRule="auto"/>
              <w:ind w:left="75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</w:t>
            </w:r>
          </w:p>
        </w:tc>
        <w:tc>
          <w:tcPr>
            <w:tcW w:w="1858" w:type="dxa"/>
            <w:vAlign w:val="top"/>
          </w:tcPr>
          <w:p>
            <w:pPr>
              <w:spacing w:before="123" w:line="183" w:lineRule="auto"/>
              <w:ind w:left="8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</w:t>
            </w:r>
          </w:p>
        </w:tc>
        <w:tc>
          <w:tcPr>
            <w:tcW w:w="1738" w:type="dxa"/>
            <w:vAlign w:val="top"/>
          </w:tcPr>
          <w:p>
            <w:pPr>
              <w:spacing w:before="123" w:line="183" w:lineRule="auto"/>
              <w:ind w:left="7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</w:t>
            </w:r>
          </w:p>
        </w:tc>
        <w:tc>
          <w:tcPr>
            <w:tcW w:w="1683" w:type="dxa"/>
            <w:vAlign w:val="top"/>
          </w:tcPr>
          <w:p>
            <w:pPr>
              <w:spacing w:before="123" w:line="183" w:lineRule="auto"/>
              <w:ind w:left="7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25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39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14" w:lineRule="auto"/>
              <w:ind w:left="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铅，mg/kg</w:t>
            </w:r>
          </w:p>
        </w:tc>
        <w:tc>
          <w:tcPr>
            <w:tcW w:w="1219" w:type="dxa"/>
            <w:vAlign w:val="top"/>
          </w:tcPr>
          <w:p>
            <w:pPr>
              <w:spacing w:before="86" w:line="219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2"/>
                <w:sz w:val="19"/>
                <w:szCs w:val="19"/>
              </w:rPr>
              <w:t>水田</w:t>
            </w:r>
          </w:p>
        </w:tc>
        <w:tc>
          <w:tcPr>
            <w:tcW w:w="1718" w:type="dxa"/>
            <w:vAlign w:val="top"/>
          </w:tcPr>
          <w:p>
            <w:pPr>
              <w:spacing w:before="134" w:line="183" w:lineRule="auto"/>
              <w:ind w:left="75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80</w:t>
            </w:r>
          </w:p>
        </w:tc>
        <w:tc>
          <w:tcPr>
            <w:tcW w:w="1858" w:type="dxa"/>
            <w:vAlign w:val="top"/>
          </w:tcPr>
          <w:p>
            <w:pPr>
              <w:spacing w:before="133" w:line="184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1738" w:type="dxa"/>
            <w:vAlign w:val="top"/>
          </w:tcPr>
          <w:p>
            <w:pPr>
              <w:spacing w:before="133" w:line="184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140</w:t>
            </w:r>
          </w:p>
        </w:tc>
        <w:tc>
          <w:tcPr>
            <w:tcW w:w="1683" w:type="dxa"/>
            <w:vAlign w:val="top"/>
          </w:tcPr>
          <w:p>
            <w:pPr>
              <w:spacing w:before="134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240</w:t>
            </w:r>
          </w:p>
        </w:tc>
      </w:tr>
      <w:tr>
        <w:tblPrEx>
          <w:tblW w:w="9570" w:type="dxa"/>
          <w:tblInd w:w="14" w:type="dxa"/>
          <w:tblLayout w:type="fixed"/>
        </w:tblPrEx>
        <w:trPr>
          <w:trHeight w:val="344"/>
        </w:trPr>
        <w:tc>
          <w:tcPr>
            <w:tcW w:w="13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spacing w:before="87" w:line="220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1718" w:type="dxa"/>
            <w:vAlign w:val="top"/>
          </w:tcPr>
          <w:p>
            <w:pPr>
              <w:spacing w:before="135" w:line="183" w:lineRule="auto"/>
              <w:ind w:left="75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70</w:t>
            </w:r>
          </w:p>
        </w:tc>
        <w:tc>
          <w:tcPr>
            <w:tcW w:w="1858" w:type="dxa"/>
            <w:vAlign w:val="top"/>
          </w:tcPr>
          <w:p>
            <w:pPr>
              <w:spacing w:before="135" w:line="183" w:lineRule="auto"/>
              <w:ind w:left="8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90</w:t>
            </w:r>
          </w:p>
        </w:tc>
        <w:tc>
          <w:tcPr>
            <w:tcW w:w="1738" w:type="dxa"/>
            <w:vAlign w:val="top"/>
          </w:tcPr>
          <w:p>
            <w:pPr>
              <w:spacing w:before="134" w:line="184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120</w:t>
            </w:r>
          </w:p>
        </w:tc>
        <w:tc>
          <w:tcPr>
            <w:tcW w:w="1683" w:type="dxa"/>
            <w:vAlign w:val="top"/>
          </w:tcPr>
          <w:p>
            <w:pPr>
              <w:spacing w:before="134" w:line="184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170</w:t>
            </w:r>
          </w:p>
        </w:tc>
      </w:tr>
    </w:tbl>
    <w:p>
      <w:pPr>
        <w:spacing w:before="219" w:line="222" w:lineRule="auto"/>
        <w:ind w:left="310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续表3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z w:val="21"/>
          <w:szCs w:val="21"/>
        </w:rPr>
        <w:t>农用地土壤污染风险筛选值</w:t>
      </w:r>
    </w:p>
    <w:tbl>
      <w:tblPr>
        <w:tblStyle w:val="TableNormal2"/>
        <w:tblW w:w="95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3"/>
        <w:gridCol w:w="1219"/>
        <w:gridCol w:w="1718"/>
        <w:gridCol w:w="1858"/>
        <w:gridCol w:w="1738"/>
        <w:gridCol w:w="1683"/>
      </w:tblGrid>
      <w:tr>
        <w:tblPrEx>
          <w:tblW w:w="95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1353" w:type="dxa"/>
            <w:tcBorders>
              <w:bottom w:val="nil"/>
            </w:tcBorders>
            <w:vAlign w:val="top"/>
          </w:tcPr>
          <w:p>
            <w:pPr>
              <w:spacing w:before="256" w:line="214" w:lineRule="auto"/>
              <w:ind w:left="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铬，mg/kg</w:t>
            </w:r>
          </w:p>
        </w:tc>
        <w:tc>
          <w:tcPr>
            <w:tcW w:w="1219" w:type="dxa"/>
            <w:vAlign w:val="top"/>
          </w:tcPr>
          <w:p>
            <w:pPr>
              <w:spacing w:before="82" w:line="219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2"/>
                <w:sz w:val="19"/>
                <w:szCs w:val="19"/>
              </w:rPr>
              <w:t>水田</w:t>
            </w:r>
          </w:p>
        </w:tc>
        <w:tc>
          <w:tcPr>
            <w:tcW w:w="1718" w:type="dxa"/>
            <w:vAlign w:val="top"/>
          </w:tcPr>
          <w:p>
            <w:pPr>
              <w:spacing w:before="131" w:line="183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250</w:t>
            </w:r>
          </w:p>
        </w:tc>
        <w:tc>
          <w:tcPr>
            <w:tcW w:w="1858" w:type="dxa"/>
            <w:vAlign w:val="top"/>
          </w:tcPr>
          <w:p>
            <w:pPr>
              <w:spacing w:before="131" w:line="183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250</w:t>
            </w:r>
          </w:p>
        </w:tc>
        <w:tc>
          <w:tcPr>
            <w:tcW w:w="1738" w:type="dxa"/>
            <w:vAlign w:val="top"/>
          </w:tcPr>
          <w:p>
            <w:pPr>
              <w:spacing w:before="131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300</w:t>
            </w:r>
          </w:p>
        </w:tc>
        <w:tc>
          <w:tcPr>
            <w:tcW w:w="1683" w:type="dxa"/>
            <w:vAlign w:val="top"/>
          </w:tcPr>
          <w:p>
            <w:pPr>
              <w:spacing w:before="131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350</w:t>
            </w:r>
          </w:p>
        </w:tc>
      </w:tr>
    </w:tbl>
    <w:p>
      <w:pPr>
        <w:sectPr>
          <w:headerReference w:type="default" r:id="rId16"/>
          <w:footerReference w:type="default" r:id="rId17"/>
          <w:pgSz w:w="11910" w:h="16840"/>
          <w:pgMar w:top="400" w:right="1375" w:bottom="1131" w:left="935" w:header="0" w:footer="1002" w:gutter="0"/>
          <w:pgNumType w:start="10"/>
          <w:cols w:space="708"/>
        </w:sectPr>
      </w:pPr>
    </w:p>
    <w:tbl>
      <w:tblPr>
        <w:tblStyle w:val="TableNormal3"/>
        <w:tblW w:w="95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3"/>
        <w:gridCol w:w="1219"/>
        <w:gridCol w:w="1718"/>
        <w:gridCol w:w="1858"/>
        <w:gridCol w:w="1738"/>
        <w:gridCol w:w="1683"/>
      </w:tblGrid>
      <w:tr>
        <w:tblPrEx>
          <w:tblW w:w="95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9"/>
        </w:trPr>
        <w:tc>
          <w:tcPr>
            <w:tcW w:w="1353" w:type="dxa"/>
            <w:vMerge w:val="restart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spacing w:before="80" w:line="220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1718" w:type="dxa"/>
            <w:vAlign w:val="top"/>
          </w:tcPr>
          <w:p>
            <w:pPr>
              <w:spacing w:before="127" w:line="184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150</w:t>
            </w:r>
          </w:p>
        </w:tc>
        <w:tc>
          <w:tcPr>
            <w:tcW w:w="1858" w:type="dxa"/>
            <w:vAlign w:val="top"/>
          </w:tcPr>
          <w:p>
            <w:pPr>
              <w:spacing w:before="127" w:line="184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150</w:t>
            </w:r>
          </w:p>
        </w:tc>
        <w:tc>
          <w:tcPr>
            <w:tcW w:w="1738" w:type="dxa"/>
            <w:vAlign w:val="top"/>
          </w:tcPr>
          <w:p>
            <w:pPr>
              <w:spacing w:before="128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683" w:type="dxa"/>
            <w:vAlign w:val="top"/>
          </w:tcPr>
          <w:p>
            <w:pPr>
              <w:spacing w:before="128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250</w:t>
            </w:r>
          </w:p>
        </w:tc>
      </w:tr>
      <w:tr>
        <w:tblPrEx>
          <w:tblW w:w="9569" w:type="dxa"/>
          <w:tblInd w:w="5" w:type="dxa"/>
          <w:tblLayout w:type="fixed"/>
        </w:tblPrEx>
        <w:trPr>
          <w:trHeight w:val="339"/>
        </w:trPr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>
            <w:pPr>
              <w:spacing w:before="244" w:line="214" w:lineRule="auto"/>
              <w:ind w:left="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铜，mg/kg</w:t>
            </w:r>
          </w:p>
        </w:tc>
        <w:tc>
          <w:tcPr>
            <w:tcW w:w="1219" w:type="dxa"/>
            <w:vAlign w:val="top"/>
          </w:tcPr>
          <w:p>
            <w:pPr>
              <w:spacing w:before="81" w:line="220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果园</w:t>
            </w:r>
          </w:p>
        </w:tc>
        <w:tc>
          <w:tcPr>
            <w:tcW w:w="1718" w:type="dxa"/>
            <w:vAlign w:val="top"/>
          </w:tcPr>
          <w:p>
            <w:pPr>
              <w:spacing w:before="128" w:line="184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150</w:t>
            </w:r>
          </w:p>
        </w:tc>
        <w:tc>
          <w:tcPr>
            <w:tcW w:w="1858" w:type="dxa"/>
            <w:vAlign w:val="top"/>
          </w:tcPr>
          <w:p>
            <w:pPr>
              <w:spacing w:before="128" w:line="184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150</w:t>
            </w:r>
          </w:p>
        </w:tc>
        <w:tc>
          <w:tcPr>
            <w:tcW w:w="1738" w:type="dxa"/>
            <w:vAlign w:val="top"/>
          </w:tcPr>
          <w:p>
            <w:pPr>
              <w:spacing w:before="129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683" w:type="dxa"/>
            <w:vAlign w:val="top"/>
          </w:tcPr>
          <w:p>
            <w:pPr>
              <w:spacing w:before="129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</w:tr>
      <w:tr>
        <w:tblPrEx>
          <w:tblW w:w="9569" w:type="dxa"/>
          <w:tblInd w:w="5" w:type="dxa"/>
          <w:tblLayout w:type="fixed"/>
        </w:tblPrEx>
        <w:trPr>
          <w:trHeight w:val="339"/>
        </w:trPr>
        <w:tc>
          <w:tcPr>
            <w:tcW w:w="13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spacing w:before="82" w:line="220" w:lineRule="auto"/>
              <w:ind w:left="4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1718" w:type="dxa"/>
            <w:vAlign w:val="top"/>
          </w:tcPr>
          <w:p>
            <w:pPr>
              <w:spacing w:before="130" w:line="183" w:lineRule="auto"/>
              <w:ind w:left="75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1858" w:type="dxa"/>
            <w:vAlign w:val="top"/>
          </w:tcPr>
          <w:p>
            <w:pPr>
              <w:spacing w:before="130" w:line="183" w:lineRule="auto"/>
              <w:ind w:left="8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1738" w:type="dxa"/>
            <w:vAlign w:val="top"/>
          </w:tcPr>
          <w:p>
            <w:pPr>
              <w:spacing w:before="129" w:line="184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1683" w:type="dxa"/>
            <w:vAlign w:val="top"/>
          </w:tcPr>
          <w:p>
            <w:pPr>
              <w:spacing w:before="129" w:line="184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</w:tr>
      <w:tr>
        <w:tblPrEx>
          <w:tblW w:w="9569" w:type="dxa"/>
          <w:tblInd w:w="5" w:type="dxa"/>
          <w:tblLayout w:type="fixed"/>
        </w:tblPrEx>
        <w:trPr>
          <w:trHeight w:val="349"/>
        </w:trPr>
        <w:tc>
          <w:tcPr>
            <w:tcW w:w="2572" w:type="dxa"/>
            <w:gridSpan w:val="2"/>
            <w:vAlign w:val="top"/>
          </w:tcPr>
          <w:p>
            <w:pPr>
              <w:spacing w:before="76" w:line="214" w:lineRule="auto"/>
              <w:ind w:left="1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镍，mg/kg</w:t>
            </w:r>
          </w:p>
        </w:tc>
        <w:tc>
          <w:tcPr>
            <w:tcW w:w="1718" w:type="dxa"/>
            <w:vAlign w:val="top"/>
          </w:tcPr>
          <w:p>
            <w:pPr>
              <w:spacing w:before="131" w:line="183" w:lineRule="auto"/>
              <w:ind w:left="75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60</w:t>
            </w:r>
          </w:p>
        </w:tc>
        <w:tc>
          <w:tcPr>
            <w:tcW w:w="1858" w:type="dxa"/>
            <w:vAlign w:val="top"/>
          </w:tcPr>
          <w:p>
            <w:pPr>
              <w:spacing w:before="131" w:line="183" w:lineRule="auto"/>
              <w:ind w:left="8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70</w:t>
            </w:r>
          </w:p>
        </w:tc>
        <w:tc>
          <w:tcPr>
            <w:tcW w:w="1738" w:type="dxa"/>
            <w:vAlign w:val="top"/>
          </w:tcPr>
          <w:p>
            <w:pPr>
              <w:spacing w:before="130" w:line="184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1683" w:type="dxa"/>
            <w:vAlign w:val="top"/>
          </w:tcPr>
          <w:p>
            <w:pPr>
              <w:spacing w:before="130" w:line="184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190</w:t>
            </w:r>
          </w:p>
        </w:tc>
      </w:tr>
      <w:tr>
        <w:tblPrEx>
          <w:tblW w:w="9569" w:type="dxa"/>
          <w:tblInd w:w="5" w:type="dxa"/>
          <w:tblLayout w:type="fixed"/>
        </w:tblPrEx>
        <w:trPr>
          <w:trHeight w:val="368"/>
        </w:trPr>
        <w:tc>
          <w:tcPr>
            <w:tcW w:w="2572" w:type="dxa"/>
            <w:gridSpan w:val="2"/>
            <w:vAlign w:val="top"/>
          </w:tcPr>
          <w:p>
            <w:pPr>
              <w:spacing w:before="87" w:line="214" w:lineRule="auto"/>
              <w:ind w:left="1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锌，mg/kg</w:t>
            </w:r>
          </w:p>
        </w:tc>
        <w:tc>
          <w:tcPr>
            <w:tcW w:w="1718" w:type="dxa"/>
            <w:vAlign w:val="top"/>
          </w:tcPr>
          <w:p>
            <w:pPr>
              <w:spacing w:before="142" w:line="183" w:lineRule="auto"/>
              <w:ind w:left="7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858" w:type="dxa"/>
            <w:vAlign w:val="top"/>
          </w:tcPr>
          <w:p>
            <w:pPr>
              <w:spacing w:before="142" w:line="183" w:lineRule="auto"/>
              <w:ind w:left="7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738" w:type="dxa"/>
            <w:vAlign w:val="top"/>
          </w:tcPr>
          <w:p>
            <w:pPr>
              <w:spacing w:before="142" w:line="183" w:lineRule="auto"/>
              <w:ind w:left="7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250</w:t>
            </w:r>
          </w:p>
        </w:tc>
        <w:tc>
          <w:tcPr>
            <w:tcW w:w="1683" w:type="dxa"/>
            <w:vAlign w:val="top"/>
          </w:tcPr>
          <w:p>
            <w:pPr>
              <w:spacing w:before="142" w:line="183" w:lineRule="auto"/>
              <w:ind w:left="6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300</w:t>
            </w:r>
          </w:p>
        </w:tc>
      </w:tr>
      <w:tr>
        <w:tblPrEx>
          <w:tblW w:w="9569" w:type="dxa"/>
          <w:tblInd w:w="5" w:type="dxa"/>
          <w:tblLayout w:type="fixed"/>
        </w:tblPrEx>
        <w:trPr>
          <w:trHeight w:val="722"/>
        </w:trPr>
        <w:tc>
          <w:tcPr>
            <w:tcW w:w="9569" w:type="dxa"/>
            <w:gridSpan w:val="6"/>
            <w:vAlign w:val="top"/>
          </w:tcPr>
          <w:p>
            <w:pPr>
              <w:spacing w:before="113" w:line="217" w:lineRule="auto"/>
              <w:ind w:left="44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注：①重金属和类金属砷均按元素总量计。</w:t>
            </w:r>
          </w:p>
          <w:p>
            <w:pPr>
              <w:spacing w:before="66" w:line="217" w:lineRule="auto"/>
              <w:ind w:left="7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②对于水旱轮作地，采用其中较严格的风险筛选值。</w:t>
            </w:r>
          </w:p>
        </w:tc>
      </w:tr>
    </w:tbl>
    <w:p>
      <w:pPr>
        <w:spacing w:before="203" w:line="219" w:lineRule="auto"/>
        <w:ind w:left="7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3.2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果实管理</w:t>
      </w:r>
    </w:p>
    <w:p>
      <w:pPr>
        <w:spacing w:before="220" w:line="219" w:lineRule="auto"/>
        <w:ind w:left="7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3.2.1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果实在采前30d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不宜使用赤霉素、乙烯利等各种生</w:t>
      </w:r>
      <w:r>
        <w:rPr>
          <w:rFonts w:ascii="SimSun" w:eastAsia="SimSun" w:hAnsi="SimSun" w:cs="SimSun"/>
          <w:spacing w:val="-1"/>
          <w:sz w:val="21"/>
          <w:szCs w:val="21"/>
        </w:rPr>
        <w:t>长调节剂。</w:t>
      </w:r>
    </w:p>
    <w:p>
      <w:pPr>
        <w:spacing w:before="101" w:line="219" w:lineRule="auto"/>
        <w:ind w:left="7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3.2.2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采前10d～15d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内停止浇水，如遇雨天，推迟3d～7d</w:t>
      </w:r>
      <w:r>
        <w:rPr>
          <w:rFonts w:ascii="SimSun" w:eastAsia="SimSun" w:hAnsi="SimSun" w:cs="SimSun"/>
          <w:spacing w:val="-5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采收，选择在晴天上午露水干时采收。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69" w:line="220" w:lineRule="auto"/>
        <w:ind w:left="7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4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冷链物流流程</w:t>
      </w:r>
    </w:p>
    <w:p>
      <w:pPr>
        <w:sectPr>
          <w:headerReference w:type="default" r:id="rId18"/>
          <w:footerReference w:type="default" r:id="rId19"/>
          <w:type w:val="nextPage"/>
          <w:pgSz w:w="11910" w:h="16840"/>
          <w:pgMar w:top="400" w:right="1375" w:bottom="1131" w:left="935" w:header="0" w:footer="1002" w:gutter="0"/>
          <w:pgNumType w:start="11"/>
          <w:cols w:space="708"/>
          <w:titlePg w:val="0"/>
        </w:sectPr>
      </w:pPr>
    </w:p>
    <w:p>
      <w:pPr>
        <w:spacing w:line="446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2762255</wp:posOffset>
            </wp:positionH>
            <wp:positionV relativeFrom="page">
              <wp:posOffset>7359625</wp:posOffset>
            </wp:positionV>
            <wp:extent cx="1174737" cy="361971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74737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9" w:line="192" w:lineRule="auto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4248—2019</w:t>
      </w:r>
    </w:p>
    <w:p>
      <w:pPr>
        <w:spacing w:before="293" w:line="219" w:lineRule="auto"/>
        <w:ind w:left="5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无核白葡萄冷链物流流程图见图1。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660" w:lineRule="exact"/>
        <w:ind w:firstLine="660"/>
        <w:textAlignment w:val="center"/>
      </w:pPr>
      <w:r>
        <w:pict>
          <v:group id="_x0000_i1025" style="width:408.05pt;height:33pt;mso-position-horizontal-relative:char;mso-position-vertical-relative:line" coordorigin="0,0" coordsize="8160,66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160;height:660;position:absolute" filled="f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200;height:73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7" w:line="229" w:lineRule="auto"/>
                      <w:ind w:left="3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position w:val="3"/>
                        <w:sz w:val="20"/>
                        <w:szCs w:val="20"/>
                      </w:rPr>
                      <w:t>果实采收</w:t>
                    </w:r>
                    <w:r>
                      <w:rPr>
                        <w:rFonts w:ascii="SimSun" w:eastAsia="SimSun" w:hAnsi="SimSun" w:cs="SimSun"/>
                        <w:position w:val="3"/>
                        <w:sz w:val="20"/>
                        <w:szCs w:val="20"/>
                      </w:rPr>
                      <w:t xml:space="preserve">         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0"/>
                        <w:szCs w:val="20"/>
                      </w:rPr>
                      <w:t>预</w:t>
                    </w:r>
                    <w:r>
                      <w:rPr>
                        <w:rFonts w:ascii="SimSun" w:eastAsia="SimSun" w:hAnsi="SimSun" w:cs="SimSun"/>
                        <w:spacing w:val="5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0"/>
                        <w:szCs w:val="20"/>
                      </w:rPr>
                      <w:t>冷</w:t>
                    </w:r>
                    <w:r>
                      <w:rPr>
                        <w:rFonts w:ascii="SimSun" w:eastAsia="SimSun" w:hAnsi="SimSun" w:cs="SimSun"/>
                        <w:spacing w:val="4"/>
                        <w:sz w:val="20"/>
                        <w:szCs w:val="20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0"/>
                        <w:szCs w:val="20"/>
                      </w:rPr>
                      <w:t>冷</w:t>
                    </w:r>
                    <w:r>
                      <w:rPr>
                        <w:rFonts w:ascii="SimSun" w:eastAsia="SimSun" w:hAnsi="SimSun" w:cs="SimSun"/>
                        <w:spacing w:val="5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0"/>
                        <w:szCs w:val="20"/>
                      </w:rPr>
                      <w:t>藏</w:t>
                    </w:r>
                    <w:r>
                      <w:rPr>
                        <w:rFonts w:ascii="SimSun" w:eastAsia="SimSun" w:hAnsi="SimSun" w:cs="SimSun"/>
                        <w:sz w:val="20"/>
                        <w:szCs w:val="20"/>
                      </w:rPr>
                      <w:t xml:space="preserve">          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-1"/>
                        <w:sz w:val="20"/>
                        <w:szCs w:val="20"/>
                      </w:rPr>
                      <w:t>温控运输</w:t>
                    </w:r>
                    <w:r>
                      <w:rPr>
                        <w:rFonts w:ascii="SimSun" w:eastAsia="SimSun" w:hAnsi="SimSun" w:cs="SimSun"/>
                        <w:spacing w:val="7"/>
                        <w:position w:val="-1"/>
                        <w:sz w:val="20"/>
                        <w:szCs w:val="20"/>
                      </w:rPr>
                      <w:t xml:space="preserve">        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-1"/>
                        <w:sz w:val="20"/>
                        <w:szCs w:val="20"/>
                      </w:rPr>
                      <w:t>终端销售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66" w:line="221" w:lineRule="auto"/>
        <w:ind w:left="325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图</w:t>
      </w:r>
      <w:r>
        <w:rPr>
          <w:rFonts w:ascii="SimHei" w:eastAsia="SimHei" w:hAnsi="SimHei" w:cs="SimHei"/>
          <w:spacing w:val="-1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1</w:t>
      </w:r>
      <w:r>
        <w:rPr>
          <w:rFonts w:ascii="SimHei" w:eastAsia="SimHei" w:hAnsi="SimHei" w:cs="SimHei"/>
          <w:spacing w:val="-4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无核白葡萄冷链物流流程图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65" w:line="222" w:lineRule="auto"/>
        <w:ind w:left="6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果实采收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66" w:line="220" w:lineRule="auto"/>
        <w:ind w:left="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5.1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质量要求</w:t>
      </w:r>
    </w:p>
    <w:p>
      <w:pPr>
        <w:spacing w:before="250" w:line="219" w:lineRule="auto"/>
        <w:ind w:left="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5.1.1</w:t>
      </w:r>
      <w:r>
        <w:rPr>
          <w:rFonts w:ascii="SimSun" w:eastAsia="SimSun" w:hAnsi="SimSun" w:cs="SimSun"/>
          <w:spacing w:val="2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果穗双歧肩圆柱形，果粒大小均匀，发育良好；果实表皮色泽</w:t>
      </w:r>
      <w:r>
        <w:rPr>
          <w:rFonts w:ascii="SimSun" w:eastAsia="SimSun" w:hAnsi="SimSun" w:cs="SimSun"/>
          <w:spacing w:val="6"/>
          <w:sz w:val="20"/>
          <w:szCs w:val="20"/>
        </w:rPr>
        <w:t>为黄绿色，成熟度基本一致。</w:t>
      </w:r>
    </w:p>
    <w:p>
      <w:pPr>
        <w:spacing w:before="73" w:line="249" w:lineRule="auto"/>
        <w:ind w:left="160" w:right="38" w:hanging="1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5.1.2</w:t>
      </w:r>
      <w:r>
        <w:rPr>
          <w:rFonts w:ascii="SimSun" w:eastAsia="SimSun" w:hAnsi="SimSun" w:cs="SimSun"/>
          <w:spacing w:val="2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果实新鲜完整，无病虫害侵染，无水罐子病，无日灼病，无机械损伤，洁净，无附着外来水分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>和药物残留。</w:t>
      </w:r>
    </w:p>
    <w:p>
      <w:pPr>
        <w:spacing w:before="71" w:line="219" w:lineRule="auto"/>
        <w:ind w:left="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5.1.3</w:t>
      </w:r>
      <w:r>
        <w:rPr>
          <w:rFonts w:ascii="SimSun" w:eastAsia="SimSun" w:hAnsi="SimSun" w:cs="SimSun"/>
          <w:spacing w:val="4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果粒应具有均匀适当的间隙，果穗太紧、果粒挤压变形的果穗不宜进行冷链运输。</w:t>
      </w:r>
    </w:p>
    <w:p>
      <w:pPr>
        <w:spacing w:before="83" w:line="219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5.1.4</w:t>
      </w:r>
      <w:r>
        <w:rPr>
          <w:rFonts w:ascii="SimSun" w:eastAsia="SimSun" w:hAnsi="SimSun" w:cs="SimSun"/>
          <w:spacing w:val="2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果梗呈鲜绿色，未木质化。</w:t>
      </w:r>
    </w:p>
    <w:p>
      <w:pPr>
        <w:spacing w:before="201" w:line="219" w:lineRule="auto"/>
        <w:ind w:left="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2"/>
          <w:sz w:val="20"/>
          <w:szCs w:val="20"/>
        </w:rPr>
        <w:t>5.2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2"/>
          <w:sz w:val="20"/>
          <w:szCs w:val="20"/>
        </w:rPr>
        <w:t>采收指标</w:t>
      </w:r>
    </w:p>
    <w:p>
      <w:pPr>
        <w:spacing w:before="245" w:line="220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5.2.1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理化指标</w:t>
      </w:r>
    </w:p>
    <w:p>
      <w:pPr>
        <w:spacing w:before="260" w:line="219" w:lineRule="auto"/>
        <w:ind w:left="4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在果实达到采收成熟度时采收，要求果实的可溶性固形物含量达到16%以上。</w:t>
      </w:r>
    </w:p>
    <w:p>
      <w:pPr>
        <w:spacing w:before="224" w:line="219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5.2.2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含水量指标</w:t>
      </w:r>
    </w:p>
    <w:p>
      <w:pPr>
        <w:spacing w:before="213" w:line="222" w:lineRule="auto"/>
        <w:ind w:left="50"/>
        <w:rPr>
          <w:rFonts w:ascii="SimHei" w:eastAsia="SimHei" w:hAnsi="SimHei" w:cs="SimHei"/>
          <w:sz w:val="20"/>
          <w:szCs w:val="20"/>
        </w:rPr>
      </w:pPr>
      <w:hyperlink r:id="rId22" w:history="1">
        <w:r>
          <w:rPr>
            <w:rFonts w:ascii="SimHei" w:eastAsia="SimHei" w:hAnsi="SimHei" w:cs="SimHei"/>
            <w:spacing w:val="14"/>
            <w:sz w:val="20"/>
            <w:szCs w:val="20"/>
          </w:rPr>
          <w:t>6.2.2.1</w:t>
        </w:r>
      </w:hyperlink>
      <w:r>
        <w:rPr>
          <w:rFonts w:ascii="SimHei" w:eastAsia="SimHei" w:hAnsi="SimHei" w:cs="SimHei"/>
          <w:spacing w:val="14"/>
          <w:sz w:val="20"/>
          <w:szCs w:val="20"/>
        </w:rPr>
        <w:t>要求</w:t>
      </w:r>
    </w:p>
    <w:p>
      <w:pPr>
        <w:spacing w:before="246" w:line="216" w:lineRule="auto"/>
        <w:ind w:left="4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应在穗梗含水量达到50%～55%,或者果实含水量达到77%～82%时采收。</w:t>
      </w:r>
    </w:p>
    <w:p>
      <w:pPr>
        <w:spacing w:before="220" w:line="224" w:lineRule="auto"/>
        <w:ind w:left="20"/>
        <w:rPr>
          <w:rFonts w:ascii="SimHei" w:eastAsia="SimHei" w:hAnsi="SimHei" w:cs="SimHei"/>
          <w:sz w:val="20"/>
          <w:szCs w:val="20"/>
        </w:rPr>
      </w:pPr>
      <w:hyperlink r:id="rId23" w:history="1">
        <w:r>
          <w:rPr>
            <w:rFonts w:ascii="SimHei" w:eastAsia="SimHei" w:hAnsi="SimHei" w:cs="SimHei"/>
            <w:spacing w:val="-2"/>
            <w:sz w:val="20"/>
            <w:szCs w:val="20"/>
          </w:rPr>
          <w:t>6.2.2.2</w:t>
        </w:r>
      </w:hyperlink>
      <w:r>
        <w:rPr>
          <w:rFonts w:ascii="SimHei" w:eastAsia="SimHei" w:hAnsi="SimHei" w:cs="SimHei"/>
          <w:spacing w:val="6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2"/>
          <w:sz w:val="20"/>
          <w:szCs w:val="20"/>
        </w:rPr>
        <w:t>测定</w:t>
      </w:r>
    </w:p>
    <w:p>
      <w:pPr>
        <w:spacing w:before="234" w:line="275" w:lineRule="auto"/>
        <w:ind w:left="20" w:right="87" w:firstLine="420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取洁净的称量瓶，内加10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海砂(根据需要适当增加海砂)及一根小玻棒，置于101℃~105℃干燥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箱中，干燥1.0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SimSun" w:eastAsia="SimSun" w:hAnsi="SimSun" w:cs="SimSun"/>
          <w:spacing w:val="3"/>
          <w:sz w:val="20"/>
          <w:szCs w:val="20"/>
        </w:rPr>
        <w:t>取出，放入干燥器内冷却0.5</w:t>
      </w:r>
      <w:r>
        <w:rPr>
          <w:rFonts w:ascii="SimSun" w:eastAsia="SimSun" w:hAnsi="SimSun" w:cs="SimSu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SimSun" w:eastAsia="SimSun" w:hAnsi="SimSun" w:cs="SimSun"/>
          <w:spacing w:val="3"/>
          <w:sz w:val="20"/>
          <w:szCs w:val="20"/>
        </w:rPr>
        <w:t>称量，重复干燥至恒重。然后称取5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SimSun" w:eastAsia="SimSun" w:hAnsi="SimSun" w:cs="SimSun"/>
          <w:spacing w:val="3"/>
          <w:sz w:val="20"/>
          <w:szCs w:val="20"/>
        </w:rPr>
        <w:t>～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SimSun" w:eastAsia="SimSun" w:hAnsi="SimSun" w:cs="SimSun"/>
          <w:spacing w:val="3"/>
          <w:sz w:val="20"/>
          <w:szCs w:val="20"/>
        </w:rPr>
        <w:t>试样(精确至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0.0001g),</w:t>
      </w:r>
      <w:r>
        <w:rPr>
          <w:rFonts w:ascii="SimSun" w:eastAsia="SimSun" w:hAnsi="SimSun" w:cs="SimSun"/>
          <w:spacing w:val="6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置于称量瓶中，用小玻棒搅匀放在沸水浴上蒸干，随时搅拌，擦去瓶底的水滴，置于101℃~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105℃干燥箱中干燥4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盖好取出，放入干燥器内冷却0.5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h</w:t>
      </w:r>
      <w:r>
        <w:rPr>
          <w:rFonts w:ascii="SimSun" w:eastAsia="SimSun" w:hAnsi="SimSun" w:cs="SimSun"/>
          <w:spacing w:val="6"/>
          <w:sz w:val="20"/>
          <w:szCs w:val="20"/>
        </w:rPr>
        <w:t>称量。再放入101℃~105℃干燥箱中干燥1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取出，放入干燥器内冷却0.5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h</w:t>
      </w:r>
      <w:r>
        <w:rPr>
          <w:rFonts w:ascii="SimSun" w:eastAsia="SimSun" w:hAnsi="SimSun" w:cs="SimSun"/>
          <w:spacing w:val="6"/>
          <w:sz w:val="20"/>
          <w:szCs w:val="20"/>
        </w:rPr>
        <w:t>再称量。重复以上操作至前后两次</w:t>
      </w:r>
      <w:r>
        <w:rPr>
          <w:rFonts w:ascii="SimSun" w:eastAsia="SimSun" w:hAnsi="SimSun" w:cs="SimSun"/>
          <w:spacing w:val="5"/>
          <w:sz w:val="20"/>
          <w:szCs w:val="20"/>
        </w:rPr>
        <w:t>质量差不超过2</w:t>
      </w:r>
      <w:r>
        <w:rPr>
          <w:rFonts w:ascii="Times New Roman" w:eastAsia="Times New Roman" w:hAnsi="Times New Roman" w:cs="Times New Roman"/>
          <w:sz w:val="20"/>
          <w:szCs w:val="20"/>
        </w:rPr>
        <w:t>mg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即为恒重。</w:t>
      </w:r>
    </w:p>
    <w:p>
      <w:pPr>
        <w:spacing w:before="252" w:line="222" w:lineRule="auto"/>
        <w:ind w:left="10"/>
        <w:rPr>
          <w:rFonts w:ascii="SimHei" w:eastAsia="SimHei" w:hAnsi="SimHei" w:cs="SimHei"/>
          <w:sz w:val="20"/>
          <w:szCs w:val="20"/>
        </w:rPr>
      </w:pPr>
      <w:hyperlink r:id="rId24" w:history="1">
        <w:r>
          <w:rPr>
            <w:rFonts w:ascii="SimHei" w:eastAsia="SimHei" w:hAnsi="SimHei" w:cs="SimHei"/>
            <w:spacing w:val="-2"/>
            <w:sz w:val="20"/>
            <w:szCs w:val="20"/>
          </w:rPr>
          <w:t>6.2.2.3</w:t>
        </w:r>
      </w:hyperlink>
      <w:r>
        <w:rPr>
          <w:rFonts w:ascii="SimHei" w:eastAsia="SimHei" w:hAnsi="SimHei" w:cs="SimHei"/>
          <w:spacing w:val="5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2"/>
          <w:sz w:val="20"/>
          <w:szCs w:val="20"/>
        </w:rPr>
        <w:t>计算</w:t>
      </w:r>
    </w:p>
    <w:p>
      <w:pPr>
        <w:spacing w:before="223" w:line="222" w:lineRule="auto"/>
        <w:ind w:right="166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(1)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20" w:lineRule="auto"/>
        <w:ind w:left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式中：</w:t>
      </w:r>
    </w:p>
    <w:p>
      <w:pPr>
        <w:spacing w:before="66" w:line="212" w:lineRule="auto"/>
        <w:ind w:left="4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X—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试样中水分的含量，单位为克每百克</w:t>
      </w:r>
      <w:r>
        <w:rPr>
          <w:rFonts w:ascii="SimSun" w:eastAsia="SimSun" w:hAnsi="SimSun" w:cs="SimSun"/>
          <w:spacing w:val="-1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(g/100g);</w:t>
      </w:r>
    </w:p>
    <w:p>
      <w:pPr>
        <w:spacing w:before="48" w:line="212" w:lineRule="auto"/>
        <w:ind w:left="4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m;</w:t>
      </w:r>
      <w:r>
        <w:rPr>
          <w:rFonts w:ascii="SimSun" w:eastAsia="SimSun" w:hAnsi="SimSun" w:cs="SimSun"/>
          <w:spacing w:val="-1"/>
          <w:sz w:val="22"/>
          <w:szCs w:val="22"/>
        </w:rPr>
        <w:t>一称量瓶(加海砂、玻棒)和试样的质量，单位为克</w:t>
      </w:r>
      <w:r>
        <w:rPr>
          <w:rFonts w:ascii="SimSun" w:eastAsia="SimSun" w:hAnsi="SimSun" w:cs="SimSun"/>
          <w:spacing w:val="-1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(g)</w:t>
      </w:r>
    </w:p>
    <w:p>
      <w:pPr>
        <w:spacing w:before="67" w:line="328" w:lineRule="exact"/>
        <w:ind w:left="4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position w:val="8"/>
          <w:sz w:val="22"/>
          <w:szCs w:val="22"/>
        </w:rPr>
        <w:t>m2</w:t>
      </w:r>
      <w:r>
        <w:rPr>
          <w:rFonts w:ascii="Times New Roman" w:eastAsia="Times New Roman" w:hAnsi="Times New Roman" w:cs="Times New Roman"/>
          <w:spacing w:val="22"/>
          <w:position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position w:val="8"/>
          <w:sz w:val="22"/>
          <w:szCs w:val="22"/>
        </w:rPr>
        <w:t>一称量瓶(加海砂、玻棒)和试样干燥后的质量，单位为克</w:t>
      </w:r>
      <w:r>
        <w:rPr>
          <w:rFonts w:ascii="SimSun" w:eastAsia="SimSun" w:hAnsi="SimSun" w:cs="SimSun"/>
          <w:spacing w:val="-13"/>
          <w:position w:val="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8"/>
          <w:sz w:val="22"/>
          <w:szCs w:val="22"/>
        </w:rPr>
        <w:t>(g)</w:t>
      </w:r>
      <w:r>
        <w:rPr>
          <w:rFonts w:ascii="Times New Roman" w:eastAsia="Times New Roman" w:hAnsi="Times New Roman" w:cs="Times New Roman"/>
          <w:sz w:val="22"/>
          <w:szCs w:val="22"/>
        </w:rPr>
        <w:br/>
      </w:r>
      <w:r>
        <w:rPr>
          <w:rFonts w:ascii="Times New Roman" w:eastAsia="Times New Roman" w:hAnsi="Times New Roman" w:cs="Times New Roman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https://d.book118.com/307043143015006036</w:t>
        </w:r>
      </w:hyperlink>
    </w:p>
    <w:p>
      <w:pPr>
        <w:spacing w:before="67" w:line="328" w:lineRule="exact"/>
        <w:ind w:left="420"/>
        <w:rPr>
          <w:rFonts w:ascii="Times New Roman" w:eastAsia="Times New Roman" w:hAnsi="Times New Roman" w:cs="Times New Roman"/>
          <w:sz w:val="22"/>
          <w:szCs w:val="22"/>
        </w:rPr>
      </w:pPr>
    </w:p>
    <w:sectPr>
      <w:headerReference w:type="default" r:id="rId26"/>
      <w:footerReference w:type="default" r:id="rId27"/>
      <w:pgSz w:w="11910" w:h="16840"/>
      <w:pgMar w:top="400" w:right="1262" w:bottom="1118" w:left="1269" w:header="0" w:footer="979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39"/>
      <w:jc w:val="right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39"/>
      <w:jc w:val="right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244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244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17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3.png" /><Relationship Id="rId21" Type="http://schemas.openxmlformats.org/officeDocument/2006/relationships/image" Target="media/image4.jpeg" /><Relationship Id="rId22" Type="http://schemas.openxmlformats.org/officeDocument/2006/relationships/hyperlink" Target="https://6.2.2.1" TargetMode="External" /><Relationship Id="rId23" Type="http://schemas.openxmlformats.org/officeDocument/2006/relationships/hyperlink" Target="https://6.2.2.2" TargetMode="External" /><Relationship Id="rId24" Type="http://schemas.openxmlformats.org/officeDocument/2006/relationships/hyperlink" Target="https://6.2.2.3" TargetMode="External" /><Relationship Id="rId25" Type="http://schemas.openxmlformats.org/officeDocument/2006/relationships/hyperlink" Target="https://d.book118.com/307043143015006036" TargetMode="Externa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2023-05-19T11:19:51Z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2023-05-19T11:19:54Z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6466eaccfa57af001ff0ef2d</vt:lpwstr>
  </property>
</Properties>
</file>