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1"/>
        </w:rPr>
        <w:t>药品质量监测与控制技术提升</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1"/>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7"/>
        <w:rPr>
          <w:rFonts w:ascii="Microsoft JhengHei"/>
          <w:b/>
          <w:sz w:val="14"/>
        </w:rPr>
      </w:pPr>
    </w:p>
    <w:sdt>
      <w:sdtPr>
        <w:id w:val="1971834939"/>
        <w:docPartObj>
          <w:docPartGallery w:val="Table of Contents"/>
          <w:docPartUnique/>
        </w:docPartObj>
      </w:sdtPr>
      <w:sdtContent>
        <w:p>
          <w:pPr>
            <w:pStyle w:val="TOC1"/>
            <w:tabs>
              <w:tab w:val="left" w:pos="1589"/>
              <w:tab w:val="right" w:leader="dot" w:pos="8415"/>
            </w:tabs>
            <w:spacing w:before="71"/>
            <w:rPr>
              <w:rFonts w:ascii="Calibri" w:eastAsia="Calibri"/>
            </w:rPr>
          </w:pPr>
          <w:r>
            <w:fldChar w:fldCharType="begin"/>
          </w:r>
          <w:r>
            <w:instrText xml:space="preserve">TOC \o "1-1" \h \z \u </w:instrText>
          </w:r>
          <w:r>
            <w:fldChar w:fldCharType="separate"/>
          </w:r>
          <w:hyperlink w:anchor="_bookmark0" w:history="1">
            <w:r>
              <w:t>第一部</w:t>
            </w:r>
            <w:r>
              <w:rPr>
                <w:spacing w:val="-10"/>
              </w:rPr>
              <w:t>分</w:t>
            </w:r>
            <w:r>
              <w:tab/>
              <w:t>药品质量监测的重要性分</w:t>
            </w:r>
            <w:r>
              <w:rPr>
                <w:spacing w:val="-10"/>
              </w:rPr>
              <w:t>析</w:t>
            </w:r>
            <w:r>
              <w:rPr>
                <w:rFonts w:ascii="Times New Roman" w:eastAsia="Times New Roman"/>
              </w:rPr>
              <w:tab/>
            </w:r>
            <w:r>
              <w:rPr>
                <w:rFonts w:ascii="Calibri" w:eastAsia="Calibri"/>
                <w:spacing w:val="-10"/>
              </w:rPr>
              <w:t>2</w:t>
            </w:r>
          </w:hyperlink>
        </w:p>
        <w:p>
          <w:pPr>
            <w:pStyle w:val="TOC1"/>
            <w:tabs>
              <w:tab w:val="left" w:pos="1589"/>
              <w:tab w:val="right" w:leader="dot" w:pos="8415"/>
            </w:tabs>
            <w:rPr>
              <w:rFonts w:ascii="Calibri" w:eastAsia="Calibri"/>
            </w:rPr>
          </w:pPr>
          <w:hyperlink w:anchor="_TOC_250008" w:history="1">
            <w:r>
              <w:t>第二部</w:t>
            </w:r>
            <w:r>
              <w:rPr>
                <w:spacing w:val="-10"/>
              </w:rPr>
              <w:t>分</w:t>
            </w:r>
            <w:r>
              <w:tab/>
              <w:t>当前药品质量控制技术概</w:t>
            </w:r>
            <w:r>
              <w:rPr>
                <w:spacing w:val="-10"/>
              </w:rPr>
              <w:t>述</w:t>
            </w:r>
            <w:r>
              <w:rPr>
                <w:rFonts w:ascii="Times New Roman" w:eastAsia="Times New Roman"/>
              </w:rPr>
              <w:tab/>
            </w:r>
            <w:r>
              <w:rPr>
                <w:rFonts w:ascii="Calibri" w:eastAsia="Calibri"/>
                <w:spacing w:val="-10"/>
              </w:rPr>
              <w:t>4</w:t>
            </w:r>
          </w:hyperlink>
        </w:p>
        <w:p>
          <w:pPr>
            <w:pStyle w:val="TOC1"/>
            <w:tabs>
              <w:tab w:val="left" w:pos="1589"/>
              <w:tab w:val="right" w:leader="dot" w:pos="8415"/>
            </w:tabs>
            <w:rPr>
              <w:rFonts w:ascii="Calibri" w:eastAsia="Calibri"/>
            </w:rPr>
          </w:pPr>
          <w:hyperlink w:anchor="_TOC_250007" w:history="1">
            <w:r>
              <w:t>第三部</w:t>
            </w:r>
            <w:r>
              <w:rPr>
                <w:spacing w:val="-10"/>
              </w:rPr>
              <w:t>分</w:t>
            </w:r>
            <w:r>
              <w:tab/>
              <w:t>药品质量监测与控制面临的挑</w:t>
            </w:r>
            <w:r>
              <w:rPr>
                <w:spacing w:val="-10"/>
              </w:rPr>
              <w:t>战</w:t>
            </w:r>
            <w:r>
              <w:rPr>
                <w:rFonts w:ascii="Times New Roman" w:eastAsia="Times New Roman"/>
              </w:rPr>
              <w:tab/>
            </w:r>
            <w:r>
              <w:rPr>
                <w:rFonts w:ascii="Calibri" w:eastAsia="Calibri"/>
                <w:spacing w:val="-10"/>
              </w:rPr>
              <w:t>6</w:t>
            </w:r>
          </w:hyperlink>
        </w:p>
        <w:p>
          <w:pPr>
            <w:pStyle w:val="TOC1"/>
            <w:tabs>
              <w:tab w:val="left" w:pos="1589"/>
              <w:tab w:val="right" w:leader="dot" w:pos="8415"/>
            </w:tabs>
            <w:rPr>
              <w:rFonts w:ascii="Calibri" w:eastAsia="Calibri"/>
            </w:rPr>
          </w:pPr>
          <w:hyperlink w:anchor="_TOC_250006" w:history="1">
            <w:r>
              <w:t>第四部</w:t>
            </w:r>
            <w:r>
              <w:rPr>
                <w:spacing w:val="-10"/>
              </w:rPr>
              <w:t>分</w:t>
            </w:r>
            <w:r>
              <w:tab/>
              <w:t>高效液相色谱在药品检测中的应</w:t>
            </w:r>
            <w:r>
              <w:rPr>
                <w:spacing w:val="-10"/>
              </w:rPr>
              <w:t>用</w:t>
            </w:r>
            <w:r>
              <w:rPr>
                <w:rFonts w:ascii="Times New Roman" w:eastAsia="Times New Roman"/>
              </w:rPr>
              <w:tab/>
            </w:r>
            <w:r>
              <w:rPr>
                <w:rFonts w:ascii="Calibri" w:eastAsia="Calibri"/>
                <w:spacing w:val="-10"/>
              </w:rPr>
              <w:t>8</w:t>
            </w:r>
          </w:hyperlink>
        </w:p>
        <w:p>
          <w:pPr>
            <w:pStyle w:val="TOC1"/>
            <w:tabs>
              <w:tab w:val="left" w:pos="1589"/>
              <w:tab w:val="right" w:leader="dot" w:pos="8415"/>
            </w:tabs>
            <w:rPr>
              <w:rFonts w:ascii="Calibri" w:eastAsia="Calibri"/>
            </w:rPr>
          </w:pPr>
          <w:hyperlink w:anchor="_TOC_250005" w:history="1">
            <w:r>
              <w:t>第五部</w:t>
            </w:r>
            <w:r>
              <w:rPr>
                <w:spacing w:val="-10"/>
              </w:rPr>
              <w:t>分</w:t>
            </w:r>
            <w:r>
              <w:tab/>
              <w:t>质谱技术在药品质量控制中的进</w:t>
            </w:r>
            <w:r>
              <w:rPr>
                <w:spacing w:val="-10"/>
              </w:rPr>
              <w:t>展</w:t>
            </w:r>
            <w:r>
              <w:rPr>
                <w:rFonts w:ascii="Times New Roman" w:eastAsia="Times New Roman"/>
              </w:rPr>
              <w:tab/>
            </w:r>
            <w:r>
              <w:rPr>
                <w:rFonts w:ascii="Calibri" w:eastAsia="Calibri"/>
                <w:spacing w:val="-5"/>
              </w:rPr>
              <w:t>10</w:t>
            </w:r>
          </w:hyperlink>
        </w:p>
        <w:p>
          <w:pPr>
            <w:pStyle w:val="TOC1"/>
            <w:tabs>
              <w:tab w:val="left" w:pos="1589"/>
              <w:tab w:val="right" w:leader="dot" w:pos="8415"/>
            </w:tabs>
            <w:rPr>
              <w:rFonts w:ascii="Calibri" w:eastAsia="Calibri"/>
            </w:rPr>
          </w:pPr>
          <w:hyperlink w:anchor="_TOC_250004" w:history="1">
            <w:r>
              <w:t>第六部</w:t>
            </w:r>
            <w:r>
              <w:rPr>
                <w:spacing w:val="-10"/>
              </w:rPr>
              <w:t>分</w:t>
            </w:r>
            <w:r>
              <w:tab/>
              <w:t>光谱技术在药品检测中的新发</w:t>
            </w:r>
            <w:r>
              <w:rPr>
                <w:spacing w:val="-10"/>
              </w:rPr>
              <w:t>展</w:t>
            </w:r>
            <w:r>
              <w:rPr>
                <w:rFonts w:ascii="Times New Roman" w:eastAsia="Times New Roman"/>
              </w:rPr>
              <w:tab/>
            </w:r>
            <w:r>
              <w:rPr>
                <w:rFonts w:ascii="Calibri" w:eastAsia="Calibri"/>
                <w:spacing w:val="-5"/>
              </w:rPr>
              <w:t>11</w:t>
            </w:r>
          </w:hyperlink>
        </w:p>
        <w:p>
          <w:pPr>
            <w:pStyle w:val="TOC1"/>
            <w:tabs>
              <w:tab w:val="left" w:pos="1589"/>
              <w:tab w:val="right" w:leader="dot" w:pos="8415"/>
            </w:tabs>
            <w:spacing w:before="354"/>
            <w:rPr>
              <w:rFonts w:ascii="Calibri" w:eastAsia="Calibri"/>
            </w:rPr>
          </w:pPr>
          <w:hyperlink w:anchor="_TOC_250003" w:history="1">
            <w:r>
              <w:t>第七部</w:t>
            </w:r>
            <w:r>
              <w:rPr>
                <w:spacing w:val="-10"/>
              </w:rPr>
              <w:t>分</w:t>
            </w:r>
            <w:r>
              <w:tab/>
              <w:t>生物传感技术在药品质量监测的应</w:t>
            </w:r>
            <w:r>
              <w:rPr>
                <w:spacing w:val="-10"/>
              </w:rPr>
              <w:t>用</w:t>
            </w:r>
            <w:r>
              <w:rPr>
                <w:rFonts w:ascii="Times New Roman" w:eastAsia="Times New Roman"/>
              </w:rPr>
              <w:tab/>
            </w:r>
            <w:r>
              <w:rPr>
                <w:rFonts w:ascii="Calibri" w:eastAsia="Calibri"/>
                <w:spacing w:val="-5"/>
              </w:rPr>
              <w:t>13</w:t>
            </w:r>
          </w:hyperlink>
        </w:p>
        <w:p>
          <w:pPr>
            <w:pStyle w:val="TOC1"/>
            <w:tabs>
              <w:tab w:val="left" w:pos="1589"/>
              <w:tab w:val="right" w:leader="dot" w:pos="8415"/>
            </w:tabs>
            <w:rPr>
              <w:rFonts w:ascii="Calibri" w:eastAsia="Calibri"/>
            </w:rPr>
          </w:pPr>
          <w:hyperlink w:anchor="_TOC_250002" w:history="1">
            <w:r>
              <w:t>第八部</w:t>
            </w:r>
            <w:r>
              <w:rPr>
                <w:spacing w:val="-10"/>
              </w:rPr>
              <w:t>分</w:t>
            </w:r>
            <w:r>
              <w:tab/>
              <w:t>人工智能在药品质量控制中的角</w:t>
            </w:r>
            <w:r>
              <w:rPr>
                <w:spacing w:val="-10"/>
              </w:rPr>
              <w:t>色</w:t>
            </w:r>
            <w:r>
              <w:rPr>
                <w:rFonts w:ascii="Times New Roman" w:eastAsia="Times New Roman"/>
              </w:rPr>
              <w:tab/>
            </w:r>
            <w:r>
              <w:rPr>
                <w:rFonts w:ascii="Calibri" w:eastAsia="Calibri"/>
                <w:spacing w:val="-5"/>
              </w:rPr>
              <w:t>15</w:t>
            </w:r>
          </w:hyperlink>
        </w:p>
        <w:p>
          <w:pPr>
            <w:pStyle w:val="TOC1"/>
            <w:tabs>
              <w:tab w:val="left" w:pos="1589"/>
              <w:tab w:val="right" w:leader="dot" w:pos="8415"/>
            </w:tabs>
            <w:rPr>
              <w:rFonts w:ascii="Calibri" w:eastAsia="Calibri"/>
            </w:rPr>
          </w:pPr>
          <w:hyperlink w:anchor="_TOC_250001" w:history="1">
            <w:r>
              <w:t>第九部</w:t>
            </w:r>
            <w:r>
              <w:rPr>
                <w:spacing w:val="-10"/>
              </w:rPr>
              <w:t>分</w:t>
            </w:r>
            <w:r>
              <w:tab/>
              <w:t>药品质量监测与控制的法规要</w:t>
            </w:r>
            <w:r>
              <w:rPr>
                <w:spacing w:val="-10"/>
              </w:rPr>
              <w:t>求</w:t>
            </w:r>
            <w:r>
              <w:rPr>
                <w:rFonts w:ascii="Times New Roman" w:eastAsia="Times New Roman"/>
              </w:rPr>
              <w:tab/>
            </w:r>
            <w:r>
              <w:rPr>
                <w:rFonts w:ascii="Calibri" w:eastAsia="Calibri"/>
                <w:spacing w:val="-5"/>
              </w:rPr>
              <w:t>17</w:t>
            </w:r>
          </w:hyperlink>
        </w:p>
        <w:p>
          <w:pPr>
            <w:pStyle w:val="TOC1"/>
            <w:tabs>
              <w:tab w:val="left" w:pos="1589"/>
              <w:tab w:val="right" w:leader="dot" w:pos="8415"/>
            </w:tabs>
            <w:rPr>
              <w:rFonts w:ascii="Calibri" w:eastAsia="Calibri"/>
            </w:rPr>
          </w:pPr>
          <w:hyperlink w:anchor="_TOC_250000" w:history="1">
            <w:r>
              <w:t>第十部</w:t>
            </w:r>
            <w:r>
              <w:rPr>
                <w:spacing w:val="-10"/>
              </w:rPr>
              <w:t>分</w:t>
            </w:r>
            <w:r>
              <w:tab/>
              <w:t>提升药品质量监测与控制技术的策</w:t>
            </w:r>
            <w:r>
              <w:rPr>
                <w:spacing w:val="-10"/>
              </w:rPr>
              <w:t>略</w:t>
            </w:r>
            <w:r>
              <w:rPr>
                <w:rFonts w:ascii="Times New Roman" w:eastAsia="Times New Roman"/>
              </w:rPr>
              <w:tab/>
            </w:r>
            <w:r>
              <w:rPr>
                <w:rFonts w:ascii="Calibri" w:eastAsia="Calibri"/>
                <w:spacing w:val="-5"/>
              </w:rPr>
              <w:t>18</w:t>
            </w:r>
          </w:hyperlink>
        </w:p>
        <w:p>
          <w:r>
            <w:fldChar w:fldCharType="end"/>
          </w:r>
        </w:p>
      </w:sdtContent>
    </w:sdt>
    <w:p>
      <w:pPr>
        <w:spacing w:after="0"/>
        <w:sectPr>
          <w:footerReference w:type="default" r:id="rId5"/>
          <w:type w:val="continuous"/>
          <w:pgSz w:w="11910" w:h="16840"/>
          <w:pgMar w:top="1480" w:right="1420" w:bottom="1380" w:left="1680" w:header="0" w:footer="1195"/>
          <w:pgNumType w:start="1"/>
          <w:cols w:space="708"/>
        </w:sectPr>
      </w:pPr>
    </w:p>
    <w:p>
      <w:pPr>
        <w:pStyle w:val="Heading1"/>
        <w:tabs>
          <w:tab w:val="left" w:pos="1725"/>
        </w:tabs>
        <w:spacing w:line="514" w:lineRule="exact"/>
        <w:jc w:val="left"/>
      </w:pPr>
      <w:bookmarkStart w:id="0" w:name="_bookmark0"/>
      <w:bookmarkEnd w:id="0"/>
      <w:r>
        <w:t>第</w:t>
      </w:r>
      <w:r>
        <w:t>一</w:t>
      </w:r>
      <w:r>
        <w:t>部</w:t>
      </w:r>
      <w:r>
        <w:rPr>
          <w:spacing w:val="-10"/>
        </w:rPr>
        <w:t>分</w:t>
      </w:r>
      <w:r>
        <w:tab/>
        <w:t>药</w:t>
      </w:r>
      <w:r>
        <w:t>品</w:t>
      </w:r>
      <w:r>
        <w:t>质</w:t>
      </w:r>
      <w:r>
        <w:t>量</w:t>
      </w:r>
      <w:r>
        <w:t>监</w:t>
      </w:r>
      <w:r>
        <w:t>测</w:t>
      </w:r>
      <w:r>
        <w:t>的</w:t>
      </w:r>
      <w:r>
        <w:t>重</w:t>
      </w:r>
      <w:r>
        <w:t>要</w:t>
      </w:r>
      <w:r>
        <w:t>性</w:t>
      </w:r>
      <w:r>
        <w:t>分</w:t>
      </w:r>
      <w:r>
        <w:rPr>
          <w:spacing w:val="-10"/>
        </w:rPr>
        <w:t>析</w:t>
      </w:r>
    </w:p>
    <w:p>
      <w:pPr>
        <w:pStyle w:val="BodyText"/>
        <w:spacing w:before="3"/>
        <w:rPr>
          <w:rFonts w:ascii="Microsoft JhengHei"/>
          <w:b/>
          <w:sz w:val="23"/>
        </w:rPr>
      </w:pPr>
    </w:p>
    <w:p>
      <w:pPr>
        <w:pStyle w:val="BodyText"/>
        <w:ind w:left="680"/>
      </w:pPr>
      <w:r>
        <w:rPr>
          <w:spacing w:val="-1"/>
        </w:rPr>
        <w:t>药品质量监测的重要性分析</w:t>
      </w:r>
    </w:p>
    <w:p>
      <w:pPr>
        <w:pStyle w:val="BodyText"/>
      </w:pPr>
    </w:p>
    <w:p>
      <w:pPr>
        <w:pStyle w:val="BodyText"/>
        <w:spacing w:before="5"/>
        <w:rPr>
          <w:sz w:val="41"/>
        </w:rPr>
      </w:pPr>
    </w:p>
    <w:p>
      <w:pPr>
        <w:pStyle w:val="BodyText"/>
        <w:spacing w:line="417" w:lineRule="auto"/>
        <w:ind w:left="120" w:right="145"/>
      </w:pPr>
      <w:r>
        <w:rPr>
          <w:spacing w:val="-10"/>
        </w:rPr>
        <w:t>随着社会的发展和人民生活水平的提高，公众对健康的需求日益增长。</w:t>
      </w:r>
      <w:r>
        <w:rPr>
          <w:spacing w:val="-2"/>
        </w:rPr>
        <w:t>而药品作为治疗、预防和诊断疾病的重要手段，在维护人类健康方面</w:t>
      </w:r>
      <w:r>
        <w:rPr>
          <w:spacing w:val="-2"/>
        </w:rPr>
        <w:t>起着至关重要的作用。因此，确保药品质量稳定可靠，对于保障患者</w:t>
      </w:r>
      <w:r>
        <w:rPr>
          <w:spacing w:val="-2"/>
        </w:rPr>
        <w:t>的生命安全和用药效果具有重要意义。</w:t>
      </w:r>
    </w:p>
    <w:p>
      <w:pPr>
        <w:pStyle w:val="BodyText"/>
      </w:pPr>
    </w:p>
    <w:p>
      <w:pPr>
        <w:pStyle w:val="BodyText"/>
        <w:spacing w:before="8"/>
        <w:rPr>
          <w:sz w:val="20"/>
        </w:rPr>
      </w:pPr>
    </w:p>
    <w:p>
      <w:pPr>
        <w:pStyle w:val="BodyText"/>
        <w:spacing w:before="1" w:line="417" w:lineRule="auto"/>
        <w:ind w:left="120" w:right="378"/>
        <w:jc w:val="both"/>
      </w:pPr>
      <w:r>
        <w:rPr>
          <w:spacing w:val="-6"/>
        </w:rPr>
        <w:t>药品质量监测是确保药品质量和安全的关键环节之一。它通过收集药</w:t>
      </w:r>
      <w:r>
        <w:rPr>
          <w:spacing w:val="-4"/>
        </w:rPr>
        <w:t>品生产、流通及使用过程中与产品质量相关的信息，对药品的质量进</w:t>
      </w:r>
      <w:r>
        <w:rPr>
          <w:spacing w:val="-4"/>
        </w:rPr>
        <w:t>行评价、控制和改进。本文将从以下几个方面探讨药品质量监测的重</w:t>
      </w:r>
      <w:r>
        <w:rPr>
          <w:spacing w:val="-4"/>
        </w:rPr>
        <w:t>要性。</w:t>
      </w:r>
    </w:p>
    <w:p>
      <w:pPr>
        <w:pStyle w:val="BodyText"/>
      </w:pPr>
    </w:p>
    <w:p>
      <w:pPr>
        <w:pStyle w:val="BodyText"/>
        <w:spacing w:before="7"/>
        <w:rPr>
          <w:sz w:val="20"/>
        </w:rPr>
      </w:pPr>
    </w:p>
    <w:p>
      <w:pPr>
        <w:pStyle w:val="BodyText"/>
        <w:spacing w:before="1"/>
        <w:ind w:left="120"/>
      </w:pPr>
      <w:r>
        <w:rPr>
          <w:spacing w:val="-2"/>
        </w:rPr>
        <w:t>一、保护公众健康</w:t>
      </w:r>
    </w:p>
    <w:p>
      <w:pPr>
        <w:pStyle w:val="BodyText"/>
      </w:pPr>
    </w:p>
    <w:p>
      <w:pPr>
        <w:pStyle w:val="BodyText"/>
        <w:spacing w:before="5"/>
        <w:rPr>
          <w:sz w:val="41"/>
        </w:rPr>
      </w:pPr>
    </w:p>
    <w:p>
      <w:pPr>
        <w:pStyle w:val="BodyText"/>
        <w:spacing w:line="417" w:lineRule="auto"/>
        <w:ind w:left="120" w:right="378"/>
        <w:jc w:val="both"/>
      </w:pPr>
      <w:r>
        <w:rPr>
          <w:spacing w:val="-7"/>
        </w:rPr>
        <w:t>药品质量直接关系到患者的健康和生命安全。不良品质的药品可能导</w:t>
      </w:r>
      <w:r>
        <w:rPr>
          <w:spacing w:val="-4"/>
        </w:rPr>
        <w:t>致疗效降低、病情恶化甚至危及生命。例如，伪劣药物可能含有有害</w:t>
      </w:r>
      <w:r>
        <w:rPr>
          <w:spacing w:val="-4"/>
        </w:rPr>
        <w:t>物质或缺乏有效成分，从而导致患者无法得到有效治疗。据统计，全</w:t>
      </w:r>
      <w:r>
        <w:rPr>
          <w:spacing w:val="-2"/>
        </w:rPr>
        <w:t xml:space="preserve">球每年因使用伪劣药物造成的死亡病例高达 </w:t>
      </w:r>
      <w:r>
        <w:rPr>
          <w:rFonts w:ascii="仿宋" w:eastAsia="仿宋"/>
        </w:rPr>
        <w:t>70</w:t>
      </w:r>
      <w:r>
        <w:rPr>
          <w:rFonts w:ascii="仿宋" w:eastAsia="仿宋"/>
          <w:spacing w:val="-35"/>
        </w:rPr>
        <w:t xml:space="preserve"> </w:t>
      </w:r>
      <w:r>
        <w:t>万例（</w:t>
      </w:r>
      <w:r>
        <w:rPr>
          <w:rFonts w:ascii="仿宋" w:eastAsia="仿宋"/>
        </w:rPr>
        <w:t>World</w:t>
      </w:r>
      <w:r>
        <w:rPr>
          <w:rFonts w:ascii="仿宋" w:eastAsia="仿宋"/>
          <w:spacing w:val="-35"/>
        </w:rPr>
        <w:t xml:space="preserve"> </w:t>
      </w:r>
      <w:r>
        <w:rPr>
          <w:rFonts w:ascii="仿宋" w:eastAsia="仿宋"/>
        </w:rPr>
        <w:t xml:space="preserve">Health </w:t>
      </w:r>
      <w:r>
        <w:rPr>
          <w:rFonts w:ascii="仿宋" w:eastAsia="仿宋"/>
          <w:spacing w:val="-2"/>
        </w:rPr>
        <w:t>Organization,</w:t>
      </w:r>
      <w:r>
        <w:rPr>
          <w:rFonts w:ascii="仿宋" w:eastAsia="仿宋"/>
          <w:spacing w:val="-33"/>
        </w:rPr>
        <w:t xml:space="preserve"> </w:t>
      </w:r>
      <w:r>
        <w:rPr>
          <w:rFonts w:ascii="仿宋" w:eastAsia="仿宋"/>
          <w:spacing w:val="25"/>
        </w:rPr>
        <w:t>2019</w:t>
      </w:r>
      <w:r>
        <w:rPr>
          <w:spacing w:val="-113"/>
        </w:rPr>
        <w:t>）</w:t>
      </w:r>
      <w:r>
        <w:rPr>
          <w:spacing w:val="-2"/>
        </w:rPr>
        <w:t>。药品质量监测能够及时发现和消除不合格产</w:t>
      </w:r>
      <w:r>
        <w:rPr>
          <w:spacing w:val="-2"/>
        </w:rPr>
        <w:t>品，防止其流入市场，从而保护广大消费者的生命安全。</w:t>
      </w:r>
    </w:p>
    <w:p>
      <w:pPr>
        <w:spacing w:after="0" w:line="417" w:lineRule="auto"/>
        <w:jc w:val="both"/>
        <w:sectPr>
          <w:footerReference w:type="default" r:id="rId6"/>
          <w:pgSz w:w="11910" w:h="16840"/>
          <w:pgMar w:top="1500" w:right="1420" w:bottom="1380" w:left="1680" w:header="0" w:footer="1195"/>
          <w:pgNumType w:start="2"/>
          <w:cols w:space="708"/>
        </w:sectPr>
      </w:pPr>
    </w:p>
    <w:p>
      <w:pPr>
        <w:pStyle w:val="BodyText"/>
        <w:spacing w:before="37"/>
        <w:ind w:left="120"/>
      </w:pPr>
      <w:r>
        <w:rPr>
          <w:spacing w:val="-1"/>
        </w:rPr>
        <w:t>二、促进医药产业发展</w:t>
      </w:r>
    </w:p>
    <w:p>
      <w:pPr>
        <w:pStyle w:val="BodyText"/>
      </w:pPr>
    </w:p>
    <w:p>
      <w:pPr>
        <w:pStyle w:val="BodyText"/>
        <w:spacing w:before="5"/>
        <w:rPr>
          <w:sz w:val="41"/>
        </w:rPr>
      </w:pPr>
    </w:p>
    <w:p>
      <w:pPr>
        <w:pStyle w:val="BodyText"/>
        <w:spacing w:line="417" w:lineRule="auto"/>
        <w:ind w:left="120" w:right="98"/>
      </w:pPr>
      <w:r>
        <w:rPr>
          <w:spacing w:val="-2"/>
        </w:rPr>
        <w:t>药品质量不仅是衡量药品生产企业技术水平和管理水平的重要指标，</w:t>
      </w:r>
      <w:r>
        <w:rPr>
          <w:spacing w:val="-8"/>
        </w:rPr>
        <w:t>也是影响企业声誉和竞争力的关键因素。高质量的产品可以增强企业</w:t>
      </w:r>
      <w:r>
        <w:rPr>
          <w:spacing w:val="-2"/>
        </w:rPr>
        <w:t xml:space="preserve"> </w:t>
      </w:r>
      <w:r>
        <w:rPr>
          <w:spacing w:val="-2"/>
        </w:rPr>
        <w:t>的市场竞争力，赢得消费者的信任。药品质量监测有助于企业了解自</w:t>
      </w:r>
      <w:r>
        <w:rPr>
          <w:spacing w:val="-2"/>
        </w:rPr>
        <w:t xml:space="preserve"> </w:t>
      </w:r>
      <w:r>
        <w:rPr>
          <w:spacing w:val="-2"/>
        </w:rPr>
        <w:t>身产品的质量问题，及时采取措施改进生产工艺和管理方式，提升产</w:t>
      </w:r>
      <w:r>
        <w:rPr>
          <w:spacing w:val="-2"/>
        </w:rPr>
        <w:t xml:space="preserve"> </w:t>
      </w:r>
      <w:r>
        <w:rPr>
          <w:spacing w:val="-2"/>
        </w:rPr>
        <w:t>品质量，从而推动整个医药产业的健康发展。</w:t>
      </w:r>
    </w:p>
    <w:p>
      <w:pPr>
        <w:pStyle w:val="BodyText"/>
      </w:pPr>
    </w:p>
    <w:p>
      <w:pPr>
        <w:pStyle w:val="BodyText"/>
        <w:spacing w:before="7"/>
        <w:rPr>
          <w:sz w:val="20"/>
        </w:rPr>
      </w:pPr>
    </w:p>
    <w:p>
      <w:pPr>
        <w:pStyle w:val="BodyText"/>
        <w:spacing w:before="1"/>
        <w:ind w:left="120"/>
      </w:pPr>
      <w:r>
        <w:rPr>
          <w:spacing w:val="-2"/>
        </w:rPr>
        <w:t>三、优化资源配置</w:t>
      </w:r>
    </w:p>
    <w:p>
      <w:pPr>
        <w:pStyle w:val="BodyText"/>
      </w:pPr>
    </w:p>
    <w:p>
      <w:pPr>
        <w:pStyle w:val="BodyText"/>
        <w:spacing w:before="5"/>
        <w:rPr>
          <w:sz w:val="41"/>
        </w:rPr>
      </w:pPr>
    </w:p>
    <w:p>
      <w:pPr>
        <w:pStyle w:val="BodyText"/>
        <w:spacing w:line="417" w:lineRule="auto"/>
        <w:ind w:left="120" w:right="238"/>
      </w:pPr>
      <w:r>
        <w:rPr>
          <w:spacing w:val="-7"/>
        </w:rPr>
        <w:t>药品质量监测结果可为政府决策提供科学依据，帮助政府部门更有效</w:t>
      </w:r>
      <w:r>
        <w:rPr>
          <w:spacing w:val="-18"/>
        </w:rPr>
        <w:t>地监管药品市场，优化资源分配。通过对市场上各类药品的质量评估，</w:t>
      </w:r>
      <w:r>
        <w:rPr>
          <w:spacing w:val="-7"/>
        </w:rPr>
        <w:t>监管部门可以确定哪些药品存在质量问题，并有针对性地加强监管力</w:t>
      </w:r>
      <w:r>
        <w:rPr>
          <w:spacing w:val="-2"/>
        </w:rPr>
        <w:t>度。同时，通过监测数据还可以识别行业共性问题，指导政策制定和</w:t>
      </w:r>
      <w:r>
        <w:rPr>
          <w:spacing w:val="-2"/>
        </w:rPr>
        <w:t>行业发展方向，促进药品市场的公平竞争。</w:t>
      </w:r>
    </w:p>
    <w:p>
      <w:pPr>
        <w:pStyle w:val="BodyText"/>
      </w:pPr>
    </w:p>
    <w:p>
      <w:pPr>
        <w:pStyle w:val="BodyText"/>
        <w:spacing w:before="7"/>
        <w:rPr>
          <w:sz w:val="20"/>
        </w:rPr>
      </w:pPr>
    </w:p>
    <w:p>
      <w:pPr>
        <w:pStyle w:val="BodyText"/>
        <w:spacing w:before="1"/>
        <w:ind w:left="120"/>
      </w:pPr>
      <w:r>
        <w:rPr>
          <w:spacing w:val="-1"/>
        </w:rPr>
        <w:t>四、保障药品研发创新</w:t>
      </w:r>
    </w:p>
    <w:p>
      <w:pPr>
        <w:pStyle w:val="BodyText"/>
      </w:pPr>
    </w:p>
    <w:p>
      <w:pPr>
        <w:pStyle w:val="BodyText"/>
        <w:spacing w:before="5"/>
        <w:rPr>
          <w:sz w:val="41"/>
        </w:rPr>
      </w:pPr>
    </w:p>
    <w:p>
      <w:pPr>
        <w:pStyle w:val="BodyText"/>
        <w:spacing w:line="417" w:lineRule="auto"/>
        <w:ind w:left="120" w:right="378"/>
        <w:jc w:val="both"/>
      </w:pPr>
      <w:r>
        <w:rPr>
          <w:spacing w:val="-4"/>
        </w:rPr>
        <w:t>药品的研发过程是一个充满挑战和风险的过程。在新药开发阶段，需</w:t>
      </w:r>
      <w:r>
        <w:rPr>
          <w:spacing w:val="-6"/>
        </w:rPr>
        <w:t>要进行大量的实验研究来验证药物的安全性和有效性。药品质量监测</w:t>
      </w:r>
      <w:r>
        <w:rPr>
          <w:spacing w:val="-4"/>
        </w:rPr>
        <w:t>可以帮助企业在研发过程中及时发现问题，调整研发策略，提高新药</w:t>
      </w:r>
      <w:r>
        <w:rPr>
          <w:spacing w:val="-5"/>
        </w:rPr>
        <w:t>的成功率。此外，药品质量监测还能为企业提供市场竞争情报，帮助</w:t>
      </w:r>
    </w:p>
    <w:p>
      <w:pPr>
        <w:spacing w:after="0" w:line="417" w:lineRule="auto"/>
        <w:jc w:val="both"/>
        <w:sectPr>
          <w:footerReference w:type="default" r:id="rId7"/>
          <w:pgSz w:w="11910" w:h="16840"/>
          <w:pgMar w:top="1520" w:right="1420" w:bottom="1380" w:left="1680" w:header="0" w:footer="1195"/>
          <w:pgNumType w:start="3"/>
          <w:cols w:space="708"/>
        </w:sectPr>
      </w:pPr>
    </w:p>
    <w:p>
      <w:pPr>
        <w:pStyle w:val="BodyText"/>
        <w:spacing w:before="37"/>
        <w:ind w:left="120"/>
      </w:pPr>
      <w:r>
        <w:rPr>
          <w:spacing w:val="-1"/>
        </w:rPr>
        <w:t>企业了解竞争对手的产品特点，以便制定更有效的竞争策略。</w:t>
      </w:r>
    </w:p>
    <w:p>
      <w:pPr>
        <w:pStyle w:val="BodyText"/>
      </w:pPr>
    </w:p>
    <w:p>
      <w:pPr>
        <w:pStyle w:val="BodyText"/>
        <w:spacing w:before="5"/>
        <w:rPr>
          <w:sz w:val="41"/>
        </w:rPr>
      </w:pPr>
    </w:p>
    <w:p>
      <w:pPr>
        <w:pStyle w:val="BodyText"/>
        <w:ind w:left="120"/>
      </w:pPr>
      <w:r>
        <w:rPr>
          <w:spacing w:val="-1"/>
        </w:rPr>
        <w:t>五、提高药品供应链效率</w:t>
      </w:r>
    </w:p>
    <w:p>
      <w:pPr>
        <w:pStyle w:val="BodyText"/>
      </w:pPr>
    </w:p>
    <w:p>
      <w:pPr>
        <w:pStyle w:val="BodyText"/>
        <w:spacing w:before="5"/>
        <w:rPr>
          <w:sz w:val="41"/>
        </w:rPr>
      </w:pPr>
    </w:p>
    <w:p>
      <w:pPr>
        <w:pStyle w:val="BodyText"/>
        <w:spacing w:line="417" w:lineRule="auto"/>
        <w:ind w:left="120" w:right="378"/>
        <w:jc w:val="both"/>
      </w:pPr>
      <w:r>
        <w:rPr>
          <w:spacing w:val="-4"/>
        </w:rPr>
        <w:t>药品质量监测贯穿于药品生产的全过程，包括原材料采购、生产和销</w:t>
      </w:r>
      <w:r>
        <w:rPr>
          <w:spacing w:val="-4"/>
        </w:rPr>
        <w:t>售等环节。通过对这些环节的质量监控，企业可以及时发现并解决可</w:t>
      </w:r>
      <w:r>
        <w:rPr>
          <w:spacing w:val="-4"/>
        </w:rPr>
        <w:t>能出现的问题，减少浪费，提高生产效率。同时，药品质量监测也有</w:t>
      </w:r>
      <w:r>
        <w:rPr>
          <w:spacing w:val="-2"/>
        </w:rPr>
        <w:t>助于降低召回风险，减少经济损失，提高供应链的整体效率。</w:t>
      </w:r>
    </w:p>
    <w:p>
      <w:pPr>
        <w:pStyle w:val="BodyText"/>
      </w:pPr>
    </w:p>
    <w:p>
      <w:pPr>
        <w:pStyle w:val="BodyText"/>
        <w:spacing w:before="8"/>
        <w:rPr>
          <w:sz w:val="20"/>
        </w:rPr>
      </w:pPr>
    </w:p>
    <w:p>
      <w:pPr>
        <w:pStyle w:val="BodyText"/>
        <w:spacing w:line="417" w:lineRule="auto"/>
        <w:ind w:left="120" w:right="238"/>
      </w:pPr>
      <w:r>
        <w:rPr>
          <w:spacing w:val="-2"/>
        </w:rPr>
        <w:t>综上所述，药品质量监测在保护公众健康、促进医药产业发展、优化</w:t>
      </w:r>
      <w:r>
        <w:rPr>
          <w:spacing w:val="-12"/>
        </w:rPr>
        <w:t>资源配置、保障药品研发创新以及提高药品供应链效率等方面都发挥</w:t>
      </w:r>
      <w:r>
        <w:rPr>
          <w:spacing w:val="-19"/>
        </w:rPr>
        <w:t>着重要作用。因此，建立健全药品质量监测体系，加强药品质量控制，</w:t>
      </w:r>
      <w:r>
        <w:rPr>
          <w:spacing w:val="-2"/>
        </w:rPr>
        <w:t>是实现药品行业可持续发展和社会公共卫生安全的重要保障。</w:t>
      </w:r>
    </w:p>
    <w:p>
      <w:pPr>
        <w:pStyle w:val="BodyText"/>
      </w:pPr>
    </w:p>
    <w:p>
      <w:pPr>
        <w:pStyle w:val="Heading1"/>
        <w:spacing w:before="237"/>
      </w:pPr>
      <w:bookmarkStart w:id="1" w:name="_TOC_250008"/>
      <w:r>
        <w:t>第二部分</w:t>
      </w:r>
      <w:r>
        <w:rPr>
          <w:spacing w:val="215"/>
          <w:w w:val="150"/>
        </w:rPr>
        <w:t xml:space="preserve"> </w:t>
      </w:r>
      <w:bookmarkEnd w:id="1"/>
      <w:r>
        <w:rPr>
          <w:spacing w:val="-1"/>
        </w:rPr>
        <w:t>当前药品质量控制技术概述</w:t>
      </w:r>
    </w:p>
    <w:p>
      <w:pPr>
        <w:pStyle w:val="BodyText"/>
        <w:spacing w:before="4"/>
        <w:rPr>
          <w:rFonts w:ascii="Microsoft JhengHei"/>
          <w:b/>
          <w:sz w:val="23"/>
        </w:rPr>
      </w:pPr>
    </w:p>
    <w:p>
      <w:pPr>
        <w:pStyle w:val="BodyText"/>
        <w:spacing w:line="417" w:lineRule="auto"/>
        <w:ind w:left="120" w:right="378" w:firstLine="560"/>
        <w:jc w:val="both"/>
      </w:pPr>
      <w:r>
        <w:rPr>
          <w:spacing w:val="-8"/>
        </w:rPr>
        <w:t>药品质量是保障人类健康的重要环节。当前的药品质量控制技术</w:t>
      </w:r>
      <w:r>
        <w:rPr>
          <w:spacing w:val="-4"/>
        </w:rPr>
        <w:t>已经取得了显著的进步，但仍然存在诸多挑战。本文将概述当前药品</w:t>
      </w:r>
      <w:r>
        <w:rPr>
          <w:spacing w:val="-2"/>
        </w:rPr>
        <w:t>质量控制技术的主要方面。</w:t>
      </w:r>
    </w:p>
    <w:p>
      <w:pPr>
        <w:pStyle w:val="BodyText"/>
      </w:pPr>
    </w:p>
    <w:p>
      <w:pPr>
        <w:pStyle w:val="BodyText"/>
        <w:spacing w:before="8"/>
        <w:rPr>
          <w:sz w:val="20"/>
        </w:rPr>
      </w:pPr>
    </w:p>
    <w:p>
      <w:pPr>
        <w:pStyle w:val="BodyText"/>
        <w:spacing w:line="417" w:lineRule="auto"/>
        <w:ind w:left="120" w:right="98"/>
      </w:pPr>
      <w:r>
        <w:rPr>
          <w:spacing w:val="-2"/>
        </w:rPr>
        <w:t>首先，药物的质量控制始于原料的选择和制备过程。在原料药阶段，</w:t>
      </w:r>
      <w:r>
        <w:rPr>
          <w:spacing w:val="-1"/>
        </w:rPr>
        <w:t>质量控制的关键在于对原材料进行详细的化学分析和物理性能测试，</w:t>
      </w:r>
    </w:p>
    <w:p>
      <w:pPr>
        <w:spacing w:after="0" w:line="417" w:lineRule="auto"/>
        <w:sectPr>
          <w:footerReference w:type="default" r:id="rId8"/>
          <w:pgSz w:w="11910" w:h="16840"/>
          <w:pgMar w:top="1520" w:right="1420" w:bottom="1380" w:left="1680" w:header="0" w:footer="1195"/>
          <w:pgNumType w:start="4"/>
          <w:cols w:space="708"/>
        </w:sectPr>
      </w:pPr>
    </w:p>
    <w:p>
      <w:pPr>
        <w:pStyle w:val="BodyText"/>
        <w:spacing w:before="37" w:line="417" w:lineRule="auto"/>
        <w:ind w:left="120" w:right="378"/>
        <w:jc w:val="both"/>
      </w:pPr>
      <w:r>
        <w:rPr>
          <w:spacing w:val="-4"/>
        </w:rPr>
        <w:t>以确保其纯度、活性以及稳定性。同时，对生产过程中的关键参数如</w:t>
      </w:r>
      <w:r>
        <w:rPr>
          <w:spacing w:val="-4"/>
        </w:rPr>
        <w:t>温度、压力等进行监控和控制，保证产品的一致性。近年来，随着计</w:t>
      </w:r>
      <w:r>
        <w:rPr>
          <w:spacing w:val="-2"/>
        </w:rPr>
        <w:t>算机辅助设计（</w:t>
      </w:r>
      <w:r>
        <w:rPr>
          <w:rFonts w:ascii="仿宋" w:eastAsia="仿宋"/>
          <w:spacing w:val="-2"/>
        </w:rPr>
        <w:t>CAD</w:t>
      </w:r>
      <w:r>
        <w:rPr>
          <w:spacing w:val="-2"/>
        </w:rPr>
        <w:t>）和模拟软件的发展，原料药的合成路线和工艺</w:t>
      </w:r>
      <w:r>
        <w:rPr>
          <w:spacing w:val="-2"/>
        </w:rPr>
        <w:t>参数可以通过优化计算得到最佳化，从而提高产品质量和产量。</w:t>
      </w:r>
    </w:p>
    <w:p>
      <w:pPr>
        <w:pStyle w:val="BodyText"/>
      </w:pPr>
    </w:p>
    <w:p>
      <w:pPr>
        <w:pStyle w:val="BodyText"/>
        <w:spacing w:before="7"/>
        <w:rPr>
          <w:sz w:val="20"/>
        </w:rPr>
      </w:pPr>
    </w:p>
    <w:p>
      <w:pPr>
        <w:pStyle w:val="BodyText"/>
        <w:spacing w:before="1" w:line="417" w:lineRule="auto"/>
        <w:ind w:left="120" w:right="98"/>
      </w:pPr>
      <w:r>
        <w:rPr>
          <w:spacing w:val="-2"/>
        </w:rPr>
        <w:t>其次，在制剂阶段，质量控制主要包括药物组分的均匀性和稳定性。</w:t>
      </w:r>
      <w:r>
        <w:rPr>
          <w:spacing w:val="-2"/>
        </w:rPr>
        <w:t>为了确保药物在体内能够有效释放和吸收，需要对剂型、包装材料等</w:t>
      </w:r>
      <w:r>
        <w:rPr>
          <w:spacing w:val="-2"/>
        </w:rPr>
        <w:t xml:space="preserve"> </w:t>
      </w:r>
      <w:r>
        <w:rPr>
          <w:spacing w:val="-18"/>
        </w:rPr>
        <w:t>方面进行严格控制。此外，通过检测药物的物理化学性质，如溶解度、</w:t>
      </w:r>
      <w:r>
        <w:rPr>
          <w:spacing w:val="-2"/>
        </w:rPr>
        <w:t>粒径分布等，可以评估药物的稳定性和生物利用度。近年来，质谱、</w:t>
      </w:r>
      <w:r>
        <w:rPr>
          <w:spacing w:val="-6"/>
        </w:rPr>
        <w:t>核磁共振等先进的分析技术已经被广泛应用于药品质量控制中，提高</w:t>
      </w:r>
      <w:r>
        <w:rPr>
          <w:spacing w:val="-2"/>
        </w:rPr>
        <w:t xml:space="preserve"> </w:t>
      </w:r>
      <w:r>
        <w:rPr>
          <w:spacing w:val="-2"/>
        </w:rPr>
        <w:t>了检测速度和准确性。</w:t>
      </w:r>
    </w:p>
    <w:p>
      <w:pPr>
        <w:pStyle w:val="BodyText"/>
      </w:pPr>
    </w:p>
    <w:p>
      <w:pPr>
        <w:pStyle w:val="BodyText"/>
        <w:spacing w:before="7"/>
        <w:rPr>
          <w:sz w:val="20"/>
        </w:rPr>
      </w:pPr>
    </w:p>
    <w:p>
      <w:pPr>
        <w:pStyle w:val="BodyText"/>
        <w:spacing w:line="417" w:lineRule="auto"/>
        <w:ind w:left="120" w:right="98"/>
      </w:pPr>
      <w:r>
        <w:rPr>
          <w:spacing w:val="-2"/>
        </w:rPr>
        <w:t>最后，上市后的药品也需要持续监测其质量和安全性。通过收集不良</w:t>
      </w:r>
      <w:r>
        <w:rPr>
          <w:spacing w:val="-2"/>
        </w:rPr>
        <w:t xml:space="preserve"> </w:t>
      </w:r>
      <w:r>
        <w:rPr>
          <w:spacing w:val="-2"/>
        </w:rPr>
        <w:t>反应报告、药品使用情况等信息，可以及时发现并处理质量问题。同 时，通过对市场上的药品进行定期抽样检查，可以评估药品的合规性</w:t>
      </w:r>
      <w:r>
        <w:rPr>
          <w:spacing w:val="-2"/>
        </w:rPr>
        <w:t xml:space="preserve"> </w:t>
      </w:r>
      <w:r>
        <w:rPr>
          <w:spacing w:val="-2"/>
        </w:rPr>
        <w:t>和一致性。此外，采用大数据和人工智能技术进行数据分析和预测，</w:t>
      </w:r>
      <w:r>
        <w:rPr>
          <w:spacing w:val="-2"/>
        </w:rPr>
        <w:t>可以帮助监管机构更有效地管理和监督药品质量。</w:t>
      </w:r>
    </w:p>
    <w:p>
      <w:pPr>
        <w:pStyle w:val="BodyText"/>
      </w:pPr>
    </w:p>
    <w:p>
      <w:pPr>
        <w:pStyle w:val="BodyText"/>
        <w:spacing w:before="8"/>
        <w:rPr>
          <w:sz w:val="20"/>
        </w:rPr>
      </w:pPr>
    </w:p>
    <w:p>
      <w:pPr>
        <w:pStyle w:val="BodyText"/>
        <w:spacing w:line="417" w:lineRule="auto"/>
        <w:ind w:left="120" w:right="98"/>
      </w:pPr>
      <w:r>
        <w:rPr>
          <w:spacing w:val="-2"/>
        </w:rPr>
        <w:t>综上所述，当前药品质量控制技术涵盖了从原料到成品的全过程，并</w:t>
      </w:r>
      <w:r>
        <w:rPr>
          <w:spacing w:val="-2"/>
        </w:rPr>
        <w:t xml:space="preserve"> </w:t>
      </w:r>
      <w:r>
        <w:rPr>
          <w:spacing w:val="-2"/>
        </w:rPr>
        <w:t>且随着科技的发展，越来越多的先进技术被应用到药品质量控制中，</w:t>
      </w:r>
      <w:r>
        <w:rPr>
          <w:spacing w:val="-2"/>
        </w:rPr>
        <w:t>为保证药品的安全性和有效性提供了强有力的保障。然而，由于药品</w:t>
      </w:r>
      <w:r>
        <w:rPr>
          <w:spacing w:val="-2"/>
        </w:rPr>
        <w:t xml:space="preserve"> </w:t>
      </w:r>
      <w:r>
        <w:rPr>
          <w:spacing w:val="-12"/>
        </w:rPr>
        <w:t>质量的影响因素众多，因此需要不断完善和改进现有的质量控制技术</w:t>
      </w:r>
    </w:p>
    <w:p>
      <w:pPr>
        <w:spacing w:after="0" w:line="417" w:lineRule="auto"/>
        <w:sectPr>
          <w:footerReference w:type="default" r:id="rId9"/>
          <w:pgSz w:w="11910" w:h="16840"/>
          <w:pgMar w:top="1520" w:right="1420" w:bottom="1380" w:left="1680" w:header="0" w:footer="1195"/>
          <w:pgNumType w:start="5"/>
          <w:cols w:space="708"/>
        </w:sectPr>
      </w:pPr>
    </w:p>
    <w:p>
      <w:pPr>
        <w:pStyle w:val="BodyText"/>
        <w:spacing w:before="37"/>
        <w:ind w:left="120"/>
      </w:pPr>
      <w:r>
        <w:rPr>
          <w:spacing w:val="-1"/>
        </w:rPr>
        <w:t>和方法，以应对未来的挑战。</w:t>
      </w:r>
    </w:p>
    <w:p>
      <w:pPr>
        <w:pStyle w:val="BodyText"/>
      </w:pPr>
    </w:p>
    <w:p>
      <w:pPr>
        <w:pStyle w:val="BodyText"/>
        <w:spacing w:before="3"/>
        <w:rPr>
          <w:sz w:val="39"/>
        </w:rPr>
      </w:pPr>
    </w:p>
    <w:p>
      <w:pPr>
        <w:pStyle w:val="Heading1"/>
        <w:tabs>
          <w:tab w:val="left" w:pos="1725"/>
        </w:tabs>
        <w:jc w:val="left"/>
      </w:pPr>
      <w:bookmarkStart w:id="2" w:name="_TOC_250007"/>
      <w:r>
        <w:t>第</w:t>
      </w:r>
      <w:r>
        <w:t>三</w:t>
      </w:r>
      <w:r>
        <w:t>部</w:t>
      </w:r>
      <w:r>
        <w:rPr>
          <w:spacing w:val="-10"/>
        </w:rPr>
        <w:t>分</w:t>
      </w:r>
      <w:r>
        <w:tab/>
        <w:t>药</w:t>
      </w:r>
      <w:r>
        <w:t>品</w:t>
      </w:r>
      <w:r>
        <w:t>质</w:t>
      </w:r>
      <w:r>
        <w:t>量</w:t>
      </w:r>
      <w:r>
        <w:t>监</w:t>
      </w:r>
      <w:r>
        <w:t>测</w:t>
      </w:r>
      <w:r>
        <w:t>与</w:t>
      </w:r>
      <w:r>
        <w:t>控</w:t>
      </w:r>
      <w:r>
        <w:t>制</w:t>
      </w:r>
      <w:r>
        <w:t>面</w:t>
      </w:r>
      <w:r>
        <w:t>临</w:t>
      </w:r>
      <w:r>
        <w:t>的</w:t>
      </w:r>
      <w:r>
        <w:t>挑</w:t>
      </w:r>
      <w:bookmarkEnd w:id="2"/>
      <w:r>
        <w:rPr>
          <w:spacing w:val="-10"/>
        </w:rPr>
        <w:t>战</w:t>
      </w:r>
    </w:p>
    <w:p>
      <w:pPr>
        <w:pStyle w:val="BodyText"/>
        <w:spacing w:before="4"/>
        <w:rPr>
          <w:rFonts w:ascii="Microsoft JhengHei"/>
          <w:b/>
          <w:sz w:val="23"/>
        </w:rPr>
      </w:pPr>
    </w:p>
    <w:p>
      <w:pPr>
        <w:pStyle w:val="BodyText"/>
        <w:spacing w:line="417" w:lineRule="auto"/>
        <w:ind w:left="120" w:right="238" w:firstLine="560"/>
      </w:pPr>
      <w:r>
        <w:rPr>
          <w:spacing w:val="-8"/>
        </w:rPr>
        <w:t>药品质量监测与控制是保障公众健康、确保药品安全性和有效性</w:t>
      </w:r>
      <w:r>
        <w:rPr>
          <w:spacing w:val="-19"/>
        </w:rPr>
        <w:t>的关键环节。然而，随着药品生产规模的不断扩大和复杂性不断提高，</w:t>
      </w:r>
      <w:r>
        <w:rPr>
          <w:spacing w:val="-2"/>
        </w:rPr>
        <w:t>药品质量监测与控制面临着一系列严峻挑战。</w:t>
      </w:r>
    </w:p>
    <w:p>
      <w:pPr>
        <w:pStyle w:val="BodyText"/>
      </w:pPr>
    </w:p>
    <w:p>
      <w:pPr>
        <w:pStyle w:val="BodyText"/>
        <w:spacing w:before="8"/>
        <w:rPr>
          <w:sz w:val="20"/>
        </w:rPr>
      </w:pPr>
    </w:p>
    <w:p>
      <w:pPr>
        <w:pStyle w:val="BodyText"/>
        <w:spacing w:line="417" w:lineRule="auto"/>
        <w:ind w:left="120" w:right="238"/>
      </w:pPr>
      <w:r>
        <w:rPr>
          <w:spacing w:val="-9"/>
        </w:rPr>
        <w:t>首先，药品质量标准日益严格。国际上的药品质量标准不断提升，例</w:t>
      </w:r>
      <w:r>
        <w:rPr>
          <w:spacing w:val="1"/>
        </w:rPr>
        <w:t>如，世界卫生组织（</w:t>
      </w:r>
      <w:r>
        <w:rPr>
          <w:rFonts w:ascii="仿宋" w:eastAsia="仿宋"/>
        </w:rPr>
        <w:t>WHO</w:t>
      </w:r>
      <w:r>
        <w:rPr>
          <w:spacing w:val="1"/>
        </w:rPr>
        <w:t>）</w:t>
      </w:r>
      <w:r>
        <w:t>发布了一系列关于药品质量的标准，并要</w:t>
      </w:r>
      <w:r>
        <w:rPr>
          <w:spacing w:val="-9"/>
        </w:rPr>
        <w:t>求各国执行。这些标准不仅包括药品的成分和含量，还包括生产过程</w:t>
      </w:r>
      <w:r>
        <w:rPr>
          <w:spacing w:val="-13"/>
        </w:rPr>
        <w:t>的质量控制以及储存和运输条件等方面的要求。同时，随着科技的发</w:t>
      </w:r>
      <w:r>
        <w:rPr>
          <w:spacing w:val="-17"/>
        </w:rPr>
        <w:t>展，新的分析技术和方法不断涌现，对药品的质量提出了更高的要求。</w:t>
      </w:r>
      <w:r>
        <w:rPr>
          <w:spacing w:val="5"/>
        </w:rPr>
        <w:t>如何及时更新质量标准并采用先进的技术进行检测成为药品质量监测与控制面临的首要挑战。</w:t>
      </w:r>
    </w:p>
    <w:p>
      <w:pPr>
        <w:pStyle w:val="BodyText"/>
      </w:pPr>
    </w:p>
    <w:p>
      <w:pPr>
        <w:pStyle w:val="BodyText"/>
        <w:spacing w:before="8"/>
        <w:rPr>
          <w:sz w:val="20"/>
        </w:rPr>
      </w:pPr>
    </w:p>
    <w:p>
      <w:pPr>
        <w:pStyle w:val="BodyText"/>
        <w:spacing w:line="417" w:lineRule="auto"/>
        <w:ind w:left="120" w:right="378"/>
        <w:jc w:val="both"/>
      </w:pPr>
      <w:r>
        <w:rPr>
          <w:spacing w:val="-4"/>
        </w:rPr>
        <w:t>其次，药品生产的全球化趋势加剧了监管难度。当前，许多药品都是</w:t>
      </w:r>
      <w:r>
        <w:rPr>
          <w:spacing w:val="-4"/>
        </w:rPr>
        <w:t>在全球范围内生产、分销和销售的。这就意味着药品的质量不仅仅取</w:t>
      </w:r>
      <w:r>
        <w:rPr>
          <w:spacing w:val="-9"/>
        </w:rPr>
        <w:t>决于某一国家或地区的监管水平，还需要全球各相关方共同努力才能</w:t>
      </w:r>
      <w:r>
        <w:rPr>
          <w:spacing w:val="-4"/>
        </w:rPr>
        <w:t>保证其质量。同时，由于各个国家和地区对于药品生产和质量管理的</w:t>
      </w:r>
      <w:r>
        <w:rPr>
          <w:spacing w:val="-2"/>
        </w:rPr>
        <w:t>规定可能存在差异，使得药品质量的监控变得更加困难。</w:t>
      </w:r>
    </w:p>
    <w:p>
      <w:pPr>
        <w:spacing w:after="0" w:line="417" w:lineRule="auto"/>
        <w:jc w:val="both"/>
        <w:sectPr>
          <w:footerReference w:type="default" r:id="rId10"/>
          <w:pgSz w:w="11910" w:h="16840"/>
          <w:pgMar w:top="1520" w:right="1420" w:bottom="1380" w:left="1680" w:header="0" w:footer="1195"/>
          <w:pgNumType w:start="6"/>
          <w:cols w:space="708"/>
        </w:sectPr>
      </w:pPr>
    </w:p>
    <w:p>
      <w:pPr>
        <w:pStyle w:val="BodyText"/>
        <w:spacing w:before="37" w:line="417" w:lineRule="auto"/>
        <w:ind w:left="120" w:right="98"/>
      </w:pPr>
      <w:r>
        <w:rPr>
          <w:spacing w:val="-2"/>
        </w:rPr>
        <w:t>再次，新兴市场中存在质量问题。新兴市场的药品需求不断增加，但</w:t>
      </w:r>
      <w:r>
        <w:rPr>
          <w:spacing w:val="-2"/>
        </w:rPr>
        <w:t xml:space="preserve"> </w:t>
      </w:r>
      <w:r>
        <w:rPr>
          <w:spacing w:val="-2"/>
        </w:rPr>
        <w:t>与此同时，这些市场的药品质量和安全性问题也备受关注。一些非法</w:t>
      </w:r>
      <w:r>
        <w:rPr>
          <w:spacing w:val="-2"/>
        </w:rPr>
        <w:t xml:space="preserve"> </w:t>
      </w:r>
      <w:r>
        <w:rPr>
          <w:spacing w:val="-2"/>
        </w:rPr>
        <w:t>和不合格的药品在市场上流通，严重威胁到公众的健康和生命安全。</w:t>
      </w:r>
      <w:r>
        <w:rPr>
          <w:spacing w:val="-13"/>
        </w:rPr>
        <w:t>因此，如何在这些市场上建立有效的药品质量监控体系成为一项重要</w:t>
      </w:r>
      <w:r>
        <w:rPr>
          <w:spacing w:val="-2"/>
        </w:rPr>
        <w:t xml:space="preserve"> </w:t>
      </w:r>
      <w:r>
        <w:rPr>
          <w:spacing w:val="-4"/>
        </w:rPr>
        <w:t>任务。</w:t>
      </w:r>
    </w:p>
    <w:p>
      <w:pPr>
        <w:pStyle w:val="BodyText"/>
      </w:pPr>
    </w:p>
    <w:p>
      <w:pPr>
        <w:pStyle w:val="BodyText"/>
        <w:spacing w:before="7"/>
        <w:rPr>
          <w:sz w:val="20"/>
        </w:rPr>
      </w:pPr>
    </w:p>
    <w:p>
      <w:pPr>
        <w:pStyle w:val="BodyText"/>
        <w:spacing w:line="417" w:lineRule="auto"/>
        <w:ind w:left="120" w:right="98"/>
      </w:pPr>
      <w:r>
        <w:rPr>
          <w:spacing w:val="-20"/>
        </w:rPr>
        <w:t>此外，药品供应链的安全性也是一大挑战。药品供应链涉及多个环节，</w:t>
      </w:r>
      <w:r>
        <w:rPr>
          <w:spacing w:val="-2"/>
        </w:rPr>
        <w:t>包括原材料采购、生产制造、储存、运输和分销等。任何一个环节出</w:t>
      </w:r>
      <w:r>
        <w:rPr>
          <w:spacing w:val="-2"/>
        </w:rPr>
        <w:t xml:space="preserve"> </w:t>
      </w:r>
      <w:r>
        <w:rPr>
          <w:spacing w:val="-2"/>
        </w:rPr>
        <w:t>现疏漏都可能导致药品质量问题。近年来，假冒伪劣药品事件频发，</w:t>
      </w:r>
      <w:r>
        <w:rPr>
          <w:spacing w:val="-2"/>
        </w:rPr>
        <w:t>引起了社会广泛关注。因此，如何确保药品供应链的安全性和完整性</w:t>
      </w:r>
      <w:r>
        <w:rPr>
          <w:spacing w:val="-2"/>
        </w:rPr>
        <w:t xml:space="preserve"> </w:t>
      </w:r>
      <w:r>
        <w:rPr>
          <w:spacing w:val="-2"/>
        </w:rPr>
        <w:t>成为药品质量监测与控制的重要课题。</w:t>
      </w:r>
    </w:p>
    <w:p>
      <w:pPr>
        <w:pStyle w:val="BodyText"/>
      </w:pPr>
    </w:p>
    <w:p>
      <w:pPr>
        <w:pStyle w:val="BodyText"/>
        <w:spacing w:before="8"/>
        <w:rPr>
          <w:sz w:val="20"/>
        </w:rPr>
      </w:pPr>
    </w:p>
    <w:p>
      <w:pPr>
        <w:pStyle w:val="BodyText"/>
        <w:spacing w:line="417" w:lineRule="auto"/>
        <w:ind w:left="120" w:right="145"/>
      </w:pPr>
      <w:r>
        <w:rPr>
          <w:spacing w:val="-14"/>
        </w:rPr>
        <w:t>针对上述挑战，需要采取多种措施来提升药品质量监测与控制的技术。</w:t>
      </w:r>
      <w:r>
        <w:rPr>
          <w:spacing w:val="-2"/>
        </w:rPr>
        <w:t>这包括但不限于：</w:t>
      </w:r>
    </w:p>
    <w:p>
      <w:pPr>
        <w:pStyle w:val="BodyText"/>
      </w:pPr>
    </w:p>
    <w:p>
      <w:pPr>
        <w:pStyle w:val="BodyText"/>
        <w:spacing w:before="9"/>
        <w:rPr>
          <w:sz w:val="20"/>
        </w:rPr>
      </w:pPr>
    </w:p>
    <w:p>
      <w:pPr>
        <w:pStyle w:val="ListParagraph"/>
        <w:numPr>
          <w:ilvl w:val="0"/>
          <w:numId w:val="5"/>
        </w:numPr>
        <w:tabs>
          <w:tab w:val="left" w:pos="542"/>
        </w:tabs>
        <w:spacing w:before="0" w:after="0" w:line="417" w:lineRule="auto"/>
        <w:ind w:left="120" w:right="378" w:firstLine="0"/>
        <w:jc w:val="both"/>
        <w:rPr>
          <w:sz w:val="28"/>
        </w:rPr>
      </w:pPr>
      <w:r>
        <w:rPr>
          <w:spacing w:val="-2"/>
          <w:sz w:val="28"/>
        </w:rPr>
        <w:t>建立全面的质量管理体系：应根据药品生产的特点和实际情况，</w:t>
      </w:r>
      <w:r>
        <w:rPr>
          <w:spacing w:val="-7"/>
          <w:sz w:val="28"/>
        </w:rPr>
        <w:t>建立健全覆盖整个药品生命周期的质量管理体系，确保从原料到成品</w:t>
      </w:r>
      <w:r>
        <w:rPr>
          <w:spacing w:val="-2"/>
          <w:sz w:val="28"/>
        </w:rPr>
        <w:t>的每一个环节都能得到严格的监控。</w:t>
      </w:r>
    </w:p>
    <w:p>
      <w:pPr>
        <w:pStyle w:val="BodyText"/>
      </w:pPr>
    </w:p>
    <w:p>
      <w:pPr>
        <w:pStyle w:val="BodyText"/>
        <w:spacing w:before="8"/>
        <w:rPr>
          <w:sz w:val="20"/>
        </w:rPr>
      </w:pPr>
    </w:p>
    <w:p>
      <w:pPr>
        <w:pStyle w:val="ListParagraph"/>
        <w:numPr>
          <w:ilvl w:val="0"/>
          <w:numId w:val="5"/>
        </w:numPr>
        <w:tabs>
          <w:tab w:val="left" w:pos="542"/>
        </w:tabs>
        <w:spacing w:before="0" w:after="0" w:line="417" w:lineRule="auto"/>
        <w:ind w:left="120" w:right="378" w:firstLine="0"/>
        <w:jc w:val="both"/>
        <w:rPr>
          <w:sz w:val="28"/>
        </w:rPr>
      </w:pPr>
      <w:r>
        <w:rPr>
          <w:spacing w:val="-2"/>
          <w:sz w:val="28"/>
        </w:rPr>
        <w:t>加强科技研发：应加大投入，开展药品质量检测新技术的研发，</w:t>
      </w:r>
      <w:r>
        <w:rPr>
          <w:spacing w:val="-4"/>
          <w:sz w:val="28"/>
        </w:rPr>
        <w:t>提高检测效率和准确性。同时，也要加强对新技术的应用研究，使其</w:t>
      </w:r>
      <w:r>
        <w:rPr>
          <w:spacing w:val="-2"/>
          <w:sz w:val="28"/>
        </w:rPr>
        <w:t>更好地服务于药品质量监测与控制。</w:t>
      </w:r>
    </w:p>
    <w:p>
      <w:pPr>
        <w:spacing w:after="0" w:line="417" w:lineRule="auto"/>
        <w:jc w:val="both"/>
        <w:rPr>
          <w:sz w:val="28"/>
        </w:rPr>
        <w:sectPr>
          <w:footerReference w:type="default" r:id="rId11"/>
          <w:pgSz w:w="11910" w:h="16840"/>
          <w:pgMar w:top="1520" w:right="1420" w:bottom="1380" w:left="1680" w:header="0" w:footer="1195"/>
          <w:pgNumType w:start="7"/>
          <w:cols w:space="708"/>
        </w:sectPr>
      </w:pPr>
    </w:p>
    <w:p>
      <w:pPr>
        <w:pStyle w:val="BodyText"/>
        <w:spacing w:before="8"/>
        <w:rPr>
          <w:sz w:val="15"/>
        </w:rPr>
      </w:pPr>
    </w:p>
    <w:p>
      <w:pPr>
        <w:pStyle w:val="ListParagraph"/>
        <w:numPr>
          <w:ilvl w:val="0"/>
          <w:numId w:val="5"/>
        </w:numPr>
        <w:tabs>
          <w:tab w:val="left" w:pos="542"/>
        </w:tabs>
        <w:spacing w:before="60" w:after="0" w:line="417" w:lineRule="auto"/>
        <w:ind w:left="120" w:right="378" w:firstLine="0"/>
        <w:jc w:val="both"/>
        <w:rPr>
          <w:sz w:val="28"/>
        </w:rPr>
      </w:pPr>
      <w:r>
        <w:rPr>
          <w:spacing w:val="-2"/>
          <w:sz w:val="28"/>
        </w:rPr>
        <w:t>提高国际合作：鉴于药品生产的全球化趋势，各国应加强合作，</w:t>
      </w:r>
      <w:r>
        <w:rPr>
          <w:spacing w:val="-7"/>
          <w:sz w:val="28"/>
        </w:rPr>
        <w:t>共同制定和实施统一的质量标准和技术规范，提高全球范围内的药品</w:t>
      </w:r>
      <w:r>
        <w:rPr>
          <w:spacing w:val="-2"/>
          <w:sz w:val="28"/>
        </w:rPr>
        <w:t>质量管理水平。</w:t>
      </w:r>
    </w:p>
    <w:p>
      <w:pPr>
        <w:pStyle w:val="BodyText"/>
      </w:pPr>
    </w:p>
    <w:p>
      <w:pPr>
        <w:pStyle w:val="BodyText"/>
        <w:spacing w:before="8"/>
        <w:rPr>
          <w:sz w:val="20"/>
        </w:rPr>
      </w:pPr>
    </w:p>
    <w:p>
      <w:pPr>
        <w:pStyle w:val="ListParagraph"/>
        <w:numPr>
          <w:ilvl w:val="0"/>
          <w:numId w:val="5"/>
        </w:numPr>
        <w:tabs>
          <w:tab w:val="left" w:pos="542"/>
        </w:tabs>
        <w:spacing w:before="1" w:after="0" w:line="417" w:lineRule="auto"/>
        <w:ind w:left="120" w:right="378" w:firstLine="0"/>
        <w:jc w:val="both"/>
        <w:rPr>
          <w:sz w:val="28"/>
        </w:rPr>
      </w:pPr>
      <w:r>
        <w:rPr>
          <w:spacing w:val="-2"/>
          <w:sz w:val="28"/>
        </w:rPr>
        <w:t>强化法规制度建设：完善药品质量相关的法律法规，加大对违法</w:t>
      </w:r>
      <w:r>
        <w:rPr>
          <w:spacing w:val="-4"/>
          <w:sz w:val="28"/>
        </w:rPr>
        <w:t>行为的处罚力度，形成长效机制，为药品质量监测与控制提供坚实的</w:t>
      </w:r>
      <w:r>
        <w:rPr>
          <w:spacing w:val="-2"/>
          <w:sz w:val="28"/>
        </w:rPr>
        <w:t>法律保障。</w:t>
      </w:r>
    </w:p>
    <w:p>
      <w:pPr>
        <w:pStyle w:val="BodyText"/>
      </w:pPr>
    </w:p>
    <w:p>
      <w:pPr>
        <w:pStyle w:val="BodyText"/>
        <w:spacing w:before="8"/>
        <w:rPr>
          <w:sz w:val="20"/>
        </w:rPr>
      </w:pPr>
    </w:p>
    <w:p>
      <w:pPr>
        <w:pStyle w:val="ListParagraph"/>
        <w:numPr>
          <w:ilvl w:val="0"/>
          <w:numId w:val="5"/>
        </w:numPr>
        <w:tabs>
          <w:tab w:val="left" w:pos="542"/>
        </w:tabs>
        <w:spacing w:before="0" w:after="0" w:line="417" w:lineRule="auto"/>
        <w:ind w:left="120" w:right="378" w:firstLine="0"/>
        <w:jc w:val="both"/>
        <w:rPr>
          <w:sz w:val="28"/>
        </w:rPr>
      </w:pPr>
      <w:r>
        <w:rPr>
          <w:spacing w:val="-2"/>
          <w:sz w:val="28"/>
        </w:rPr>
        <w:t>推进信息化建设：利用信息技术手段，构建药品质量信息共享平</w:t>
      </w:r>
      <w:r>
        <w:rPr>
          <w:spacing w:val="-2"/>
          <w:sz w:val="28"/>
        </w:rPr>
        <w:t>台，实现数据互联互通，提高药品质量监管的智能化水平。</w:t>
      </w:r>
    </w:p>
    <w:p>
      <w:pPr>
        <w:pStyle w:val="BodyText"/>
      </w:pPr>
    </w:p>
    <w:p>
      <w:pPr>
        <w:pStyle w:val="BodyText"/>
        <w:spacing w:before="8"/>
        <w:rPr>
          <w:sz w:val="20"/>
        </w:rPr>
      </w:pPr>
    </w:p>
    <w:p>
      <w:pPr>
        <w:pStyle w:val="BodyText"/>
        <w:spacing w:before="1" w:line="417" w:lineRule="auto"/>
        <w:ind w:left="120" w:right="238"/>
      </w:pPr>
      <w:r>
        <w:rPr>
          <w:spacing w:val="-2"/>
        </w:rPr>
        <w:t>综上所述，药品质量监测与控制面临的挑战重重，需要各方面共同努</w:t>
      </w:r>
      <w:r>
        <w:rPr>
          <w:spacing w:val="-19"/>
        </w:rPr>
        <w:t>力才能有效地解决。只有通过技术创新、法规完善和国际合作等方式，</w:t>
      </w:r>
      <w:r>
        <w:rPr>
          <w:spacing w:val="-2"/>
        </w:rPr>
        <w:t>才能确保药品的质量安全，满足人民群众日益增长的健康需求。</w:t>
      </w:r>
    </w:p>
    <w:p>
      <w:pPr>
        <w:pStyle w:val="BodyText"/>
      </w:pPr>
    </w:p>
    <w:p>
      <w:pPr>
        <w:pStyle w:val="Heading1"/>
        <w:tabs>
          <w:tab w:val="left" w:pos="1725"/>
        </w:tabs>
        <w:spacing w:before="237"/>
        <w:jc w:val="left"/>
      </w:pPr>
      <w:bookmarkStart w:id="3" w:name="_TOC_250006"/>
      <w:r>
        <w:t>第</w:t>
      </w:r>
      <w:r>
        <w:t>四</w:t>
      </w:r>
      <w:r>
        <w:t>部</w:t>
      </w:r>
      <w:r>
        <w:rPr>
          <w:spacing w:val="-10"/>
        </w:rPr>
        <w:t>分</w:t>
      </w:r>
      <w:r>
        <w:tab/>
        <w:t>高</w:t>
      </w:r>
      <w:r>
        <w:t>效</w:t>
      </w:r>
      <w:r>
        <w:t>液</w:t>
      </w:r>
      <w:r>
        <w:t>相</w:t>
      </w:r>
      <w:r>
        <w:t>色</w:t>
      </w:r>
      <w:r>
        <w:t>谱</w:t>
      </w:r>
      <w:r>
        <w:t>在</w:t>
      </w:r>
      <w:r>
        <w:t>药</w:t>
      </w:r>
      <w:r>
        <w:t>品</w:t>
      </w:r>
      <w:r>
        <w:t>检</w:t>
      </w:r>
      <w:r>
        <w:t>测</w:t>
      </w:r>
      <w:r>
        <w:t>中</w:t>
      </w:r>
      <w:r>
        <w:t>的</w:t>
      </w:r>
      <w:r>
        <w:t>应</w:t>
      </w:r>
      <w:bookmarkEnd w:id="3"/>
      <w:r>
        <w:rPr>
          <w:spacing w:val="-10"/>
        </w:rPr>
        <w:t>用</w:t>
      </w:r>
    </w:p>
    <w:p>
      <w:pPr>
        <w:pStyle w:val="BodyText"/>
        <w:spacing w:before="4"/>
        <w:rPr>
          <w:rFonts w:ascii="Microsoft JhengHei"/>
          <w:b/>
          <w:sz w:val="23"/>
        </w:rPr>
      </w:pPr>
    </w:p>
    <w:p>
      <w:pPr>
        <w:pStyle w:val="BodyText"/>
        <w:spacing w:line="417" w:lineRule="auto"/>
        <w:ind w:left="120" w:right="378" w:firstLine="560"/>
        <w:jc w:val="both"/>
      </w:pPr>
      <w:r>
        <w:rPr>
          <w:spacing w:val="18"/>
        </w:rPr>
        <w:t>高效液相色谱</w:t>
      </w:r>
      <w:r>
        <w:t>（</w:t>
      </w:r>
      <w:r>
        <w:rPr>
          <w:rFonts w:ascii="仿宋" w:eastAsia="仿宋"/>
        </w:rPr>
        <w:t xml:space="preserve">High Performance Liquid </w:t>
      </w:r>
      <w:r>
        <w:rPr>
          <w:rFonts w:ascii="仿宋" w:eastAsia="仿宋"/>
        </w:rPr>
        <w:t>Chromatography</w:t>
      </w:r>
      <w:r>
        <w:t xml:space="preserve">， </w:t>
      </w:r>
      <w:r>
        <w:rPr>
          <w:rFonts w:ascii="仿宋" w:eastAsia="仿宋"/>
          <w:spacing w:val="-4"/>
        </w:rPr>
        <w:t>HPLC</w:t>
      </w:r>
      <w:r>
        <w:rPr>
          <w:spacing w:val="-4"/>
        </w:rPr>
        <w:t>）是一种广泛应用于药品检测中的分离和定量分析技术。它的原</w:t>
      </w:r>
      <w:r>
        <w:rPr>
          <w:spacing w:val="-6"/>
        </w:rPr>
        <w:t>理是利用样品中各组分在流动相与固定相之间的分配系数不同，经过</w:t>
      </w:r>
      <w:r>
        <w:rPr>
          <w:spacing w:val="-2"/>
        </w:rPr>
        <w:t>多次反复的分配过程，实现样品中各个组分的分离和测定。</w:t>
      </w:r>
    </w:p>
    <w:p>
      <w:pPr>
        <w:spacing w:after="0" w:line="417" w:lineRule="auto"/>
        <w:jc w:val="both"/>
        <w:sectPr>
          <w:footerReference w:type="default" r:id="rId12"/>
          <w:pgSz w:w="11910" w:h="16840"/>
          <w:pgMar w:top="1920" w:right="1420" w:bottom="1380" w:left="1680" w:header="0" w:footer="1195"/>
          <w:pgNumType w:start="8"/>
          <w:cols w:space="708"/>
        </w:sectPr>
      </w:pPr>
    </w:p>
    <w:p>
      <w:pPr>
        <w:pStyle w:val="BodyText"/>
        <w:spacing w:before="8"/>
        <w:rPr>
          <w:sz w:val="15"/>
        </w:rPr>
      </w:pPr>
    </w:p>
    <w:p>
      <w:pPr>
        <w:pStyle w:val="BodyText"/>
        <w:spacing w:before="60" w:line="417" w:lineRule="auto"/>
        <w:ind w:left="120" w:right="378"/>
        <w:jc w:val="both"/>
      </w:pPr>
      <w:r>
        <w:rPr>
          <w:rFonts w:ascii="仿宋" w:eastAsia="仿宋"/>
        </w:rPr>
        <w:t xml:space="preserve">HPLC </w:t>
      </w:r>
      <w:r>
        <w:t>具有分离效率高、速度快、灵敏度高、操作简便、重现性好等</w:t>
      </w:r>
      <w:r>
        <w:rPr>
          <w:spacing w:val="-4"/>
        </w:rPr>
        <w:t>特点，在药品检测中有着重要的应用价值。根据药品的不同性质和要求，可以选择不同的色谱柱和检测器，实现对各种类型药物的定性和</w:t>
      </w:r>
      <w:r>
        <w:rPr>
          <w:spacing w:val="-2"/>
        </w:rPr>
        <w:t>定量分析。</w:t>
      </w:r>
    </w:p>
    <w:p>
      <w:pPr>
        <w:pStyle w:val="BodyText"/>
      </w:pPr>
    </w:p>
    <w:p>
      <w:pPr>
        <w:pStyle w:val="BodyText"/>
        <w:spacing w:before="8"/>
        <w:rPr>
          <w:sz w:val="20"/>
        </w:rPr>
      </w:pPr>
    </w:p>
    <w:p>
      <w:pPr>
        <w:pStyle w:val="BodyText"/>
        <w:spacing w:line="417" w:lineRule="auto"/>
        <w:ind w:left="120" w:right="378"/>
        <w:jc w:val="both"/>
      </w:pPr>
      <w:r>
        <w:rPr>
          <w:spacing w:val="-4"/>
        </w:rPr>
        <w:t>在药品质量监测与控制中，高效液相色谱可以用于原料药、制剂以及</w:t>
      </w:r>
      <w:r>
        <w:rPr>
          <w:spacing w:val="-4"/>
        </w:rPr>
        <w:t xml:space="preserve">中间体的检测。例如，对于抗生素类药物，可以通过 </w:t>
      </w:r>
      <w:r>
        <w:rPr>
          <w:rFonts w:ascii="仿宋" w:eastAsia="仿宋"/>
          <w:spacing w:val="-2"/>
        </w:rPr>
        <w:t>HPLC</w:t>
      </w:r>
      <w:r>
        <w:rPr>
          <w:rFonts w:ascii="仿宋" w:eastAsia="仿宋"/>
          <w:spacing w:val="-33"/>
        </w:rPr>
        <w:t xml:space="preserve"> </w:t>
      </w:r>
      <w:r>
        <w:rPr>
          <w:spacing w:val="-2"/>
        </w:rPr>
        <w:t>检测其含</w:t>
      </w:r>
      <w:r>
        <w:rPr>
          <w:spacing w:val="-4"/>
        </w:rPr>
        <w:t xml:space="preserve">量和杂质成分；对于心血管药物，如他汀类药物，可以通过 </w:t>
      </w:r>
      <w:r>
        <w:rPr>
          <w:rFonts w:ascii="仿宋" w:eastAsia="仿宋"/>
          <w:spacing w:val="-2"/>
        </w:rPr>
        <w:t>HPLC</w:t>
      </w:r>
      <w:r>
        <w:rPr>
          <w:rFonts w:ascii="仿宋" w:eastAsia="仿宋"/>
          <w:spacing w:val="-33"/>
        </w:rPr>
        <w:t xml:space="preserve"> </w:t>
      </w:r>
      <w:r>
        <w:rPr>
          <w:spacing w:val="-2"/>
        </w:rPr>
        <w:t>进</w:t>
      </w:r>
      <w:r>
        <w:rPr>
          <w:spacing w:val="-22"/>
        </w:rPr>
        <w:t>行定量分析和纯度评价；对于抗肿瘤药物，如紫杉醇等，可以通过</w:t>
      </w:r>
      <w:r>
        <w:rPr>
          <w:rFonts w:ascii="仿宋" w:eastAsia="仿宋"/>
        </w:rPr>
        <w:t>HPLC</w:t>
      </w:r>
      <w:r>
        <w:rPr>
          <w:spacing w:val="-2"/>
        </w:rPr>
        <w:t>进行有效成分的测定和质量控制。</w:t>
      </w:r>
    </w:p>
    <w:p>
      <w:pPr>
        <w:pStyle w:val="BodyText"/>
      </w:pPr>
    </w:p>
    <w:p>
      <w:pPr>
        <w:pStyle w:val="BodyText"/>
        <w:spacing w:before="8"/>
        <w:rPr>
          <w:sz w:val="20"/>
        </w:rPr>
      </w:pPr>
    </w:p>
    <w:p>
      <w:pPr>
        <w:pStyle w:val="BodyText"/>
        <w:spacing w:line="417" w:lineRule="auto"/>
        <w:ind w:left="120" w:right="98"/>
      </w:pPr>
      <w:r>
        <w:rPr>
          <w:spacing w:val="-2"/>
        </w:rPr>
        <w:t>除此之外，高效液相色谱还可以用于药品的研发阶段，通过对合成路</w:t>
      </w:r>
      <w:r>
        <w:rPr>
          <w:spacing w:val="-2"/>
        </w:rPr>
        <w:t xml:space="preserve"> </w:t>
      </w:r>
      <w:r>
        <w:rPr>
          <w:spacing w:val="-2"/>
        </w:rPr>
        <w:t>线中的中间体进行检测，评估合成工艺的可行性和优化方案。此外，</w:t>
      </w:r>
      <w:r>
        <w:rPr>
          <w:spacing w:val="-4"/>
        </w:rPr>
        <w:t xml:space="preserve">还可以通过 </w:t>
      </w:r>
      <w:r>
        <w:rPr>
          <w:rFonts w:ascii="仿宋" w:eastAsia="仿宋"/>
        </w:rPr>
        <w:t>HPLC</w:t>
      </w:r>
      <w:r>
        <w:rPr>
          <w:rFonts w:ascii="仿宋" w:eastAsia="仿宋"/>
          <w:spacing w:val="-20"/>
        </w:rPr>
        <w:t xml:space="preserve"> </w:t>
      </w:r>
      <w:r>
        <w:t xml:space="preserve">进行药物代谢物的研究和分析，为药物的安全性和 </w:t>
      </w:r>
      <w:r>
        <w:rPr>
          <w:spacing w:val="-2"/>
        </w:rPr>
        <w:t>有效性评价提供依据。</w:t>
      </w:r>
    </w:p>
    <w:p>
      <w:pPr>
        <w:pStyle w:val="BodyText"/>
      </w:pPr>
    </w:p>
    <w:p>
      <w:pPr>
        <w:pStyle w:val="BodyText"/>
        <w:spacing w:before="8"/>
        <w:rPr>
          <w:sz w:val="20"/>
        </w:rPr>
      </w:pPr>
    </w:p>
    <w:p>
      <w:pPr>
        <w:pStyle w:val="BodyText"/>
        <w:spacing w:line="417" w:lineRule="auto"/>
        <w:ind w:left="120" w:right="378"/>
        <w:jc w:val="both"/>
      </w:pPr>
      <w:r>
        <w:rPr>
          <w:spacing w:val="-6"/>
        </w:rPr>
        <w:t>为了提高高效液相色谱在药品检测中的准确性和可靠性，需要对实验</w:t>
      </w:r>
      <w:r>
        <w:rPr>
          <w:spacing w:val="-4"/>
        </w:rPr>
        <w:t>条件进行优化，包括选择合适的色谱柱、流动相、流速、检测波长等</w:t>
      </w:r>
      <w:r>
        <w:rPr>
          <w:spacing w:val="-4"/>
        </w:rPr>
        <w:t>因素。同时，还需要对样品进行前处理，以去除干扰物质和提高分析</w:t>
      </w:r>
      <w:r>
        <w:rPr>
          <w:spacing w:val="-2"/>
        </w:rPr>
        <w:t>的灵敏度和准确性。</w:t>
      </w:r>
    </w:p>
    <w:p>
      <w:pPr>
        <w:spacing w:after="0" w:line="417" w:lineRule="auto"/>
        <w:jc w:val="both"/>
        <w:sectPr>
          <w:footerReference w:type="default" r:id="rId13"/>
          <w:pgSz w:w="11910" w:h="16840"/>
          <w:pgMar w:top="1920" w:right="1420" w:bottom="1380" w:left="1680" w:header="0" w:footer="1195"/>
          <w:pgNumType w:start="9"/>
          <w:cols w:space="708"/>
        </w:sectPr>
      </w:pPr>
    </w:p>
    <w:p>
      <w:pPr>
        <w:pStyle w:val="BodyText"/>
        <w:spacing w:before="37" w:line="417" w:lineRule="auto"/>
        <w:ind w:left="120" w:right="378"/>
        <w:jc w:val="both"/>
      </w:pPr>
      <w:r>
        <w:rPr>
          <w:spacing w:val="-4"/>
        </w:rPr>
        <w:t>综上所述，高效液相色谱作为一种高效的药品检测技术，在药品质量</w:t>
      </w:r>
      <w:r>
        <w:rPr>
          <w:spacing w:val="-9"/>
        </w:rPr>
        <w:t>监测与控制中发挥着重要的作用。随着科学技术的进步和仪器设备的</w:t>
      </w:r>
      <w:r>
        <w:rPr>
          <w:spacing w:val="-4"/>
        </w:rPr>
        <w:t>发展，高效液相色谱的应用将会更加广泛和深入，为保障药品质量和</w:t>
      </w:r>
      <w:r>
        <w:rPr>
          <w:spacing w:val="-2"/>
        </w:rPr>
        <w:t>公众健康做出更大的贡献。</w:t>
      </w:r>
    </w:p>
    <w:p>
      <w:pPr>
        <w:pStyle w:val="BodyText"/>
      </w:pPr>
    </w:p>
    <w:p>
      <w:pPr>
        <w:pStyle w:val="Heading1"/>
        <w:spacing w:before="237"/>
      </w:pPr>
      <w:bookmarkStart w:id="4" w:name="_TOC_250005"/>
      <w:r>
        <w:t>第五部分</w:t>
      </w:r>
      <w:r>
        <w:rPr>
          <w:spacing w:val="218"/>
          <w:w w:val="150"/>
        </w:rPr>
        <w:t xml:space="preserve"> </w:t>
      </w:r>
      <w:bookmarkEnd w:id="4"/>
      <w:r>
        <w:rPr>
          <w:spacing w:val="-1"/>
        </w:rPr>
        <w:t>质谱技术在药品质量控制中的进展</w:t>
      </w:r>
    </w:p>
    <w:p>
      <w:pPr>
        <w:pStyle w:val="BodyText"/>
        <w:spacing w:before="3"/>
        <w:rPr>
          <w:rFonts w:ascii="Microsoft JhengHei"/>
          <w:b/>
          <w:sz w:val="23"/>
        </w:rPr>
      </w:pPr>
    </w:p>
    <w:p>
      <w:pPr>
        <w:pStyle w:val="BodyText"/>
        <w:spacing w:line="417" w:lineRule="auto"/>
        <w:ind w:left="120" w:right="98" w:firstLine="560"/>
      </w:pPr>
      <w:r>
        <w:rPr>
          <w:spacing w:val="-2"/>
        </w:rPr>
        <w:t>近年来，质谱技术在药品质量控制中的应用取得了显著的进展。</w:t>
      </w:r>
      <w:r>
        <w:rPr>
          <w:spacing w:val="-6"/>
        </w:rPr>
        <w:t>质谱是一种基于离子化原理检测物质质量和结构的技术，具有高灵敏</w:t>
      </w:r>
      <w:r>
        <w:rPr>
          <w:spacing w:val="-2"/>
        </w:rPr>
        <w:t xml:space="preserve"> 度、高准确性和高通量等优点，在药物分析和质量控制领域有着广泛</w:t>
      </w:r>
      <w:r>
        <w:rPr>
          <w:spacing w:val="-2"/>
        </w:rPr>
        <w:t xml:space="preserve"> </w:t>
      </w:r>
      <w:r>
        <w:rPr>
          <w:spacing w:val="-2"/>
        </w:rPr>
        <w:t>的应用前景。</w:t>
      </w:r>
    </w:p>
    <w:p>
      <w:pPr>
        <w:pStyle w:val="ListParagraph"/>
        <w:numPr>
          <w:ilvl w:val="0"/>
          <w:numId w:val="4"/>
        </w:numPr>
        <w:tabs>
          <w:tab w:val="left" w:pos="540"/>
        </w:tabs>
        <w:spacing w:before="0" w:after="0" w:line="358" w:lineRule="exact"/>
        <w:ind w:left="540" w:right="0" w:hanging="420"/>
        <w:jc w:val="both"/>
        <w:rPr>
          <w:sz w:val="28"/>
        </w:rPr>
      </w:pPr>
      <w:r>
        <w:rPr>
          <w:spacing w:val="-1"/>
          <w:sz w:val="28"/>
        </w:rPr>
        <w:t>质谱技术在药品定量分析中的应用</w:t>
      </w:r>
    </w:p>
    <w:p>
      <w:pPr>
        <w:pStyle w:val="BodyText"/>
        <w:spacing w:before="9"/>
        <w:rPr>
          <w:sz w:val="20"/>
        </w:rPr>
      </w:pPr>
    </w:p>
    <w:p>
      <w:pPr>
        <w:pStyle w:val="BodyText"/>
        <w:spacing w:line="417" w:lineRule="auto"/>
        <w:ind w:left="120" w:right="378"/>
        <w:jc w:val="both"/>
      </w:pPr>
      <w:r>
        <w:rPr>
          <w:spacing w:val="-4"/>
        </w:rPr>
        <w:t>质谱技术能够快速、准确地测定药物的含量和浓度。传统的药物定量</w:t>
      </w:r>
      <w:r>
        <w:rPr>
          <w:spacing w:val="-8"/>
        </w:rPr>
        <w:t>分析方法通常采用色谱法或光谱法，这些方法对样品的预处理要求较</w:t>
      </w:r>
      <w:r>
        <w:rPr>
          <w:spacing w:val="-4"/>
        </w:rPr>
        <w:t>高，操作繁琐且耗时较长。而质谱技术可以避免这些问题，并能够实</w:t>
      </w:r>
      <w:r>
        <w:rPr>
          <w:spacing w:val="-2"/>
        </w:rPr>
        <w:t>现多种化合物的同时分析，大大提高了样品分析的速度和效率。</w:t>
      </w:r>
    </w:p>
    <w:p>
      <w:pPr>
        <w:pStyle w:val="BodyText"/>
      </w:pPr>
    </w:p>
    <w:p>
      <w:pPr>
        <w:pStyle w:val="BodyText"/>
        <w:spacing w:before="8"/>
        <w:rPr>
          <w:sz w:val="20"/>
        </w:rPr>
      </w:pPr>
    </w:p>
    <w:p>
      <w:pPr>
        <w:pStyle w:val="ListParagraph"/>
        <w:numPr>
          <w:ilvl w:val="0"/>
          <w:numId w:val="4"/>
        </w:numPr>
        <w:tabs>
          <w:tab w:val="left" w:pos="540"/>
        </w:tabs>
        <w:spacing w:before="1" w:after="0" w:line="240" w:lineRule="auto"/>
        <w:ind w:left="540" w:right="0" w:hanging="420"/>
        <w:jc w:val="both"/>
        <w:rPr>
          <w:sz w:val="28"/>
        </w:rPr>
      </w:pPr>
      <w:r>
        <w:rPr>
          <w:spacing w:val="-1"/>
          <w:sz w:val="28"/>
        </w:rPr>
        <w:t>质谱技术在药品定性分析中的应用</w:t>
      </w:r>
    </w:p>
    <w:p>
      <w:pPr>
        <w:pStyle w:val="BodyText"/>
        <w:spacing w:before="8"/>
        <w:rPr>
          <w:sz w:val="20"/>
        </w:rPr>
      </w:pPr>
    </w:p>
    <w:p>
      <w:pPr>
        <w:pStyle w:val="BodyText"/>
        <w:spacing w:before="1" w:line="417" w:lineRule="auto"/>
        <w:ind w:left="120" w:right="378"/>
        <w:jc w:val="both"/>
      </w:pPr>
      <w:r>
        <w:rPr>
          <w:spacing w:val="-2"/>
        </w:rPr>
        <w:t>质谱技术还能够通过对样品进行碎片化分析来确定其化学结构和组</w:t>
      </w:r>
      <w:r>
        <w:rPr>
          <w:spacing w:val="-4"/>
        </w:rPr>
        <w:t>成成分。通过比较样品与已知标准品的质谱图，可以有效地鉴定样品</w:t>
      </w:r>
      <w:r>
        <w:rPr>
          <w:spacing w:val="-4"/>
        </w:rPr>
        <w:t>的真实性、纯度和稳定性。此外，质谱技术还可以用于发现未知的杂</w:t>
      </w:r>
      <w:r>
        <w:rPr>
          <w:spacing w:val="-2"/>
        </w:rPr>
        <w:t>质和副产物，这对于保障药品的安全性和有效性至关重要。</w:t>
      </w:r>
    </w:p>
    <w:p>
      <w:pPr>
        <w:spacing w:after="0" w:line="417"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https://d.book118.com/307100166104006051</w:t>
        </w:r>
      </w:hyperlink>
    </w:p>
    <w:p>
      <w:pPr>
        <w:spacing w:after="0" w:line="417" w:lineRule="auto"/>
        <w:jc w:val="both"/>
      </w:pPr>
    </w:p>
    <w:sectPr>
      <w:footerReference w:type="default" r:id="rId15"/>
      <w:pgSz w:w="11910" w:h="16840"/>
      <w:pgMar w:top="1520" w:right="1420" w:bottom="1380" w:left="1680" w:header="0" w:footer="1195"/>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9.8pt;height:11pt;margin-top:771.15pt;margin-left:284pt;mso-position-horizontal-relative:page;mso-position-vertical-relative:page;position:absolute;z-index:-251658240" filled="f" stroked="f">
          <v:textbox inset="0,0,0,0">
            <w:txbxContent>
              <w:p>
                <w:pPr>
                  <w:spacing w:before="0" w:line="203" w:lineRule="exact"/>
                  <w:ind w:left="60" w:right="0" w:firstLine="0"/>
                  <w:jc w:val="left"/>
                  <w:rPr>
                    <w:rFonts w:ascii="Calibri"/>
                    <w:b/>
                    <w:sz w:val="18"/>
                  </w:rPr>
                </w:pPr>
                <w:r>
                  <w:rPr>
                    <w:rFonts w:ascii="Calibri"/>
                    <w:b/>
                    <w:sz w:val="18"/>
                  </w:rPr>
                  <w:fldChar w:fldCharType="begin"/>
                </w:r>
                <w:r>
                  <w:rPr>
                    <w:rFonts w:ascii="Calibri"/>
                    <w:b/>
                    <w:sz w:val="18"/>
                  </w:rPr>
                  <w:instrText xml:space="preserve"> PAGE </w:instrText>
                </w:r>
                <w:r>
                  <w:rPr>
                    <w:rFonts w:ascii="Calibri"/>
                    <w:b/>
                    <w:sz w:val="18"/>
                  </w:rPr>
                  <w:fldChar w:fldCharType="separate"/>
                </w:r>
                <w:r>
                  <w:rPr>
                    <w:rFonts w:ascii="Calibri"/>
                    <w:b/>
                    <w:sz w:val="18"/>
                  </w:rPr>
                  <w:t>1</w:t>
                </w:r>
                <w:r>
                  <w:rPr>
                    <w:rFonts w:ascii="Calibri"/>
                    <w:b/>
                    <w:sz w:val="18"/>
                  </w:rPr>
                  <w:fldChar w:fldCharType="end"/>
                </w:r>
                <w:r>
                  <w:rPr>
                    <w:rFonts w:ascii="Calibri"/>
                    <w:b/>
                    <w:sz w:val="18"/>
                  </w:rPr>
                  <w:t xml:space="preserve"> </w:t>
                </w:r>
                <w:r>
                  <w:rPr>
                    <w:rFonts w:ascii="Calibri"/>
                    <w:sz w:val="18"/>
                  </w:rPr>
                  <w:t>/</w:t>
                </w:r>
                <w:r>
                  <w:rPr>
                    <w:rFonts w:ascii="Calibri"/>
                    <w:spacing w:val="-1"/>
                    <w:sz w:val="18"/>
                  </w:rPr>
                  <w:t xml:space="preserve"> </w:t>
                </w:r>
                <w:r>
                  <w:rPr>
                    <w:rFonts w:ascii="Calibri"/>
                    <w:b/>
                    <w:spacing w:val="-5"/>
                    <w:sz w:val="18"/>
                  </w:rPr>
                  <w:fldChar w:fldCharType="begin"/>
                </w:r>
                <w:r>
                  <w:rPr>
                    <w:rFonts w:ascii="Calibri"/>
                    <w:b/>
                    <w:spacing w:val="-5"/>
                    <w:sz w:val="18"/>
                  </w:rPr>
                  <w:instrText xml:space="preserve"> NUMPAGES </w:instrText>
                </w:r>
                <w:r>
                  <w:rPr>
                    <w:rFonts w:ascii="Calibri"/>
                    <w:b/>
                    <w:spacing w:val="-5"/>
                    <w:sz w:val="18"/>
                  </w:rPr>
                  <w:fldChar w:fldCharType="separate"/>
                </w:r>
                <w:r>
                  <w:rPr>
                    <w:rFonts w:ascii="Calibri"/>
                    <w:b/>
                    <w:spacing w:val="-5"/>
                    <w:sz w:val="18"/>
                  </w:rPr>
                  <w:t>10</w:t>
                </w:r>
                <w:r>
                  <w:rPr>
                    <w:rFonts w:ascii="Calibri"/>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8pt;height:11pt;margin-top:771.15pt;margin-left:284pt;mso-position-horizontal-relative:page;mso-position-vertical-relative:page;position:absolute;z-index:-251657216" filled="f" stroked="f">
          <v:textbox inset="0,0,0,0">
            <w:txbxContent>
              <w:p>
                <w:pPr>
                  <w:spacing w:before="0" w:line="203" w:lineRule="exact"/>
                  <w:ind w:left="60" w:right="0" w:firstLine="0"/>
                  <w:jc w:val="left"/>
                  <w:rPr>
                    <w:rFonts w:ascii="Calibri"/>
                    <w:b/>
                    <w:sz w:val="18"/>
                  </w:rPr>
                </w:pPr>
                <w:r>
                  <w:rPr>
                    <w:rFonts w:ascii="Calibri"/>
                    <w:b/>
                    <w:sz w:val="18"/>
                  </w:rPr>
                  <w:fldChar w:fldCharType="begin"/>
                </w:r>
                <w:r>
                  <w:rPr>
                    <w:rFonts w:ascii="Calibri"/>
                    <w:b/>
                    <w:sz w:val="18"/>
                  </w:rPr>
                  <w:instrText xml:space="preserve"> PAGE </w:instrText>
                </w:r>
                <w:r>
                  <w:rPr>
                    <w:rFonts w:ascii="Calibri"/>
                    <w:b/>
                    <w:sz w:val="18"/>
                  </w:rPr>
                  <w:fldChar w:fldCharType="separate"/>
                </w:r>
                <w:r>
                  <w:rPr>
                    <w:rFonts w:ascii="Calibri"/>
                    <w:b/>
                    <w:sz w:val="18"/>
                  </w:rPr>
                  <w:t>2</w:t>
                </w:r>
                <w:r>
                  <w:rPr>
                    <w:rFonts w:ascii="Calibri"/>
                    <w:b/>
                    <w:sz w:val="18"/>
                  </w:rPr>
                  <w:fldChar w:fldCharType="end"/>
                </w:r>
                <w:r>
                  <w:rPr>
                    <w:rFonts w:ascii="Calibri"/>
                    <w:b/>
                    <w:sz w:val="18"/>
                  </w:rPr>
                  <w:t xml:space="preserve"> </w:t>
                </w:r>
                <w:r>
                  <w:rPr>
                    <w:rFonts w:ascii="Calibri"/>
                    <w:sz w:val="18"/>
                  </w:rPr>
                  <w:t>/</w:t>
                </w:r>
                <w:r>
                  <w:rPr>
                    <w:rFonts w:ascii="Calibri"/>
                    <w:spacing w:val="-1"/>
                    <w:sz w:val="18"/>
                  </w:rPr>
                  <w:t xml:space="preserve"> </w:t>
                </w:r>
                <w:r>
                  <w:rPr>
                    <w:rFonts w:ascii="Calibri"/>
                    <w:b/>
                    <w:spacing w:val="-5"/>
                    <w:sz w:val="18"/>
                  </w:rPr>
                  <w:fldChar w:fldCharType="begin"/>
                </w:r>
                <w:r>
                  <w:rPr>
                    <w:rFonts w:ascii="Calibri"/>
                    <w:b/>
                    <w:spacing w:val="-5"/>
                    <w:sz w:val="18"/>
                  </w:rPr>
                  <w:instrText xml:space="preserve"> NUMPAGES </w:instrText>
                </w:r>
                <w:r>
                  <w:rPr>
                    <w:rFonts w:ascii="Calibri"/>
                    <w:b/>
                    <w:spacing w:val="-5"/>
                    <w:sz w:val="18"/>
                  </w:rPr>
                  <w:fldChar w:fldCharType="separate"/>
                </w:r>
                <w:r>
                  <w:rPr>
                    <w:rFonts w:ascii="Calibri"/>
                    <w:b/>
                    <w:spacing w:val="-5"/>
                    <w:sz w:val="18"/>
                  </w:rPr>
                  <w:t>10</w:t>
                </w:r>
                <w:r>
                  <w:rPr>
                    <w:rFonts w:ascii="Calibri"/>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9.8pt;height:11pt;margin-top:771.15pt;margin-left:284pt;mso-position-horizontal-relative:page;mso-position-vertical-relative:page;position:absolute;z-index:-251656192" filled="f" stroked="f">
          <v:textbox inset="0,0,0,0">
            <w:txbxContent>
              <w:p>
                <w:pPr>
                  <w:spacing w:before="0" w:line="203" w:lineRule="exact"/>
                  <w:ind w:left="60" w:right="0" w:firstLine="0"/>
                  <w:jc w:val="left"/>
                  <w:rPr>
                    <w:rFonts w:ascii="Calibri"/>
                    <w:b/>
                    <w:sz w:val="18"/>
                  </w:rPr>
                </w:pPr>
                <w:r>
                  <w:rPr>
                    <w:rFonts w:ascii="Calibri"/>
                    <w:b/>
                    <w:sz w:val="18"/>
                  </w:rPr>
                  <w:fldChar w:fldCharType="begin"/>
                </w:r>
                <w:r>
                  <w:rPr>
                    <w:rFonts w:ascii="Calibri"/>
                    <w:b/>
                    <w:sz w:val="18"/>
                  </w:rPr>
                  <w:instrText xml:space="preserve"> PAGE </w:instrText>
                </w:r>
                <w:r>
                  <w:rPr>
                    <w:rFonts w:ascii="Calibri"/>
                    <w:b/>
                    <w:sz w:val="18"/>
                  </w:rPr>
                  <w:fldChar w:fldCharType="separate"/>
                </w:r>
                <w:r>
                  <w:rPr>
                    <w:rFonts w:ascii="Calibri"/>
                    <w:b/>
                    <w:sz w:val="18"/>
                  </w:rPr>
                  <w:t>3</w:t>
                </w:r>
                <w:r>
                  <w:rPr>
                    <w:rFonts w:ascii="Calibri"/>
                    <w:b/>
                    <w:sz w:val="18"/>
                  </w:rPr>
                  <w:fldChar w:fldCharType="end"/>
                </w:r>
                <w:r>
                  <w:rPr>
                    <w:rFonts w:ascii="Calibri"/>
                    <w:b/>
                    <w:sz w:val="18"/>
                  </w:rPr>
                  <w:t xml:space="preserve"> </w:t>
                </w:r>
                <w:r>
                  <w:rPr>
                    <w:rFonts w:ascii="Calibri"/>
                    <w:sz w:val="18"/>
                  </w:rPr>
                  <w:t>/</w:t>
                </w:r>
                <w:r>
                  <w:rPr>
                    <w:rFonts w:ascii="Calibri"/>
                    <w:spacing w:val="-1"/>
                    <w:sz w:val="18"/>
                  </w:rPr>
                  <w:t xml:space="preserve"> </w:t>
                </w:r>
                <w:r>
                  <w:rPr>
                    <w:rFonts w:ascii="Calibri"/>
                    <w:b/>
                    <w:spacing w:val="-5"/>
                    <w:sz w:val="18"/>
                  </w:rPr>
                  <w:fldChar w:fldCharType="begin"/>
                </w:r>
                <w:r>
                  <w:rPr>
                    <w:rFonts w:ascii="Calibri"/>
                    <w:b/>
                    <w:spacing w:val="-5"/>
                    <w:sz w:val="18"/>
                  </w:rPr>
                  <w:instrText xml:space="preserve"> NUMPAGES </w:instrText>
                </w:r>
                <w:r>
                  <w:rPr>
                    <w:rFonts w:ascii="Calibri"/>
                    <w:b/>
                    <w:spacing w:val="-5"/>
                    <w:sz w:val="18"/>
                  </w:rPr>
                  <w:fldChar w:fldCharType="separate"/>
                </w:r>
                <w:r>
                  <w:rPr>
                    <w:rFonts w:ascii="Calibri"/>
                    <w:b/>
                    <w:spacing w:val="-5"/>
                    <w:sz w:val="18"/>
                  </w:rPr>
                  <w:t>10</w:t>
                </w:r>
                <w:r>
                  <w:rPr>
                    <w:rFonts w:ascii="Calibri"/>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8pt;height:11pt;margin-top:771.15pt;margin-left:284pt;mso-position-horizontal-relative:page;mso-position-vertical-relative:page;position:absolute;z-index:-251655168" filled="f" stroked="f">
          <v:textbox inset="0,0,0,0">
            <w:txbxContent>
              <w:p>
                <w:pPr>
                  <w:spacing w:before="0" w:line="203" w:lineRule="exact"/>
                  <w:ind w:left="60" w:right="0" w:firstLine="0"/>
                  <w:jc w:val="left"/>
                  <w:rPr>
                    <w:rFonts w:ascii="Calibri"/>
                    <w:b/>
                    <w:sz w:val="18"/>
                  </w:rPr>
                </w:pPr>
                <w:r>
                  <w:rPr>
                    <w:rFonts w:ascii="Calibri"/>
                    <w:b/>
                    <w:sz w:val="18"/>
                  </w:rPr>
                  <w:fldChar w:fldCharType="begin"/>
                </w:r>
                <w:r>
                  <w:rPr>
                    <w:rFonts w:ascii="Calibri"/>
                    <w:b/>
                    <w:sz w:val="18"/>
                  </w:rPr>
                  <w:instrText xml:space="preserve"> PAGE </w:instrText>
                </w:r>
                <w:r>
                  <w:rPr>
                    <w:rFonts w:ascii="Calibri"/>
                    <w:b/>
                    <w:sz w:val="18"/>
                  </w:rPr>
                  <w:fldChar w:fldCharType="separate"/>
                </w:r>
                <w:r>
                  <w:rPr>
                    <w:rFonts w:ascii="Calibri"/>
                    <w:b/>
                    <w:sz w:val="18"/>
                  </w:rPr>
                  <w:t>4</w:t>
                </w:r>
                <w:r>
                  <w:rPr>
                    <w:rFonts w:ascii="Calibri"/>
                    <w:b/>
                    <w:sz w:val="18"/>
                  </w:rPr>
                  <w:fldChar w:fldCharType="end"/>
                </w:r>
                <w:r>
                  <w:rPr>
                    <w:rFonts w:ascii="Calibri"/>
                    <w:b/>
                    <w:sz w:val="18"/>
                  </w:rPr>
                  <w:t xml:space="preserve"> </w:t>
                </w:r>
                <w:r>
                  <w:rPr>
                    <w:rFonts w:ascii="Calibri"/>
                    <w:sz w:val="18"/>
                  </w:rPr>
                  <w:t>/</w:t>
                </w:r>
                <w:r>
                  <w:rPr>
                    <w:rFonts w:ascii="Calibri"/>
                    <w:spacing w:val="-1"/>
                    <w:sz w:val="18"/>
                  </w:rPr>
                  <w:t xml:space="preserve"> </w:t>
                </w:r>
                <w:r>
                  <w:rPr>
                    <w:rFonts w:ascii="Calibri"/>
                    <w:b/>
                    <w:spacing w:val="-5"/>
                    <w:sz w:val="18"/>
                  </w:rPr>
                  <w:fldChar w:fldCharType="begin"/>
                </w:r>
                <w:r>
                  <w:rPr>
                    <w:rFonts w:ascii="Calibri"/>
                    <w:b/>
                    <w:spacing w:val="-5"/>
                    <w:sz w:val="18"/>
                  </w:rPr>
                  <w:instrText xml:space="preserve"> NUMPAGES </w:instrText>
                </w:r>
                <w:r>
                  <w:rPr>
                    <w:rFonts w:ascii="Calibri"/>
                    <w:b/>
                    <w:spacing w:val="-5"/>
                    <w:sz w:val="18"/>
                  </w:rPr>
                  <w:fldChar w:fldCharType="separate"/>
                </w:r>
                <w:r>
                  <w:rPr>
                    <w:rFonts w:ascii="Calibri"/>
                    <w:b/>
                    <w:spacing w:val="-5"/>
                    <w:sz w:val="18"/>
                  </w:rPr>
                  <w:t>10</w:t>
                </w:r>
                <w:r>
                  <w:rPr>
                    <w:rFonts w:ascii="Calibri"/>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9.8pt;height:11pt;margin-top:771.15pt;margin-left:284pt;mso-position-horizontal-relative:page;mso-position-vertical-relative:page;position:absolute;z-index:-251654144" filled="f" stroked="f">
          <v:textbox inset="0,0,0,0">
            <w:txbxContent>
              <w:p>
                <w:pPr>
                  <w:spacing w:before="0" w:line="203" w:lineRule="exact"/>
                  <w:ind w:left="60" w:right="0" w:firstLine="0"/>
                  <w:jc w:val="left"/>
                  <w:rPr>
                    <w:rFonts w:ascii="Calibri"/>
                    <w:b/>
                    <w:sz w:val="18"/>
                  </w:rPr>
                </w:pPr>
                <w:r>
                  <w:rPr>
                    <w:rFonts w:ascii="Calibri"/>
                    <w:b/>
                    <w:sz w:val="18"/>
                  </w:rPr>
                  <w:fldChar w:fldCharType="begin"/>
                </w:r>
                <w:r>
                  <w:rPr>
                    <w:rFonts w:ascii="Calibri"/>
                    <w:b/>
                    <w:sz w:val="18"/>
                  </w:rPr>
                  <w:instrText xml:space="preserve"> PAGE </w:instrText>
                </w:r>
                <w:r>
                  <w:rPr>
                    <w:rFonts w:ascii="Calibri"/>
                    <w:b/>
                    <w:sz w:val="18"/>
                  </w:rPr>
                  <w:fldChar w:fldCharType="separate"/>
                </w:r>
                <w:r>
                  <w:rPr>
                    <w:rFonts w:ascii="Calibri"/>
                    <w:b/>
                    <w:sz w:val="18"/>
                  </w:rPr>
                  <w:t>5</w:t>
                </w:r>
                <w:r>
                  <w:rPr>
                    <w:rFonts w:ascii="Calibri"/>
                    <w:b/>
                    <w:sz w:val="18"/>
                  </w:rPr>
                  <w:fldChar w:fldCharType="end"/>
                </w:r>
                <w:r>
                  <w:rPr>
                    <w:rFonts w:ascii="Calibri"/>
                    <w:b/>
                    <w:sz w:val="18"/>
                  </w:rPr>
                  <w:t xml:space="preserve"> </w:t>
                </w:r>
                <w:r>
                  <w:rPr>
                    <w:rFonts w:ascii="Calibri"/>
                    <w:sz w:val="18"/>
                  </w:rPr>
                  <w:t>/</w:t>
                </w:r>
                <w:r>
                  <w:rPr>
                    <w:rFonts w:ascii="Calibri"/>
                    <w:spacing w:val="-1"/>
                    <w:sz w:val="18"/>
                  </w:rPr>
                  <w:t xml:space="preserve"> </w:t>
                </w:r>
                <w:r>
                  <w:rPr>
                    <w:rFonts w:ascii="Calibri"/>
                    <w:b/>
                    <w:spacing w:val="-5"/>
                    <w:sz w:val="18"/>
                  </w:rPr>
                  <w:fldChar w:fldCharType="begin"/>
                </w:r>
                <w:r>
                  <w:rPr>
                    <w:rFonts w:ascii="Calibri"/>
                    <w:b/>
                    <w:spacing w:val="-5"/>
                    <w:sz w:val="18"/>
                  </w:rPr>
                  <w:instrText xml:space="preserve"> NUMPAGES </w:instrText>
                </w:r>
                <w:r>
                  <w:rPr>
                    <w:rFonts w:ascii="Calibri"/>
                    <w:b/>
                    <w:spacing w:val="-5"/>
                    <w:sz w:val="18"/>
                  </w:rPr>
                  <w:fldChar w:fldCharType="separate"/>
                </w:r>
                <w:r>
                  <w:rPr>
                    <w:rFonts w:ascii="Calibri"/>
                    <w:b/>
                    <w:spacing w:val="-5"/>
                    <w:sz w:val="18"/>
                  </w:rPr>
                  <w:t>10</w:t>
                </w:r>
                <w:r>
                  <w:rPr>
                    <w:rFonts w:ascii="Calibri"/>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8pt;height:11pt;margin-top:771.15pt;margin-left:284pt;mso-position-horizontal-relative:page;mso-position-vertical-relative:page;position:absolute;z-index:-251653120" filled="f" stroked="f">
          <v:textbox inset="0,0,0,0">
            <w:txbxContent>
              <w:p>
                <w:pPr>
                  <w:spacing w:before="0" w:line="203" w:lineRule="exact"/>
                  <w:ind w:left="60" w:right="0" w:firstLine="0"/>
                  <w:jc w:val="left"/>
                  <w:rPr>
                    <w:rFonts w:ascii="Calibri"/>
                    <w:b/>
                    <w:sz w:val="18"/>
                  </w:rPr>
                </w:pPr>
                <w:r>
                  <w:rPr>
                    <w:rFonts w:ascii="Calibri"/>
                    <w:b/>
                    <w:sz w:val="18"/>
                  </w:rPr>
                  <w:fldChar w:fldCharType="begin"/>
                </w:r>
                <w:r>
                  <w:rPr>
                    <w:rFonts w:ascii="Calibri"/>
                    <w:b/>
                    <w:sz w:val="18"/>
                  </w:rPr>
                  <w:instrText xml:space="preserve"> PAGE </w:instrText>
                </w:r>
                <w:r>
                  <w:rPr>
                    <w:rFonts w:ascii="Calibri"/>
                    <w:b/>
                    <w:sz w:val="18"/>
                  </w:rPr>
                  <w:fldChar w:fldCharType="separate"/>
                </w:r>
                <w:r>
                  <w:rPr>
                    <w:rFonts w:ascii="Calibri"/>
                    <w:b/>
                    <w:sz w:val="18"/>
                  </w:rPr>
                  <w:t>6</w:t>
                </w:r>
                <w:r>
                  <w:rPr>
                    <w:rFonts w:ascii="Calibri"/>
                    <w:b/>
                    <w:sz w:val="18"/>
                  </w:rPr>
                  <w:fldChar w:fldCharType="end"/>
                </w:r>
                <w:r>
                  <w:rPr>
                    <w:rFonts w:ascii="Calibri"/>
                    <w:b/>
                    <w:sz w:val="18"/>
                  </w:rPr>
                  <w:t xml:space="preserve"> </w:t>
                </w:r>
                <w:r>
                  <w:rPr>
                    <w:rFonts w:ascii="Calibri"/>
                    <w:sz w:val="18"/>
                  </w:rPr>
                  <w:t>/</w:t>
                </w:r>
                <w:r>
                  <w:rPr>
                    <w:rFonts w:ascii="Calibri"/>
                    <w:spacing w:val="-1"/>
                    <w:sz w:val="18"/>
                  </w:rPr>
                  <w:t xml:space="preserve"> </w:t>
                </w:r>
                <w:r>
                  <w:rPr>
                    <w:rFonts w:ascii="Calibri"/>
                    <w:b/>
                    <w:spacing w:val="-5"/>
                    <w:sz w:val="18"/>
                  </w:rPr>
                  <w:fldChar w:fldCharType="begin"/>
                </w:r>
                <w:r>
                  <w:rPr>
                    <w:rFonts w:ascii="Calibri"/>
                    <w:b/>
                    <w:spacing w:val="-5"/>
                    <w:sz w:val="18"/>
                  </w:rPr>
                  <w:instrText xml:space="preserve"> NUMPAGES </w:instrText>
                </w:r>
                <w:r>
                  <w:rPr>
                    <w:rFonts w:ascii="Calibri"/>
                    <w:b/>
                    <w:spacing w:val="-5"/>
                    <w:sz w:val="18"/>
                  </w:rPr>
                  <w:fldChar w:fldCharType="separate"/>
                </w:r>
                <w:r>
                  <w:rPr>
                    <w:rFonts w:ascii="Calibri"/>
                    <w:b/>
                    <w:spacing w:val="-5"/>
                    <w:sz w:val="18"/>
                  </w:rPr>
                  <w:t>10</w:t>
                </w:r>
                <w:r>
                  <w:rPr>
                    <w:rFonts w:ascii="Calibri"/>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9.8pt;height:11pt;margin-top:771.15pt;margin-left:284pt;mso-position-horizontal-relative:page;mso-position-vertical-relative:page;position:absolute;z-index:-251652096" filled="f" stroked="f">
          <v:textbox inset="0,0,0,0">
            <w:txbxContent>
              <w:p>
                <w:pPr>
                  <w:spacing w:before="0" w:line="203" w:lineRule="exact"/>
                  <w:ind w:left="60" w:right="0" w:firstLine="0"/>
                  <w:jc w:val="left"/>
                  <w:rPr>
                    <w:rFonts w:ascii="Calibri"/>
                    <w:b/>
                    <w:sz w:val="18"/>
                  </w:rPr>
                </w:pPr>
                <w:r>
                  <w:rPr>
                    <w:rFonts w:ascii="Calibri"/>
                    <w:b/>
                    <w:sz w:val="18"/>
                  </w:rPr>
                  <w:fldChar w:fldCharType="begin"/>
                </w:r>
                <w:r>
                  <w:rPr>
                    <w:rFonts w:ascii="Calibri"/>
                    <w:b/>
                    <w:sz w:val="18"/>
                  </w:rPr>
                  <w:instrText xml:space="preserve"> PAGE </w:instrText>
                </w:r>
                <w:r>
                  <w:rPr>
                    <w:rFonts w:ascii="Calibri"/>
                    <w:b/>
                    <w:sz w:val="18"/>
                  </w:rPr>
                  <w:fldChar w:fldCharType="separate"/>
                </w:r>
                <w:r>
                  <w:rPr>
                    <w:rFonts w:ascii="Calibri"/>
                    <w:b/>
                    <w:sz w:val="18"/>
                  </w:rPr>
                  <w:t>7</w:t>
                </w:r>
                <w:r>
                  <w:rPr>
                    <w:rFonts w:ascii="Calibri"/>
                    <w:b/>
                    <w:sz w:val="18"/>
                  </w:rPr>
                  <w:fldChar w:fldCharType="end"/>
                </w:r>
                <w:r>
                  <w:rPr>
                    <w:rFonts w:ascii="Calibri"/>
                    <w:b/>
                    <w:sz w:val="18"/>
                  </w:rPr>
                  <w:t xml:space="preserve"> </w:t>
                </w:r>
                <w:r>
                  <w:rPr>
                    <w:rFonts w:ascii="Calibri"/>
                    <w:sz w:val="18"/>
                  </w:rPr>
                  <w:t>/</w:t>
                </w:r>
                <w:r>
                  <w:rPr>
                    <w:rFonts w:ascii="Calibri"/>
                    <w:spacing w:val="-1"/>
                    <w:sz w:val="18"/>
                  </w:rPr>
                  <w:t xml:space="preserve"> </w:t>
                </w:r>
                <w:r>
                  <w:rPr>
                    <w:rFonts w:ascii="Calibri"/>
                    <w:b/>
                    <w:spacing w:val="-5"/>
                    <w:sz w:val="18"/>
                  </w:rPr>
                  <w:fldChar w:fldCharType="begin"/>
                </w:r>
                <w:r>
                  <w:rPr>
                    <w:rFonts w:ascii="Calibri"/>
                    <w:b/>
                    <w:spacing w:val="-5"/>
                    <w:sz w:val="18"/>
                  </w:rPr>
                  <w:instrText xml:space="preserve"> NUMPAGES </w:instrText>
                </w:r>
                <w:r>
                  <w:rPr>
                    <w:rFonts w:ascii="Calibri"/>
                    <w:b/>
                    <w:spacing w:val="-5"/>
                    <w:sz w:val="18"/>
                  </w:rPr>
                  <w:fldChar w:fldCharType="separate"/>
                </w:r>
                <w:r>
                  <w:rPr>
                    <w:rFonts w:ascii="Calibri"/>
                    <w:b/>
                    <w:spacing w:val="-5"/>
                    <w:sz w:val="18"/>
                  </w:rPr>
                  <w:t>10</w:t>
                </w:r>
                <w:r>
                  <w:rPr>
                    <w:rFonts w:ascii="Calibri"/>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8pt;height:11pt;margin-top:771.15pt;margin-left:284pt;mso-position-horizontal-relative:page;mso-position-vertical-relative:page;position:absolute;z-index:-251651072" filled="f" stroked="f">
          <v:textbox inset="0,0,0,0">
            <w:txbxContent>
              <w:p>
                <w:pPr>
                  <w:spacing w:before="0" w:line="203" w:lineRule="exact"/>
                  <w:ind w:left="60" w:right="0" w:firstLine="0"/>
                  <w:jc w:val="left"/>
                  <w:rPr>
                    <w:rFonts w:ascii="Calibri"/>
                    <w:b/>
                    <w:sz w:val="18"/>
                  </w:rPr>
                </w:pPr>
                <w:r>
                  <w:rPr>
                    <w:rFonts w:ascii="Calibri"/>
                    <w:b/>
                    <w:sz w:val="18"/>
                  </w:rPr>
                  <w:fldChar w:fldCharType="begin"/>
                </w:r>
                <w:r>
                  <w:rPr>
                    <w:rFonts w:ascii="Calibri"/>
                    <w:b/>
                    <w:sz w:val="18"/>
                  </w:rPr>
                  <w:instrText xml:space="preserve"> PAGE </w:instrText>
                </w:r>
                <w:r>
                  <w:rPr>
                    <w:rFonts w:ascii="Calibri"/>
                    <w:b/>
                    <w:sz w:val="18"/>
                  </w:rPr>
                  <w:fldChar w:fldCharType="separate"/>
                </w:r>
                <w:r>
                  <w:rPr>
                    <w:rFonts w:ascii="Calibri"/>
                    <w:b/>
                    <w:sz w:val="18"/>
                  </w:rPr>
                  <w:t>8</w:t>
                </w:r>
                <w:r>
                  <w:rPr>
                    <w:rFonts w:ascii="Calibri"/>
                    <w:b/>
                    <w:sz w:val="18"/>
                  </w:rPr>
                  <w:fldChar w:fldCharType="end"/>
                </w:r>
                <w:r>
                  <w:rPr>
                    <w:rFonts w:ascii="Calibri"/>
                    <w:b/>
                    <w:sz w:val="18"/>
                  </w:rPr>
                  <w:t xml:space="preserve"> </w:t>
                </w:r>
                <w:r>
                  <w:rPr>
                    <w:rFonts w:ascii="Calibri"/>
                    <w:sz w:val="18"/>
                  </w:rPr>
                  <w:t>/</w:t>
                </w:r>
                <w:r>
                  <w:rPr>
                    <w:rFonts w:ascii="Calibri"/>
                    <w:spacing w:val="-1"/>
                    <w:sz w:val="18"/>
                  </w:rPr>
                  <w:t xml:space="preserve"> </w:t>
                </w:r>
                <w:r>
                  <w:rPr>
                    <w:rFonts w:ascii="Calibri"/>
                    <w:b/>
                    <w:spacing w:val="-5"/>
                    <w:sz w:val="18"/>
                  </w:rPr>
                  <w:fldChar w:fldCharType="begin"/>
                </w:r>
                <w:r>
                  <w:rPr>
                    <w:rFonts w:ascii="Calibri"/>
                    <w:b/>
                    <w:spacing w:val="-5"/>
                    <w:sz w:val="18"/>
                  </w:rPr>
                  <w:instrText xml:space="preserve"> NUMPAGES </w:instrText>
                </w:r>
                <w:r>
                  <w:rPr>
                    <w:rFonts w:ascii="Calibri"/>
                    <w:b/>
                    <w:spacing w:val="-5"/>
                    <w:sz w:val="18"/>
                  </w:rPr>
                  <w:fldChar w:fldCharType="separate"/>
                </w:r>
                <w:r>
                  <w:rPr>
                    <w:rFonts w:ascii="Calibri"/>
                    <w:b/>
                    <w:spacing w:val="-5"/>
                    <w:sz w:val="18"/>
                  </w:rPr>
                  <w:t>10</w:t>
                </w:r>
                <w:r>
                  <w:rPr>
                    <w:rFonts w:ascii="Calibri"/>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9.8pt;height:11pt;margin-top:771.15pt;margin-left:284pt;mso-position-horizontal-relative:page;mso-position-vertical-relative:page;position:absolute;z-index:-251650048" filled="f" stroked="f">
          <v:textbox inset="0,0,0,0">
            <w:txbxContent>
              <w:p>
                <w:pPr>
                  <w:spacing w:before="0" w:line="203" w:lineRule="exact"/>
                  <w:ind w:left="60" w:right="0" w:firstLine="0"/>
                  <w:jc w:val="left"/>
                  <w:rPr>
                    <w:rFonts w:ascii="Calibri"/>
                    <w:b/>
                    <w:sz w:val="18"/>
                  </w:rPr>
                </w:pPr>
                <w:r>
                  <w:rPr>
                    <w:rFonts w:ascii="Calibri"/>
                    <w:b/>
                    <w:sz w:val="18"/>
                  </w:rPr>
                  <w:fldChar w:fldCharType="begin"/>
                </w:r>
                <w:r>
                  <w:rPr>
                    <w:rFonts w:ascii="Calibri"/>
                    <w:b/>
                    <w:sz w:val="18"/>
                  </w:rPr>
                  <w:instrText xml:space="preserve"> PAGE </w:instrText>
                </w:r>
                <w:r>
                  <w:rPr>
                    <w:rFonts w:ascii="Calibri"/>
                    <w:b/>
                    <w:sz w:val="18"/>
                  </w:rPr>
                  <w:fldChar w:fldCharType="separate"/>
                </w:r>
                <w:r>
                  <w:rPr>
                    <w:rFonts w:ascii="Calibri"/>
                    <w:b/>
                    <w:sz w:val="18"/>
                  </w:rPr>
                  <w:t>9</w:t>
                </w:r>
                <w:r>
                  <w:rPr>
                    <w:rFonts w:ascii="Calibri"/>
                    <w:b/>
                    <w:sz w:val="18"/>
                  </w:rPr>
                  <w:fldChar w:fldCharType="end"/>
                </w:r>
                <w:r>
                  <w:rPr>
                    <w:rFonts w:ascii="Calibri"/>
                    <w:b/>
                    <w:sz w:val="18"/>
                  </w:rPr>
                  <w:t xml:space="preserve"> </w:t>
                </w:r>
                <w:r>
                  <w:rPr>
                    <w:rFonts w:ascii="Calibri"/>
                    <w:sz w:val="18"/>
                  </w:rPr>
                  <w:t>/</w:t>
                </w:r>
                <w:r>
                  <w:rPr>
                    <w:rFonts w:ascii="Calibri"/>
                    <w:spacing w:val="-1"/>
                    <w:sz w:val="18"/>
                  </w:rPr>
                  <w:t xml:space="preserve"> </w:t>
                </w:r>
                <w:r>
                  <w:rPr>
                    <w:rFonts w:ascii="Calibri"/>
                    <w:b/>
                    <w:spacing w:val="-5"/>
                    <w:sz w:val="18"/>
                  </w:rPr>
                  <w:fldChar w:fldCharType="begin"/>
                </w:r>
                <w:r>
                  <w:rPr>
                    <w:rFonts w:ascii="Calibri"/>
                    <w:b/>
                    <w:spacing w:val="-5"/>
                    <w:sz w:val="18"/>
                  </w:rPr>
                  <w:instrText xml:space="preserve"> NUMPAGES </w:instrText>
                </w:r>
                <w:r>
                  <w:rPr>
                    <w:rFonts w:ascii="Calibri"/>
                    <w:b/>
                    <w:spacing w:val="-5"/>
                    <w:sz w:val="18"/>
                  </w:rPr>
                  <w:fldChar w:fldCharType="separate"/>
                </w:r>
                <w:r>
                  <w:rPr>
                    <w:rFonts w:ascii="Calibri"/>
                    <w:b/>
                    <w:spacing w:val="-5"/>
                    <w:sz w:val="18"/>
                  </w:rPr>
                  <w:t>10</w:t>
                </w:r>
                <w:r>
                  <w:rPr>
                    <w:rFonts w:ascii="Calibri"/>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8pt;height:11pt;margin-top:771.15pt;margin-left:284pt;mso-position-horizontal-relative:page;mso-position-vertical-relative:page;position:absolute;z-index:-251649024" filled="f" stroked="f">
          <v:textbox inset="0,0,0,0">
            <w:txbxContent>
              <w:p>
                <w:pPr>
                  <w:spacing w:before="0" w:line="203" w:lineRule="exact"/>
                  <w:ind w:left="60" w:right="0" w:firstLine="0"/>
                  <w:jc w:val="left"/>
                  <w:rPr>
                    <w:rFonts w:ascii="Calibri"/>
                    <w:b/>
                    <w:sz w:val="18"/>
                  </w:rPr>
                </w:pPr>
                <w:r>
                  <w:rPr>
                    <w:rFonts w:ascii="Calibri"/>
                    <w:b/>
                    <w:sz w:val="18"/>
                  </w:rPr>
                  <w:fldChar w:fldCharType="begin"/>
                </w:r>
                <w:r>
                  <w:rPr>
                    <w:rFonts w:ascii="Calibri"/>
                    <w:b/>
                    <w:sz w:val="18"/>
                  </w:rPr>
                  <w:instrText xml:space="preserve"> PAGE </w:instrText>
                </w:r>
                <w:r>
                  <w:rPr>
                    <w:rFonts w:ascii="Calibri"/>
                    <w:b/>
                    <w:sz w:val="18"/>
                  </w:rPr>
                  <w:fldChar w:fldCharType="separate"/>
                </w:r>
                <w:r>
                  <w:rPr>
                    <w:rFonts w:ascii="Calibri"/>
                    <w:b/>
                    <w:sz w:val="18"/>
                  </w:rPr>
                  <w:t>10</w:t>
                </w:r>
                <w:r>
                  <w:rPr>
                    <w:rFonts w:ascii="Calibri"/>
                    <w:b/>
                    <w:sz w:val="18"/>
                  </w:rPr>
                  <w:fldChar w:fldCharType="end"/>
                </w:r>
                <w:r>
                  <w:rPr>
                    <w:rFonts w:ascii="Calibri"/>
                    <w:b/>
                    <w:sz w:val="18"/>
                  </w:rPr>
                  <w:t xml:space="preserve"> </w:t>
                </w:r>
                <w:r>
                  <w:rPr>
                    <w:rFonts w:ascii="Calibri"/>
                    <w:sz w:val="18"/>
                  </w:rPr>
                  <w:t>/</w:t>
                </w:r>
                <w:r>
                  <w:rPr>
                    <w:rFonts w:ascii="Calibri"/>
                    <w:spacing w:val="-1"/>
                    <w:sz w:val="18"/>
                  </w:rPr>
                  <w:t xml:space="preserve"> </w:t>
                </w:r>
                <w:r>
                  <w:rPr>
                    <w:rFonts w:ascii="Calibri"/>
                    <w:b/>
                    <w:spacing w:val="-5"/>
                    <w:sz w:val="18"/>
                  </w:rPr>
                  <w:fldChar w:fldCharType="begin"/>
                </w:r>
                <w:r>
                  <w:rPr>
                    <w:rFonts w:ascii="Calibri"/>
                    <w:b/>
                    <w:spacing w:val="-5"/>
                    <w:sz w:val="18"/>
                  </w:rPr>
                  <w:instrText xml:space="preserve"> NUMPAGES </w:instrText>
                </w:r>
                <w:r>
                  <w:rPr>
                    <w:rFonts w:ascii="Calibri"/>
                    <w:b/>
                    <w:spacing w:val="-5"/>
                    <w:sz w:val="18"/>
                  </w:rPr>
                  <w:fldChar w:fldCharType="separate"/>
                </w:r>
                <w:r>
                  <w:rPr>
                    <w:rFonts w:ascii="Calibri"/>
                    <w:b/>
                    <w:spacing w:val="-5"/>
                    <w:sz w:val="18"/>
                  </w:rPr>
                  <w:t>10</w:t>
                </w:r>
                <w:r>
                  <w:rPr>
                    <w:rFonts w:ascii="Calibri"/>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7CB6776"/>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1">
    <w:nsid w:val="452E2EA6"/>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2">
    <w:nsid w:val="47AF0258"/>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3">
    <w:nsid w:val="4A7ED550"/>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4">
    <w:nsid w:val="607F61AB"/>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120"/>
      <w:jc w:val="both"/>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宋体" w:eastAsia="宋体" w:hAnsi="宋体" w:cs="宋体"/>
      <w:sz w:val="21"/>
      <w:szCs w:val="21"/>
      <w:lang w:val="en-US" w:eastAsia="zh-CN" w:bidi="ar-SA"/>
    </w:rPr>
  </w:style>
  <w:style w:type="paragraph" w:styleId="BodyText">
    <w:name w:val="Body Text"/>
    <w:basedOn w:val="Normal"/>
    <w:uiPriority w:val="1"/>
    <w:qFormat/>
    <w:rPr>
      <w:rFonts w:ascii="宋体" w:eastAsia="宋体" w:hAnsi="宋体" w:cs="宋体"/>
      <w:sz w:val="28"/>
      <w:szCs w:val="28"/>
      <w:lang w:val="en-US" w:eastAsia="zh-CN" w:bidi="ar-SA"/>
    </w:rPr>
  </w:style>
  <w:style w:type="paragraph" w:styleId="Title">
    <w:name w:val="Title"/>
    <w:basedOn w:val="Normal"/>
    <w:uiPriority w:val="1"/>
    <w:qFormat/>
    <w:pPr>
      <w:spacing w:line="569" w:lineRule="exact"/>
      <w:ind w:left="2012" w:right="2091"/>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right="378"/>
      <w:jc w:val="both"/>
    </w:pPr>
    <w:rPr>
      <w:rFonts w:ascii="宋体" w:eastAsia="宋体" w:hAnsi="宋体" w:cs="宋体"/>
      <w:lang w:val="en-US" w:eastAsia="zh-CN" w:bidi="ar-SA"/>
    </w:rPr>
  </w:style>
  <w:style w:type="paragraph" w:customStyle="1" w:styleId="TableParagraph">
    <w:name w:val="Table Paragraph"/>
    <w:basedOn w:val="Normal"/>
    <w:uiPriority w:val="1"/>
    <w:qFormat/>
    <w:rPr>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hyperlink" Target="https://d.book118.com/307100166104006051" TargetMode="External" /><Relationship Id="rId15" Type="http://schemas.openxmlformats.org/officeDocument/2006/relationships/footer" Target="footer10.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2024-03-05T04:06:31Z</dcterms:created>
  <dcterms:modified xsi:type="dcterms:W3CDTF">2024-03-05T04:06:31Z</dcterms:modified>
</cp:coreProperties>
</file>