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tabs>
          <w:tab w:val="left" w:pos="2551"/>
          <w:tab w:val="left" w:pos="4677"/>
          <w:tab w:val="left" w:pos="6803"/>
        </w:tabs>
        <w:spacing w:line="360" w:lineRule="auto"/>
        <w:textAlignment w:val="center"/>
        <w:rPr>
          <w:b/>
          <w:sz w:val="24"/>
        </w:rPr>
      </w:pPr>
      <w:r>
        <w:rPr>
          <w:rFonts w:hint="eastAsia"/>
          <w:b/>
          <w:sz w:val="24"/>
        </w:rPr>
        <w:drawing>
          <wp:anchor distT="0" distB="0" distL="114300" distR="114300" simplePos="0" relativeHeight="251658240" behindDoc="0" locked="0" layoutInCell="1" allowOverlap="1">
            <wp:simplePos x="0" y="0"/>
            <wp:positionH relativeFrom="page">
              <wp:posOffset>10629900</wp:posOffset>
            </wp:positionH>
            <wp:positionV relativeFrom="topMargin">
              <wp:posOffset>10591800</wp:posOffset>
            </wp:positionV>
            <wp:extent cx="482600" cy="304800"/>
            <wp:effectExtent l="0" t="0" r="12700" b="0"/>
            <wp:wrapNone/>
            <wp:docPr id="100055" name="图片 100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pic:cNvPicPr>
                      <a:picLocks noChangeAspect="1"/>
                    </pic:cNvPicPr>
                  </pic:nvPicPr>
                  <pic:blipFill>
                    <a:blip xmlns:r="http://schemas.openxmlformats.org/officeDocument/2006/relationships" r:embed="rId5"/>
                    <a:stretch>
                      <a:fillRect/>
                    </a:stretch>
                  </pic:blipFill>
                  <pic:spPr>
                    <a:xfrm>
                      <a:off x="0" y="0"/>
                      <a:ext cx="482600" cy="304800"/>
                    </a:xfrm>
                    <a:prstGeom prst="rect">
                      <a:avLst/>
                    </a:prstGeom>
                  </pic:spPr>
                </pic:pic>
              </a:graphicData>
            </a:graphic>
          </wp:anchor>
        </w:drawing>
      </w:r>
      <w:r>
        <w:drawing>
          <wp:anchor distT="0" distB="0" distL="114300" distR="114300" simplePos="0" relativeHeight="251660288" behindDoc="0" locked="0" layoutInCell="1" allowOverlap="1">
            <wp:simplePos x="0" y="0"/>
            <wp:positionH relativeFrom="page">
              <wp:posOffset>11455400</wp:posOffset>
            </wp:positionH>
            <wp:positionV relativeFrom="topMargin">
              <wp:posOffset>11798300</wp:posOffset>
            </wp:positionV>
            <wp:extent cx="457200" cy="393700"/>
            <wp:effectExtent l="0" t="0" r="0" b="6350"/>
            <wp:wrapNone/>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457200" cy="393700"/>
                    </a:xfrm>
                    <a:prstGeom prst="rect">
                      <a:avLst/>
                    </a:prstGeom>
                    <a:noFill/>
                  </pic:spPr>
                </pic:pic>
              </a:graphicData>
            </a:graphic>
          </wp:anchor>
        </w:drawing>
      </w:r>
      <w:r>
        <w:rPr>
          <w:rFonts w:hint="eastAsia"/>
          <w:b/>
          <w:sz w:val="24"/>
        </w:rPr>
        <w:t>绝密</w:t>
      </w:r>
      <w:r>
        <w:rPr>
          <w:rFonts w:cs="宋体" w:hint="eastAsia"/>
          <w:b/>
          <w:sz w:val="24"/>
        </w:rPr>
        <w:t>★</w:t>
      </w:r>
      <w:r>
        <w:rPr>
          <w:rFonts w:hint="eastAsia"/>
          <w:b/>
          <w:sz w:val="24"/>
        </w:rPr>
        <w:t>启用前</w:t>
      </w:r>
    </w:p>
    <w:p>
      <w:pPr>
        <w:spacing w:line="360" w:lineRule="auto"/>
        <w:jc w:val="center"/>
        <w:rPr>
          <w:rFonts w:eastAsia="黑体"/>
          <w:b/>
          <w:bCs/>
          <w:sz w:val="30"/>
        </w:rPr>
      </w:pPr>
      <w:r>
        <w:drawing>
          <wp:anchor distT="0" distB="0" distL="114300" distR="114300" simplePos="0" relativeHeight="251659264" behindDoc="0" locked="0" layoutInCell="1" allowOverlap="1">
            <wp:simplePos x="0" y="0"/>
            <wp:positionH relativeFrom="page">
              <wp:posOffset>11125200</wp:posOffset>
            </wp:positionH>
            <wp:positionV relativeFrom="topMargin">
              <wp:posOffset>10680700</wp:posOffset>
            </wp:positionV>
            <wp:extent cx="292100" cy="368300"/>
            <wp:effectExtent l="0" t="0" r="0" b="0"/>
            <wp:wrapNone/>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292100" cy="368300"/>
                    </a:xfrm>
                    <a:prstGeom prst="rect">
                      <a:avLst/>
                    </a:prstGeom>
                    <a:noFill/>
                  </pic:spPr>
                </pic:pic>
              </a:graphicData>
            </a:graphic>
          </wp:anchor>
        </w:drawing>
      </w:r>
      <w:r>
        <w:drawing>
          <wp:anchor distT="0" distB="0" distL="114300" distR="114300" simplePos="0" relativeHeight="251661312" behindDoc="0" locked="0" layoutInCell="1" allowOverlap="1">
            <wp:simplePos x="0" y="0"/>
            <wp:positionH relativeFrom="page">
              <wp:posOffset>11671300</wp:posOffset>
            </wp:positionH>
            <wp:positionV relativeFrom="topMargin">
              <wp:posOffset>11010900</wp:posOffset>
            </wp:positionV>
            <wp:extent cx="330200" cy="419100"/>
            <wp:effectExtent l="0" t="0" r="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a:xfrm>
                      <a:off x="0" y="0"/>
                      <a:ext cx="330200" cy="419100"/>
                    </a:xfrm>
                    <a:prstGeom prst="rect">
                      <a:avLst/>
                    </a:prstGeom>
                    <a:noFill/>
                  </pic:spPr>
                </pic:pic>
              </a:graphicData>
            </a:graphic>
          </wp:anchor>
        </w:drawing>
      </w:r>
      <w:r>
        <w:rPr>
          <w:rFonts w:eastAsia="黑体"/>
          <w:b/>
          <w:bCs/>
          <w:sz w:val="30"/>
        </w:rPr>
        <w:t>2024</w:t>
      </w:r>
      <w:r>
        <w:rPr>
          <w:rFonts w:eastAsia="黑体" w:hint="eastAsia"/>
          <w:b/>
          <w:bCs/>
          <w:sz w:val="30"/>
        </w:rPr>
        <w:t>年高考考前信息必刷卷（浙江专用）</w:t>
      </w:r>
      <w:r>
        <w:rPr>
          <w:rFonts w:eastAsia="黑体"/>
          <w:b/>
          <w:bCs/>
          <w:sz w:val="30"/>
        </w:rPr>
        <w:t>0</w:t>
      </w:r>
      <w:r>
        <w:rPr>
          <w:rFonts w:eastAsia="黑体" w:hint="eastAsia"/>
          <w:b/>
          <w:bCs/>
          <w:sz w:val="30"/>
        </w:rPr>
        <w:t>4</w:t>
      </w:r>
      <w:r>
        <w:rPr>
          <w:rFonts w:eastAsia="黑体"/>
          <w:b/>
          <w:bCs/>
          <w:sz w:val="30"/>
        </w:rPr>
        <w:t xml:space="preserve"> </w:t>
      </w:r>
    </w:p>
    <w:p>
      <w:pPr>
        <w:spacing w:line="360" w:lineRule="auto"/>
        <w:jc w:val="center"/>
        <w:rPr>
          <w:rFonts w:eastAsia="黑体"/>
          <w:sz w:val="36"/>
        </w:rPr>
      </w:pPr>
      <w:r>
        <w:rPr>
          <w:rFonts w:eastAsia="黑体" w:hint="eastAsia"/>
          <w:sz w:val="30"/>
        </w:rPr>
        <w:t>物</w:t>
      </w:r>
      <w:r>
        <w:rPr>
          <w:rFonts w:eastAsia="黑体"/>
          <w:sz w:val="30"/>
        </w:rPr>
        <w:t xml:space="preserve"> </w:t>
      </w:r>
      <w:r>
        <w:rPr>
          <w:rFonts w:eastAsia="黑体" w:hint="eastAsia"/>
          <w:sz w:val="30"/>
        </w:rPr>
        <w:t>理</w:t>
      </w:r>
      <w:r>
        <w:rPr>
          <w:rFonts w:ascii="Times New Roman" w:hAnsi="Times New Roman" w:hint="eastAsia"/>
          <w:b/>
          <w:bCs/>
          <w:color w:val="FF0000"/>
          <w:sz w:val="24"/>
          <w:szCs w:val="24"/>
          <w:lang w:eastAsia="zh-CN"/>
        </w:rPr>
        <w:t>（</w:t>
      </w:r>
      <w:r>
        <w:rPr>
          <w:rFonts w:ascii="Times New Roman" w:hAnsi="Times New Roman" w:hint="eastAsia"/>
          <w:b/>
          <w:bCs/>
          <w:color w:val="FF0000"/>
          <w:sz w:val="24"/>
          <w:szCs w:val="24"/>
          <w:lang w:val="en-US" w:eastAsia="zh-CN"/>
        </w:rPr>
        <w:t>答案在最后</w:t>
      </w:r>
      <w:r>
        <w:rPr>
          <w:rFonts w:ascii="Times New Roman" w:hAnsi="Times New Roman" w:hint="eastAsia"/>
          <w:b/>
          <w:bCs/>
          <w:color w:val="FF0000"/>
          <w:sz w:val="24"/>
          <w:szCs w:val="24"/>
          <w:lang w:eastAsia="zh-CN"/>
        </w:rPr>
        <w:t>）</w:t>
      </w:r>
      <w:bookmarkStart w:id="0" w:name="_GoBack"/>
      <w:bookmarkEnd w:id="0"/>
    </w:p>
    <w:p>
      <w:pPr>
        <w:spacing w:line="360" w:lineRule="auto"/>
        <w:jc w:val="center"/>
      </w:pPr>
      <w:r>
        <w:rPr>
          <w:rFonts w:eastAsia="楷体" w:hint="eastAsia"/>
          <w:kern w:val="0"/>
        </w:rPr>
        <w:t>（考试时间：90分钟</w:t>
      </w:r>
      <w:r>
        <w:rPr>
          <w:rFonts w:eastAsia="楷体"/>
          <w:kern w:val="0"/>
        </w:rPr>
        <w:t xml:space="preserve">  </w:t>
      </w:r>
      <w:r>
        <w:rPr>
          <w:rFonts w:eastAsia="楷体" w:hint="eastAsia"/>
          <w:kern w:val="0"/>
        </w:rPr>
        <w:t>试卷满分：100分）</w:t>
      </w:r>
    </w:p>
    <w:p>
      <w:pPr>
        <w:tabs>
          <w:tab w:val="left" w:pos="2551"/>
          <w:tab w:val="left" w:pos="4677"/>
          <w:tab w:val="left" w:pos="6803"/>
        </w:tabs>
        <w:spacing w:line="360" w:lineRule="auto"/>
        <w:ind w:left="1365" w:hanging="1365" w:hangingChars="650"/>
        <w:textAlignment w:val="center"/>
        <w:rPr>
          <w:b/>
          <w:bCs/>
          <w:snapToGrid w:val="0"/>
          <w:kern w:val="0"/>
          <w:szCs w:val="21"/>
        </w:rPr>
      </w:pPr>
      <w:r>
        <w:rPr>
          <w:szCs w:val="21"/>
        </w:rPr>
        <w:drawing>
          <wp:inline distT="0" distB="0" distL="0" distR="0">
            <wp:extent cx="5681980" cy="173990"/>
            <wp:effectExtent l="0" t="0" r="0" b="0"/>
            <wp:docPr id="18" name="图片 18" descr="说明: 必刷卷-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说明: 必刷卷-3"/>
                    <pic:cNvPicPr>
                      <a:picLocks noChangeAspect="1" noChangeArrowheads="1"/>
                    </pic:cNvPicPr>
                  </pic:nvPicPr>
                  <pic:blipFill>
                    <a:blip xmlns:r="http://schemas.openxmlformats.org/officeDocument/2006/relationships" r:embed="rId9" cstate="print">
                      <a:clrChange>
                        <a:clrFrom>
                          <a:srgbClr val="FFFFFF"/>
                        </a:clrFrom>
                        <a:clrTo>
                          <a:srgbClr val="FFFFFF">
                            <a:alpha val="0"/>
                          </a:srgbClr>
                        </a:clrTo>
                      </a:clrChange>
                      <a:extLst>
                        <a:ext xmlns:a="http://schemas.openxmlformats.org/drawingml/2006/main" uri="{28A0092B-C50C-407E-A947-70E740481C1C}">
                          <a14:useLocalDpi xmlns:a14="http://schemas.microsoft.com/office/drawing/2010/main" val="0"/>
                        </a:ext>
                      </a:extLst>
                    </a:blip>
                    <a:stretch>
                      <a:fillRect/>
                    </a:stretch>
                  </pic:blipFill>
                  <pic:spPr>
                    <a:xfrm rot="10800000">
                      <a:off x="0" y="0"/>
                      <a:ext cx="5732964" cy="175938"/>
                    </a:xfrm>
                    <a:prstGeom prst="rect">
                      <a:avLst/>
                    </a:prstGeom>
                    <a:noFill/>
                    <a:ln>
                      <a:noFill/>
                    </a:ln>
                  </pic:spPr>
                </pic:pic>
              </a:graphicData>
            </a:graphic>
          </wp:inline>
        </w:drawing>
      </w:r>
    </w:p>
    <w:p>
      <w:pPr>
        <w:tabs>
          <w:tab w:val="left" w:pos="2551"/>
          <w:tab w:val="left" w:pos="4677"/>
          <w:tab w:val="left" w:pos="6803"/>
        </w:tabs>
        <w:spacing w:line="360" w:lineRule="auto"/>
        <w:textAlignment w:val="center"/>
        <w:rPr>
          <w:b/>
          <w:bCs/>
          <w:snapToGrid w:val="0"/>
          <w:kern w:val="0"/>
          <w:szCs w:val="21"/>
        </w:rPr>
      </w:pPr>
      <w:r>
        <w:rPr>
          <w:b/>
          <w:kern w:val="0"/>
          <w:szCs w:val="21"/>
        </w:rPr>
        <w:drawing>
          <wp:inline distT="0" distB="0" distL="0" distR="0">
            <wp:extent cx="1033145" cy="285115"/>
            <wp:effectExtent l="0" t="0" r="0"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rcRect l="24623" t="37396" r="24130" b="36842"/>
                    <a:stretch>
                      <a:fillRect/>
                    </a:stretch>
                  </pic:blipFill>
                  <pic:spPr>
                    <a:xfrm>
                      <a:off x="0" y="0"/>
                      <a:ext cx="1033145" cy="285115"/>
                    </a:xfrm>
                    <a:prstGeom prst="rect">
                      <a:avLst/>
                    </a:prstGeom>
                    <a:noFill/>
                    <a:ln>
                      <a:noFill/>
                    </a:ln>
                  </pic:spPr>
                </pic:pic>
              </a:graphicData>
            </a:graphic>
          </wp:inline>
        </w:drawing>
      </w:r>
    </w:p>
    <w:p>
      <w:pPr>
        <w:pStyle w:val="NormalWeb"/>
        <w:spacing w:before="0" w:beforeAutospacing="0" w:after="0" w:afterAutospacing="0" w:line="360" w:lineRule="auto"/>
        <w:ind w:firstLine="510"/>
      </w:pPr>
      <w:r>
        <w:rPr>
          <w:rFonts w:hint="eastAsia"/>
        </w:rPr>
        <w:t>2024年1月浙江</w:t>
      </w:r>
      <w:r>
        <w:t>物理选考试卷依据《普通高中物理课程标准（2017年版2020年修订）》的内容要求和学业质量水平等级要求，立足必备知识，评价关键能力，试卷的结构、难度、区分度、信度和效度保持相对稳定。</w:t>
      </w:r>
    </w:p>
    <w:p>
      <w:pPr>
        <w:pStyle w:val="NormalWeb"/>
        <w:spacing w:before="0" w:beforeAutospacing="0" w:after="0" w:afterAutospacing="0" w:line="360" w:lineRule="auto"/>
      </w:pPr>
      <w:r>
        <w:rPr>
          <w:rStyle w:val="Strong"/>
        </w:rPr>
        <w:t>落实依标命题，考查必备知识</w:t>
      </w:r>
    </w:p>
    <w:p>
      <w:pPr>
        <w:pStyle w:val="NormalWeb"/>
        <w:spacing w:before="0" w:beforeAutospacing="0" w:after="0" w:afterAutospacing="0" w:line="360" w:lineRule="auto"/>
        <w:ind w:firstLine="510"/>
        <w:rPr>
          <w:color w:val="FF0000"/>
        </w:rPr>
      </w:pPr>
      <w:r>
        <w:t>依据《课程标准》要求，选取物理核心概念、规律、思想和方法等内容设计试题，全卷考点涵盖物理各模块的所有主题，具有较高的覆盖面，比例合理。</w:t>
      </w:r>
      <w:r>
        <w:rPr>
          <w:rFonts w:hint="eastAsia"/>
          <w:color w:val="FF0000"/>
        </w:rPr>
        <w:t>试卷在实验题上相对以为略有不同，增加一个实验小题，想必2024年6月选考也会保持相同题量。</w:t>
      </w:r>
    </w:p>
    <w:p>
      <w:pPr>
        <w:pStyle w:val="NormalWeb"/>
        <w:spacing w:before="0" w:beforeAutospacing="0" w:after="0" w:afterAutospacing="0" w:line="360" w:lineRule="auto"/>
      </w:pPr>
      <w:r>
        <w:rPr>
          <w:rStyle w:val="Strong"/>
        </w:rPr>
        <w:t>设置合理梯度，评价关键能力</w:t>
      </w:r>
    </w:p>
    <w:p>
      <w:pPr>
        <w:pStyle w:val="NormalWeb"/>
        <w:spacing w:before="0" w:beforeAutospacing="0" w:after="0" w:afterAutospacing="0" w:line="360" w:lineRule="auto"/>
        <w:ind w:firstLine="510"/>
      </w:pPr>
      <w:r>
        <w:t>根据学科核心素养的水平层次、试题情境的复杂性和新颖性、知识要求的深度和广度等多方面设计试卷的难度。整卷设置了多层难度阶梯，有效区分不同学业水平的学生，使每个学生都能解决与自身能力吻合的问题。计算题情景设计既熟悉又新颖，问题设计由易到难，要求知识综合，多维的多层次的能力要求，利于大多数学生学有所得，利于多层次学生的区分选拔，利于高水平学生的脱颖而出。</w:t>
      </w:r>
    </w:p>
    <w:p>
      <w:pPr>
        <w:tabs>
          <w:tab w:val="left" w:pos="2551"/>
          <w:tab w:val="left" w:pos="4677"/>
          <w:tab w:val="left" w:pos="6803"/>
        </w:tabs>
        <w:spacing w:line="360" w:lineRule="auto"/>
        <w:textAlignment w:val="center"/>
      </w:pPr>
      <w:r>
        <w:drawing>
          <wp:inline distT="0" distB="0" distL="0" distR="0">
            <wp:extent cx="1033145" cy="285115"/>
            <wp:effectExtent l="0" t="0" r="0" b="63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rcRect l="24623" t="37396" r="24284" b="37119"/>
                    <a:stretch>
                      <a:fillRect/>
                    </a:stretch>
                  </pic:blipFill>
                  <pic:spPr>
                    <a:xfrm>
                      <a:off x="0" y="0"/>
                      <a:ext cx="1033145" cy="285115"/>
                    </a:xfrm>
                    <a:prstGeom prst="rect">
                      <a:avLst/>
                    </a:prstGeom>
                    <a:noFill/>
                    <a:ln>
                      <a:noFill/>
                    </a:ln>
                  </pic:spPr>
                </pic:pic>
              </a:graphicData>
            </a:graphic>
          </wp:inline>
        </w:drawing>
      </w:r>
    </w:p>
    <w:p>
      <w:pPr>
        <w:pStyle w:val="NormalWeb"/>
        <w:spacing w:before="0" w:beforeAutospacing="0" w:after="0" w:afterAutospacing="0" w:line="360" w:lineRule="auto"/>
      </w:pPr>
      <w:r>
        <w:rPr>
          <w:rStyle w:val="Strong"/>
        </w:rPr>
        <w:t>立足真实情境，聚焦核心素养</w:t>
      </w:r>
    </w:p>
    <w:p>
      <w:pPr>
        <w:pStyle w:val="NormalWeb"/>
        <w:spacing w:before="0" w:beforeAutospacing="0" w:after="0" w:afterAutospacing="0" w:line="360" w:lineRule="auto"/>
        <w:ind w:firstLine="510"/>
      </w:pPr>
      <w:r>
        <w:t>试卷涵盖学科核心素养各维度，充分展现了素养考查内容的全面性和丰富性，体现了稳中求新的风格。如第9题的一箭三星、第13题的超导、第19题的扫描隧道显微镜等都立足真实情景、关注科技前沿和国家重大工程，加强对科学态度与责任素养的考查与渗透</w:t>
      </w:r>
      <w:r>
        <w:rPr>
          <w:rFonts w:hint="eastAsia"/>
        </w:rPr>
        <w:t>。</w:t>
      </w:r>
    </w:p>
    <w:p>
      <w:pPr>
        <w:tabs>
          <w:tab w:val="left" w:pos="2551"/>
          <w:tab w:val="left" w:pos="4677"/>
          <w:tab w:val="left" w:pos="6803"/>
        </w:tabs>
        <w:spacing w:line="360" w:lineRule="auto"/>
        <w:ind w:left="1365" w:hanging="1365" w:hangingChars="650"/>
        <w:textAlignment w:val="center"/>
        <w:rPr>
          <w:b/>
          <w:bCs/>
          <w:snapToGrid w:val="0"/>
          <w:kern w:val="0"/>
          <w:szCs w:val="21"/>
        </w:rPr>
      </w:pPr>
      <w:r>
        <w:rPr>
          <w:szCs w:val="21"/>
        </w:rPr>
        <w:drawing>
          <wp:inline distT="0" distB="0" distL="0" distR="0">
            <wp:extent cx="5831840" cy="178435"/>
            <wp:effectExtent l="0" t="0" r="0" b="0"/>
            <wp:docPr id="9" name="图片 9" descr="说明: 必刷卷-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说明: 必刷卷-3"/>
                    <pic:cNvPicPr>
                      <a:picLocks noChangeAspect="1" noChangeArrowheads="1"/>
                    </pic:cNvPicPr>
                  </pic:nvPicPr>
                  <pic:blipFill>
                    <a:blip xmlns:r="http://schemas.openxmlformats.org/officeDocument/2006/relationships" r:embed="rId9" cstate="print">
                      <a:clrChange>
                        <a:clrFrom>
                          <a:srgbClr val="FFFFFF"/>
                        </a:clrFrom>
                        <a:clrTo>
                          <a:srgbClr val="FFFFFF">
                            <a:alpha val="0"/>
                          </a:srgbClr>
                        </a:clrTo>
                      </a:clrChange>
                      <a:extLst>
                        <a:ext xmlns:a="http://schemas.openxmlformats.org/drawingml/2006/main" uri="{28A0092B-C50C-407E-A947-70E740481C1C}">
                          <a14:useLocalDpi xmlns:a14="http://schemas.microsoft.com/office/drawing/2010/main" val="0"/>
                        </a:ext>
                      </a:extLst>
                    </a:blip>
                    <a:stretch>
                      <a:fillRect/>
                    </a:stretch>
                  </pic:blipFill>
                  <pic:spPr>
                    <a:xfrm>
                      <a:off x="0" y="0"/>
                      <a:ext cx="6089833" cy="186889"/>
                    </a:xfrm>
                    <a:prstGeom prst="rect">
                      <a:avLst/>
                    </a:prstGeom>
                    <a:noFill/>
                    <a:ln>
                      <a:noFill/>
                    </a:ln>
                  </pic:spPr>
                </pic:pic>
              </a:graphicData>
            </a:graphic>
          </wp:inline>
        </w:drawing>
      </w:r>
    </w:p>
    <w:p>
      <w:pPr>
        <w:adjustRightInd w:val="0"/>
        <w:snapToGrid w:val="0"/>
        <w:spacing w:line="360" w:lineRule="auto"/>
        <w:ind w:left="420" w:hanging="420" w:hangingChars="200"/>
        <w:contextualSpacing/>
        <w:rPr>
          <w:b/>
          <w:szCs w:val="21"/>
        </w:rPr>
        <w:sectPr>
          <w:footerReference w:type="even" r:id="rId12"/>
          <w:pgSz w:w="11907" w:h="16839"/>
          <w:pgMar w:top="1417" w:right="1417" w:bottom="1417" w:left="1417" w:header="850" w:footer="992" w:gutter="0"/>
          <w:cols w:num="1" w:sep="1" w:space="425"/>
          <w:docGrid w:type="lines" w:linePitch="312" w:charSpace="0"/>
        </w:sectPr>
      </w:pPr>
      <w:r>
        <w:rPr>
          <w:rFonts w:hint="eastAsia"/>
          <w:b/>
          <w:szCs w:val="21"/>
        </w:rPr>
        <w:t>一、选择题Ⅰ（本题共13小题，每小题3分，共39分。每小题列出的四个备选项中只有一个是符合题目要求的，不选、多选、错选均不得分）</w:t>
      </w:r>
    </w:p>
    <w:p>
      <w:pPr>
        <w:spacing w:line="360" w:lineRule="auto"/>
        <w:ind w:left="273" w:hanging="273" w:hangingChars="130"/>
      </w:pPr>
      <w:r>
        <w:rPr>
          <w:rFonts w:eastAsia="新宋体" w:hint="eastAsia"/>
          <w:szCs w:val="21"/>
        </w:rPr>
        <w:t>1．在国际单位制中，长度、时间、质量的单位符号分别是（　　）</w:t>
      </w:r>
    </w:p>
    <w:p>
      <w:pPr>
        <w:tabs>
          <w:tab w:val="left" w:pos="2300"/>
          <w:tab w:val="left" w:pos="4400"/>
          <w:tab w:val="left" w:pos="6400"/>
        </w:tabs>
        <w:spacing w:line="360" w:lineRule="auto"/>
        <w:ind w:firstLine="273" w:firstLineChars="130"/>
        <w:jc w:val="left"/>
      </w:pPr>
      <w:r>
        <w:rPr>
          <w:rFonts w:eastAsia="新宋体" w:hint="eastAsia"/>
          <w:szCs w:val="21"/>
        </w:rPr>
        <w:t>A．m、s、kg</w:t>
      </w:r>
      <w:r>
        <w:tab/>
      </w:r>
      <w:r>
        <w:rPr>
          <w:rFonts w:eastAsia="新宋体" w:hint="eastAsia"/>
          <w:szCs w:val="21"/>
        </w:rPr>
        <w:t>B．N、s、kg</w:t>
      </w:r>
      <w:r>
        <w:tab/>
      </w:r>
      <w:r>
        <w:rPr>
          <w:rFonts w:eastAsia="新宋体" w:hint="eastAsia"/>
          <w:szCs w:val="21"/>
        </w:rPr>
        <w:t>C．kg、m/s、N</w:t>
      </w:r>
      <w:r>
        <w:tab/>
      </w:r>
      <w:r>
        <w:rPr>
          <w:rFonts w:eastAsia="新宋体" w:hint="eastAsia"/>
          <w:szCs w:val="21"/>
        </w:rPr>
        <w:t>D．m、m/s、kg</w:t>
      </w:r>
    </w:p>
    <w:p>
      <w:pPr>
        <w:spacing w:line="360" w:lineRule="auto"/>
        <w:ind w:left="273" w:leftChars="130"/>
        <w:rPr>
          <w:color w:val="FF0000"/>
        </w:rPr>
      </w:pPr>
      <w:r>
        <w:rPr>
          <w:rFonts w:eastAsia="新宋体" w:hint="eastAsia"/>
          <w:color w:val="FF0000"/>
          <w:szCs w:val="21"/>
        </w:rPr>
        <w:t>【解答】解：在国际单位制中，长度、时间、质量的单位符号分别是m、s、kg，故A正确，BCD错误；</w:t>
      </w:r>
    </w:p>
    <w:p>
      <w:pPr>
        <w:spacing w:line="360" w:lineRule="auto"/>
        <w:ind w:left="273" w:leftChars="130"/>
        <w:rPr>
          <w:color w:val="FF0000"/>
        </w:rPr>
      </w:pPr>
      <w:r>
        <w:rPr>
          <w:rFonts w:eastAsia="新宋体" w:hint="eastAsia"/>
          <w:color w:val="FF0000"/>
          <w:szCs w:val="21"/>
        </w:rPr>
        <w:t>故选：A。</w:t>
      </w:r>
    </w:p>
    <w:p>
      <w:pPr>
        <w:spacing w:line="360" w:lineRule="auto"/>
        <w:ind w:left="273" w:hanging="273" w:hangingChars="130"/>
      </w:pPr>
      <w:r>
        <w:rPr>
          <w:rFonts w:eastAsia="新宋体" w:hint="eastAsia"/>
          <w:szCs w:val="21"/>
        </w:rPr>
        <w:t>2．如图甲所示是一个小朋友玩抖空竹的游戏，图乙是小朋友玩该游戏的示意图，两根不可伸长的线是对称的。如果小朋友的两手离得更远一些，两细线再次保持对称并稳定后，下列说法正确的是（　　）</w:t>
      </w:r>
    </w:p>
    <w:p>
      <w:pPr>
        <w:spacing w:line="360" w:lineRule="auto"/>
        <w:ind w:left="273" w:leftChars="130"/>
      </w:pPr>
      <w:r>
        <w:t xml:space="preserve"> </w:t>
      </w:r>
      <w:r>
        <w:drawing>
          <wp:inline distT="0" distB="0" distL="0" distR="0">
            <wp:extent cx="2468880" cy="1447800"/>
            <wp:effectExtent l="0" t="0" r="7620" b="0"/>
            <wp:docPr id="427618582" name="图片 1" descr="菁优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618582" name="图片 1" descr="菁优网"/>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a:xfrm>
                      <a:off x="0" y="0"/>
                      <a:ext cx="2468880" cy="1447800"/>
                    </a:xfrm>
                    <a:prstGeom prst="rect">
                      <a:avLst/>
                    </a:prstGeom>
                    <a:noFill/>
                    <a:ln>
                      <a:noFill/>
                    </a:ln>
                  </pic:spPr>
                </pic:pic>
              </a:graphicData>
            </a:graphic>
          </wp:inline>
        </w:drawing>
      </w:r>
    </w:p>
    <w:p>
      <w:pPr>
        <w:spacing w:line="360" w:lineRule="auto"/>
        <w:ind w:firstLine="273" w:firstLineChars="130"/>
        <w:jc w:val="left"/>
      </w:pPr>
      <w:r>
        <w:rPr>
          <w:rFonts w:eastAsia="新宋体" w:hint="eastAsia"/>
          <w:szCs w:val="21"/>
        </w:rPr>
        <w:t>A．两细线的拉力都变大</w:t>
      </w:r>
      <w:r>
        <w:tab/>
      </w:r>
    </w:p>
    <w:p>
      <w:pPr>
        <w:spacing w:line="360" w:lineRule="auto"/>
        <w:ind w:firstLine="273" w:firstLineChars="130"/>
        <w:jc w:val="left"/>
      </w:pPr>
      <w:r>
        <w:rPr>
          <w:rFonts w:eastAsia="新宋体" w:hint="eastAsia"/>
          <w:szCs w:val="21"/>
        </w:rPr>
        <w:t>B．两细线的拉力都变小</w:t>
      </w:r>
      <w:r>
        <w:tab/>
      </w:r>
    </w:p>
    <w:p>
      <w:pPr>
        <w:spacing w:line="360" w:lineRule="auto"/>
        <w:ind w:firstLine="273" w:firstLineChars="130"/>
        <w:jc w:val="left"/>
      </w:pPr>
      <w:r>
        <w:rPr>
          <w:rFonts w:eastAsia="新宋体" w:hint="eastAsia"/>
          <w:szCs w:val="21"/>
        </w:rPr>
        <w:t>C．两细线的拉力都不变</w:t>
      </w:r>
      <w:r>
        <w:tab/>
      </w:r>
    </w:p>
    <w:p>
      <w:pPr>
        <w:spacing w:line="360" w:lineRule="auto"/>
        <w:ind w:firstLine="273" w:firstLineChars="130"/>
        <w:jc w:val="left"/>
      </w:pPr>
      <w:r>
        <w:rPr>
          <w:rFonts w:eastAsia="新宋体" w:hint="eastAsia"/>
          <w:szCs w:val="21"/>
        </w:rPr>
        <w:t>D．两细线的拉力合力变大</w:t>
      </w:r>
    </w:p>
    <w:p>
      <w:pPr>
        <w:spacing w:line="360" w:lineRule="auto"/>
        <w:ind w:left="273" w:leftChars="130"/>
        <w:rPr>
          <w:color w:val="FF0000"/>
        </w:rPr>
      </w:pPr>
      <w:r>
        <w:rPr>
          <w:rFonts w:eastAsia="新宋体" w:hint="eastAsia"/>
          <w:color w:val="FF0000"/>
          <w:szCs w:val="21"/>
        </w:rPr>
        <w:t>【解答】解：两根不可伸长的线是对称的，所以两根线的拉力大小相等，合力等于空竹的重力，根据合力的特点可知，若合力不变，夹角越大时，两细线拉力越大，所以小朋友的两手离得更远一些，两细线的拉力都变大，故A正确，BCD错误；</w:t>
      </w:r>
    </w:p>
    <w:p>
      <w:pPr>
        <w:spacing w:line="360" w:lineRule="auto"/>
        <w:ind w:left="273" w:leftChars="130"/>
        <w:rPr>
          <w:color w:val="FF0000"/>
        </w:rPr>
      </w:pPr>
      <w:r>
        <w:rPr>
          <w:rFonts w:eastAsia="新宋体" w:hint="eastAsia"/>
          <w:color w:val="FF0000"/>
          <w:szCs w:val="21"/>
        </w:rPr>
        <w:t>故选：A。</w:t>
      </w:r>
    </w:p>
    <w:p>
      <w:pPr>
        <w:spacing w:line="360" w:lineRule="auto"/>
        <w:ind w:left="273" w:hanging="273" w:hangingChars="130"/>
      </w:pPr>
      <w:r>
        <w:rPr>
          <w:rFonts w:eastAsia="新宋体" w:hint="eastAsia"/>
          <w:szCs w:val="21"/>
        </w:rPr>
        <w:t>3．2021年5月15日，“天问一号”火星探测器平稳着陆火星；5月22日10：40，“祝融号”火星车安全驶离着陆平台到达火星表面，开始巡视探测，至12月31日，“祝融号”火星车累计行驶突破1400m。下列叙述正确的是（　　）</w:t>
      </w:r>
    </w:p>
    <w:p>
      <w:pPr>
        <w:spacing w:line="360" w:lineRule="auto"/>
        <w:ind w:firstLine="273" w:firstLineChars="130"/>
        <w:jc w:val="left"/>
      </w:pPr>
      <w:r>
        <w:rPr>
          <w:rFonts w:eastAsia="新宋体" w:hint="eastAsia"/>
          <w:szCs w:val="21"/>
        </w:rPr>
        <w:t>A．“5月22日10：40”指的是时间</w:t>
      </w:r>
      <w:r>
        <w:tab/>
      </w:r>
    </w:p>
    <w:p>
      <w:pPr>
        <w:spacing w:line="360" w:lineRule="auto"/>
        <w:ind w:firstLine="273" w:firstLineChars="130"/>
        <w:jc w:val="left"/>
      </w:pPr>
      <w:r>
        <w:rPr>
          <w:rFonts w:eastAsia="新宋体" w:hint="eastAsia"/>
          <w:szCs w:val="21"/>
        </w:rPr>
        <w:t>B．“1400m”指的是“祝融号”火星车的位移大小</w:t>
      </w:r>
      <w:r>
        <w:tab/>
      </w:r>
    </w:p>
    <w:p>
      <w:pPr>
        <w:spacing w:line="360" w:lineRule="auto"/>
        <w:ind w:firstLine="273" w:firstLineChars="130"/>
        <w:jc w:val="left"/>
      </w:pPr>
      <w:r>
        <w:rPr>
          <w:rFonts w:eastAsia="新宋体" w:hint="eastAsia"/>
          <w:szCs w:val="21"/>
        </w:rPr>
        <w:t>C．从地球到火星，“祝融号”火星车的惯性发生改变</w:t>
      </w:r>
      <w:r>
        <w:tab/>
      </w:r>
    </w:p>
    <w:p>
      <w:pPr>
        <w:spacing w:line="360" w:lineRule="auto"/>
        <w:ind w:firstLine="273" w:firstLineChars="130"/>
        <w:jc w:val="left"/>
      </w:pPr>
      <w:r>
        <w:rPr>
          <w:rFonts w:eastAsia="新宋体" w:hint="eastAsia"/>
          <w:szCs w:val="21"/>
        </w:rPr>
        <w:t>D．研究“祝融号”火星车在火星表面的运行轨迹时，可将其视为质点</w:t>
      </w:r>
    </w:p>
    <w:p>
      <w:pPr>
        <w:spacing w:line="360" w:lineRule="auto"/>
        <w:ind w:left="273" w:leftChars="130"/>
        <w:rPr>
          <w:color w:val="FF0000"/>
        </w:rPr>
        <w:sectPr>
          <w:footerReference w:type="even" r:id="rId14"/>
          <w:type w:val="nextPage"/>
          <w:pgSz w:w="11907" w:h="16839"/>
          <w:pgMar w:top="1417" w:right="1417" w:bottom="1417" w:left="1417" w:header="850" w:footer="992" w:gutter="0"/>
          <w:pgNumType w:start="2"/>
          <w:cols w:num="1" w:sep="1" w:space="425"/>
          <w:titlePg w:val="0"/>
          <w:docGrid w:type="lines" w:linePitch="312" w:charSpace="0"/>
        </w:sectPr>
      </w:pPr>
      <w:r>
        <w:rPr>
          <w:rFonts w:eastAsia="新宋体" w:hint="eastAsia"/>
          <w:color w:val="FF0000"/>
          <w:szCs w:val="21"/>
        </w:rPr>
        <w:t>【解答】解：A、“5月22日10：40”指的是时间点，是时刻，故A错误；</w:t>
      </w:r>
    </w:p>
    <w:p>
      <w:pPr>
        <w:spacing w:line="360" w:lineRule="auto"/>
        <w:ind w:left="273" w:leftChars="130"/>
        <w:rPr>
          <w:color w:val="FF0000"/>
        </w:rPr>
      </w:pPr>
      <w:r>
        <w:rPr>
          <w:rFonts w:eastAsia="新宋体" w:hint="eastAsia"/>
          <w:color w:val="FF0000"/>
          <w:szCs w:val="21"/>
        </w:rPr>
        <w:t>B、“1400m”指的是“祝融号”火星车的路程大小，故B错误；</w:t>
      </w:r>
    </w:p>
    <w:p>
      <w:pPr>
        <w:spacing w:line="360" w:lineRule="auto"/>
        <w:ind w:left="273" w:leftChars="130"/>
        <w:rPr>
          <w:color w:val="FF0000"/>
        </w:rPr>
      </w:pPr>
      <w:r>
        <w:rPr>
          <w:rFonts w:eastAsia="新宋体" w:hint="eastAsia"/>
          <w:color w:val="FF0000"/>
          <w:szCs w:val="21"/>
        </w:rPr>
        <w:t>C、惯性只和质量有关，在地球和在火星，“祝融号”火星车的质量不变，故惯性不变，故C错误；</w:t>
      </w:r>
    </w:p>
    <w:p>
      <w:pPr>
        <w:spacing w:line="360" w:lineRule="auto"/>
        <w:ind w:left="273" w:leftChars="130"/>
        <w:rPr>
          <w:color w:val="FF0000"/>
        </w:rPr>
      </w:pPr>
      <w:r>
        <w:rPr>
          <w:rFonts w:eastAsia="新宋体" w:hint="eastAsia"/>
          <w:color w:val="FF0000"/>
          <w:szCs w:val="21"/>
        </w:rPr>
        <w:t>D、研究“祝融号”火星车在火星表面的运行轨迹时，火星车的大小和形状对所研究的问题没有影响，故可将其视为质点，故D正确；</w:t>
      </w:r>
    </w:p>
    <w:p>
      <w:pPr>
        <w:spacing w:line="360" w:lineRule="auto"/>
        <w:ind w:left="273" w:leftChars="130"/>
        <w:rPr>
          <w:color w:val="FF0000"/>
        </w:rPr>
      </w:pPr>
      <w:r>
        <w:rPr>
          <w:rFonts w:eastAsia="新宋体" w:hint="eastAsia"/>
          <w:color w:val="FF0000"/>
          <w:szCs w:val="21"/>
        </w:rPr>
        <w:t>故选：D。</w:t>
      </w:r>
    </w:p>
    <w:p>
      <w:pPr>
        <w:spacing w:line="360" w:lineRule="auto"/>
        <w:ind w:left="273" w:hanging="273" w:hangingChars="130"/>
      </w:pPr>
      <w:r>
        <w:rPr>
          <w:rFonts w:eastAsia="新宋体" w:hint="eastAsia"/>
          <w:szCs w:val="21"/>
        </w:rPr>
        <w:t>4．作用在飞机上的气动力和发动机推力的合力与飞机重力之比称为飞机的过载。则当飞机以g的加速度向上加速时，我们称飞机的过载为2g。现有一位飞行员所能承受的最大过载为9g，已知g取10m/s</w:t>
      </w:r>
      <w:r>
        <w:rPr>
          <w:rFonts w:eastAsia="新宋体" w:hint="eastAsia"/>
          <w:sz w:val="24"/>
          <w:szCs w:val="24"/>
          <w:vertAlign w:val="superscript"/>
        </w:rPr>
        <w:t>2</w:t>
      </w:r>
      <w:r>
        <w:rPr>
          <w:rFonts w:eastAsia="新宋体" w:hint="eastAsia"/>
          <w:szCs w:val="21"/>
        </w:rPr>
        <w:t>，声速约为340m/s，当飞机在竖直面内以声速做圆周运动在经过最低点时对其半径的要求是（　　）</w:t>
      </w:r>
    </w:p>
    <w:p>
      <w:pPr>
        <w:spacing w:line="360" w:lineRule="auto"/>
        <w:ind w:left="273" w:leftChars="130"/>
      </w:pPr>
      <w:r>
        <w:rPr>
          <w:rFonts w:eastAsia="新宋体" w:hint="eastAsia"/>
          <w:szCs w:val="21"/>
        </w:rPr>
        <w:drawing>
          <wp:inline distT="0" distB="0" distL="0" distR="0">
            <wp:extent cx="1295400" cy="1333500"/>
            <wp:effectExtent l="0" t="0" r="0" b="0"/>
            <wp:docPr id="1095064243" name="图片24" descr="http://www.zxxk.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064243" name="图片24" descr="http://www.zxxk.com"/>
                    <pic:cNvPicPr>
                      <a:picLocks noChangeAspect="1"/>
                    </pic:cNvPicPr>
                  </pic:nvPicPr>
                  <pic:blipFill>
                    <a:blip xmlns:r="http://schemas.openxmlformats.org/officeDocument/2006/relationships" r:embed="rId15" cstate="print"/>
                    <a:stretch>
                      <a:fillRect/>
                    </a:stretch>
                  </pic:blipFill>
                  <pic:spPr>
                    <a:xfrm>
                      <a:off x="0" y="0"/>
                      <a:ext cx="1295581" cy="1333686"/>
                    </a:xfrm>
                    <a:prstGeom prst="rect">
                      <a:avLst/>
                    </a:prstGeom>
                  </pic:spPr>
                </pic:pic>
              </a:graphicData>
            </a:graphic>
          </wp:inline>
        </w:drawing>
      </w:r>
    </w:p>
    <w:p>
      <w:pPr>
        <w:tabs>
          <w:tab w:val="left" w:pos="2300"/>
          <w:tab w:val="left" w:pos="4400"/>
          <w:tab w:val="left" w:pos="6400"/>
        </w:tabs>
        <w:spacing w:line="360" w:lineRule="auto"/>
        <w:ind w:firstLine="273" w:firstLineChars="130"/>
        <w:jc w:val="left"/>
      </w:pPr>
      <w:r>
        <w:rPr>
          <w:rFonts w:eastAsia="新宋体" w:hint="eastAsia"/>
          <w:szCs w:val="21"/>
        </w:rPr>
        <w:t>A．小于1445m</w:t>
      </w:r>
      <w:r>
        <w:tab/>
      </w:r>
      <w:r>
        <w:rPr>
          <w:rFonts w:eastAsia="新宋体" w:hint="eastAsia"/>
          <w:szCs w:val="21"/>
        </w:rPr>
        <w:t>B．大于1445m</w:t>
      </w:r>
      <w:r>
        <w:tab/>
      </w:r>
      <w:r>
        <w:rPr>
          <w:rFonts w:eastAsia="新宋体" w:hint="eastAsia"/>
          <w:szCs w:val="21"/>
        </w:rPr>
        <w:t>C．小于1284m</w:t>
      </w:r>
      <w:r>
        <w:tab/>
      </w:r>
      <w:r>
        <w:rPr>
          <w:rFonts w:eastAsia="新宋体" w:hint="eastAsia"/>
          <w:szCs w:val="21"/>
        </w:rPr>
        <w:t>D．大于1284m</w:t>
      </w:r>
    </w:p>
    <w:p>
      <w:pPr>
        <w:spacing w:line="360" w:lineRule="auto"/>
        <w:ind w:left="273" w:leftChars="130"/>
        <w:rPr>
          <w:color w:val="FF0000"/>
        </w:rPr>
      </w:pPr>
      <w:r>
        <w:rPr>
          <w:rFonts w:eastAsia="新宋体" w:hint="eastAsia"/>
          <w:color w:val="FF0000"/>
          <w:szCs w:val="21"/>
        </w:rPr>
        <w:t>【解答】解：飞机经过最低点时，飞行员所能承受的最大过载为9g，此时，由牛顿第二定律得：9mg﹣mg＝m</w:t>
      </w:r>
      <m:oMath>
        <m:f>
          <m:fPr>
            <m:ctrlPr>
              <w:rPr>
                <w:rFonts w:ascii="Cambria Math" w:eastAsia="新宋体" w:hAnsi="Cambria Math" w:hint="eastAsia"/>
                <w:color w:val="FF0000"/>
                <w:sz w:val="28"/>
                <w:szCs w:val="28"/>
              </w:rPr>
            </m:ctrlPr>
          </m:fPr>
          <m:num>
            <m:ctrlPr>
              <w:rPr>
                <w:rFonts w:ascii="Cambria Math" w:eastAsia="新宋体" w:hAnsi="Cambria Math" w:hint="eastAsia"/>
                <w:color w:val="FF0000"/>
                <w:sz w:val="28"/>
                <w:szCs w:val="28"/>
              </w:rPr>
            </m:ctrlPr>
            <m:sSup>
              <m:sSupPr>
                <m:ctrlPr>
                  <w:rPr>
                    <w:rFonts w:ascii="Cambria Math" w:hAnsi="Cambria Math"/>
                    <w:color w:val="FF0000"/>
                  </w:rPr>
                </m:ctrlPr>
              </m:sSupPr>
              <m:e>
                <m:ctrlPr>
                  <w:rPr>
                    <w:rFonts w:ascii="Cambria Math" w:hAnsi="Cambria Math"/>
                    <w:color w:val="FF0000"/>
                  </w:rPr>
                </m:ctrlPr>
                <m:r>
                  <w:rPr>
                    <w:rFonts w:ascii="Cambria Math" w:eastAsia="新宋体" w:hAnsi="Cambria Math"/>
                    <w:color w:val="FF0000"/>
                    <w:sz w:val="28"/>
                    <w:szCs w:val="28"/>
                  </w:rPr>
                  <m:t>v</m:t>
                </m:r>
              </m:e>
              <m:sup>
                <m:ctrlPr>
                  <w:rPr>
                    <w:rFonts w:ascii="Cambria Math" w:hAnsi="Cambria Math"/>
                    <w:color w:val="FF0000"/>
                  </w:rPr>
                </m:ctrlPr>
                <m:r>
                  <w:rPr>
                    <w:rFonts w:ascii="Cambria Math" w:eastAsia="新宋体" w:hAnsi="Cambria Math"/>
                    <w:color w:val="FF0000"/>
                    <w:sz w:val="28"/>
                    <w:szCs w:val="28"/>
                  </w:rPr>
                  <m:t>2</m:t>
                </m:r>
              </m:sup>
            </m:sSup>
          </m:num>
          <m:den>
            <m:ctrlPr>
              <w:rPr>
                <w:rFonts w:ascii="Cambria Math" w:eastAsia="新宋体" w:hAnsi="Cambria Math" w:hint="eastAsia"/>
                <w:color w:val="FF0000"/>
                <w:sz w:val="28"/>
                <w:szCs w:val="28"/>
              </w:rPr>
            </m:ctrlPr>
            <m:r>
              <w:rPr>
                <w:rFonts w:ascii="Cambria Math" w:eastAsia="新宋体" w:hAnsi="Cambria Math"/>
                <w:color w:val="FF0000"/>
                <w:sz w:val="28"/>
                <w:szCs w:val="28"/>
              </w:rPr>
              <m:t>r</m:t>
            </m:r>
          </m:den>
        </m:f>
      </m:oMath>
    </w:p>
    <w:p>
      <w:pPr>
        <w:spacing w:line="360" w:lineRule="auto"/>
        <w:ind w:left="273" w:leftChars="130"/>
        <w:rPr>
          <w:color w:val="FF0000"/>
        </w:rPr>
      </w:pPr>
      <w:r>
        <w:rPr>
          <w:rFonts w:eastAsia="新宋体" w:hint="eastAsia"/>
          <w:color w:val="FF0000"/>
          <w:szCs w:val="21"/>
        </w:rPr>
        <w:t>代入数据解得：r＝1445N</w:t>
      </w:r>
    </w:p>
    <w:p>
      <w:pPr>
        <w:spacing w:line="360" w:lineRule="auto"/>
        <w:ind w:left="273" w:leftChars="130"/>
        <w:rPr>
          <w:color w:val="FF0000"/>
        </w:rPr>
      </w:pPr>
      <w:r>
        <w:rPr>
          <w:rFonts w:eastAsia="新宋体" w:hint="eastAsia"/>
          <w:color w:val="FF0000"/>
          <w:szCs w:val="21"/>
        </w:rPr>
        <w:t>则飞机在竖直面内以声速做圆周运动在经过最低点时的半径应大于1445m，故B正确，ACD错误；</w:t>
      </w:r>
    </w:p>
    <w:p>
      <w:pPr>
        <w:spacing w:line="360" w:lineRule="auto"/>
        <w:ind w:left="273" w:leftChars="130"/>
        <w:rPr>
          <w:color w:val="FF0000"/>
        </w:rPr>
      </w:pPr>
      <w:r>
        <w:rPr>
          <w:rFonts w:eastAsia="新宋体" w:hint="eastAsia"/>
          <w:color w:val="FF0000"/>
          <w:szCs w:val="21"/>
        </w:rPr>
        <w:t>故选：B。</w:t>
      </w:r>
    </w:p>
    <w:p>
      <w:pPr>
        <w:spacing w:line="360" w:lineRule="auto"/>
        <w:ind w:left="273" w:hanging="273" w:hangingChars="130"/>
      </w:pPr>
      <w:r>
        <w:rPr>
          <w:rFonts w:eastAsia="新宋体" w:hint="eastAsia"/>
          <w:szCs w:val="21"/>
        </w:rPr>
        <w:t>5．图示为一颗人造地球卫星发射过程的简化示意图。卫星先进入圆轨道1做匀速圆周运动，再经椭圆轨道2，最终进入圆轨道3做匀速圆周运动。轨道2分别与轨道1、轨道3相切于P、Q两点。下列说法正确的是（　　）</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https://d.book118.com/307113062065006051</w:t>
        </w:r>
      </w:hyperlink>
    </w:p>
    <w:p>
      <w:pPr>
        <w:spacing w:line="360" w:lineRule="auto"/>
        <w:ind w:left="273" w:hanging="273" w:hangingChars="130"/>
      </w:pPr>
    </w:p>
    <w:sectPr>
      <w:footerReference w:type="even" r:id="rId17"/>
      <w:type w:val="nextPage"/>
      <w:pgSz w:w="11907" w:h="16839"/>
      <w:pgMar w:top="1417" w:right="1417" w:bottom="1417" w:left="1417" w:header="850" w:footer="992" w:gutter="0"/>
      <w:pgNumType w:start="3"/>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Cambria Math">
    <w:panose1 w:val="02040503050406030204"/>
    <w:charset w:val="01"/>
    <w:family w:val="roman"/>
    <w:pitch w:val="default"/>
    <w:sig w:usb0="E00002FF" w:usb1="420024FF"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6"/>
  <w:displayBackgroundShape/>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07EEC"/>
    <w:rsid w:val="000241B8"/>
    <w:rsid w:val="00043B54"/>
    <w:rsid w:val="00052438"/>
    <w:rsid w:val="00052FA4"/>
    <w:rsid w:val="00056353"/>
    <w:rsid w:val="0007235F"/>
    <w:rsid w:val="001235E0"/>
    <w:rsid w:val="0014283F"/>
    <w:rsid w:val="00183CB9"/>
    <w:rsid w:val="001D7A06"/>
    <w:rsid w:val="001F414E"/>
    <w:rsid w:val="0024000F"/>
    <w:rsid w:val="00241E54"/>
    <w:rsid w:val="00264507"/>
    <w:rsid w:val="002767BF"/>
    <w:rsid w:val="002841A7"/>
    <w:rsid w:val="00284433"/>
    <w:rsid w:val="002927B0"/>
    <w:rsid w:val="002A1EC6"/>
    <w:rsid w:val="002C4223"/>
    <w:rsid w:val="002E035E"/>
    <w:rsid w:val="002F4042"/>
    <w:rsid w:val="00333998"/>
    <w:rsid w:val="003700A3"/>
    <w:rsid w:val="00370231"/>
    <w:rsid w:val="003A2D7A"/>
    <w:rsid w:val="003E64E6"/>
    <w:rsid w:val="003F1980"/>
    <w:rsid w:val="003F6F24"/>
    <w:rsid w:val="0041230C"/>
    <w:rsid w:val="004151FC"/>
    <w:rsid w:val="00436AA5"/>
    <w:rsid w:val="004745B9"/>
    <w:rsid w:val="004938BA"/>
    <w:rsid w:val="00495078"/>
    <w:rsid w:val="004C0567"/>
    <w:rsid w:val="004D5AFC"/>
    <w:rsid w:val="004D5DB8"/>
    <w:rsid w:val="005121BE"/>
    <w:rsid w:val="00515D73"/>
    <w:rsid w:val="005302DD"/>
    <w:rsid w:val="00545D58"/>
    <w:rsid w:val="005E457A"/>
    <w:rsid w:val="005F6056"/>
    <w:rsid w:val="006211A8"/>
    <w:rsid w:val="0064056B"/>
    <w:rsid w:val="006628D8"/>
    <w:rsid w:val="00667987"/>
    <w:rsid w:val="006777C7"/>
    <w:rsid w:val="00695C8D"/>
    <w:rsid w:val="006A10E4"/>
    <w:rsid w:val="006B16C5"/>
    <w:rsid w:val="006C48D1"/>
    <w:rsid w:val="006E6CB8"/>
    <w:rsid w:val="007417E6"/>
    <w:rsid w:val="0076463B"/>
    <w:rsid w:val="00776133"/>
    <w:rsid w:val="0079209D"/>
    <w:rsid w:val="0079629A"/>
    <w:rsid w:val="007A5E25"/>
    <w:rsid w:val="0085476A"/>
    <w:rsid w:val="00865A38"/>
    <w:rsid w:val="00880048"/>
    <w:rsid w:val="00882679"/>
    <w:rsid w:val="008A6491"/>
    <w:rsid w:val="008B2586"/>
    <w:rsid w:val="008C07DE"/>
    <w:rsid w:val="008E3F20"/>
    <w:rsid w:val="008F5155"/>
    <w:rsid w:val="009029DB"/>
    <w:rsid w:val="0098035E"/>
    <w:rsid w:val="009D0B5B"/>
    <w:rsid w:val="00A0031A"/>
    <w:rsid w:val="00A10DAC"/>
    <w:rsid w:val="00A2245C"/>
    <w:rsid w:val="00A30CCE"/>
    <w:rsid w:val="00A36708"/>
    <w:rsid w:val="00A839B9"/>
    <w:rsid w:val="00AB2888"/>
    <w:rsid w:val="00AC3E9C"/>
    <w:rsid w:val="00AD7392"/>
    <w:rsid w:val="00AF685A"/>
    <w:rsid w:val="00B2092B"/>
    <w:rsid w:val="00B21CB6"/>
    <w:rsid w:val="00B77A72"/>
    <w:rsid w:val="00B87230"/>
    <w:rsid w:val="00BA55BD"/>
    <w:rsid w:val="00BC4F14"/>
    <w:rsid w:val="00BC6375"/>
    <w:rsid w:val="00BF535F"/>
    <w:rsid w:val="00BF76B8"/>
    <w:rsid w:val="00C02FC6"/>
    <w:rsid w:val="00C1271D"/>
    <w:rsid w:val="00C76DDF"/>
    <w:rsid w:val="00C806B0"/>
    <w:rsid w:val="00CB23E3"/>
    <w:rsid w:val="00CE3533"/>
    <w:rsid w:val="00D02F67"/>
    <w:rsid w:val="00D26AF8"/>
    <w:rsid w:val="00D318CD"/>
    <w:rsid w:val="00D84DB3"/>
    <w:rsid w:val="00D85CC9"/>
    <w:rsid w:val="00DE4F64"/>
    <w:rsid w:val="00E14372"/>
    <w:rsid w:val="00E40056"/>
    <w:rsid w:val="00E476EE"/>
    <w:rsid w:val="00E47BAA"/>
    <w:rsid w:val="00E56312"/>
    <w:rsid w:val="00E87431"/>
    <w:rsid w:val="00EB31C1"/>
    <w:rsid w:val="00EC536B"/>
    <w:rsid w:val="00EE010F"/>
    <w:rsid w:val="00EF035E"/>
    <w:rsid w:val="00EF3342"/>
    <w:rsid w:val="00F31CEE"/>
    <w:rsid w:val="00F861E3"/>
    <w:rsid w:val="00FA68DF"/>
    <w:rsid w:val="00FA7C0F"/>
    <w:rsid w:val="00FB5B06"/>
    <w:rsid w:val="0F942B2F"/>
    <w:rsid w:val="1FEE60DF"/>
    <w:rsid w:val="347E4A63"/>
    <w:rsid w:val="348576A9"/>
    <w:rsid w:val="56693278"/>
    <w:rsid w:val="69423B38"/>
    <w:rsid w:val="75B42466"/>
    <w:rsid w:val="764E348F"/>
    <w:rsid w:val="79D7762B"/>
  </w:rsids>
  <w:docVars>
    <w:docVar w:name="commondata" w:val="eyJoZGlkIjoiYTVjZmNhYjg1MTUzYTY4MjA0YWQyMDk1ZDQ1ZTBlMj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semiHidden="0" w:uiPriority="0" w:unhideWhenUsed="0" w:qFormat="1"/>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1"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
    <w:autoRedefine/>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next w:val="TOC5"/>
    <w:autoRedefine/>
    <w:uiPriority w:val="1"/>
    <w:qFormat/>
    <w:rPr>
      <w:szCs w:val="21"/>
    </w:rPr>
  </w:style>
  <w:style w:type="paragraph" w:styleId="TOC5">
    <w:name w:val="toc 5"/>
    <w:basedOn w:val="Normal"/>
    <w:next w:val="Normal"/>
    <w:autoRedefine/>
    <w:qFormat/>
    <w:pPr>
      <w:wordWrap w:val="0"/>
      <w:ind w:left="1275"/>
    </w:pPr>
    <w:rPr>
      <w:rFonts w:ascii="宋体" w:eastAsia="Times New Roman" w:hAnsi="宋体"/>
      <w:kern w:val="0"/>
      <w:sz w:val="20"/>
      <w:szCs w:val="20"/>
    </w:r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uiPriority w:val="99"/>
    <w:semiHidden/>
    <w:unhideWhenUsed/>
    <w:qFormat/>
    <w:pPr>
      <w:widowControl/>
      <w:spacing w:before="100" w:beforeAutospacing="1" w:after="100" w:afterAutospacing="1"/>
      <w:jc w:val="left"/>
    </w:pPr>
    <w:rPr>
      <w:rFonts w:ascii="宋体" w:hAnsi="宋体" w:cs="宋体"/>
      <w:kern w:val="0"/>
      <w:sz w:val="24"/>
      <w:szCs w:val="24"/>
    </w:rPr>
  </w:style>
  <w:style w:type="table" w:styleId="TableGrid">
    <w:name w:val="Table Grid"/>
    <w:basedOn w:val="TableNormal"/>
    <w:autoRedefine/>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Pr>
      <w:b/>
      <w:bCs/>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paragraph" w:styleId="NoSpacing">
    <w:name w:val="No Spacing"/>
    <w:autoRedefine/>
    <w:uiPriority w:val="99"/>
    <w:qFormat/>
    <w:pPr>
      <w:widowControl w:val="0"/>
      <w:jc w:val="both"/>
    </w:pPr>
    <w:rPr>
      <w:rFonts w:ascii="Times New Roman" w:eastAsia="宋体" w:hAnsi="Times New Roman" w:cs="Times New Roman"/>
      <w:kern w:val="2"/>
      <w:sz w:val="21"/>
      <w:szCs w:val="22"/>
      <w:lang w:val="en-US" w:eastAsia="zh-CN" w:bidi="ar-SA"/>
    </w:rPr>
  </w:style>
  <w:style w:type="paragraph" w:customStyle="1" w:styleId="1">
    <w:name w:val="正文文本1"/>
    <w:basedOn w:val="Normal"/>
    <w:autoRedefine/>
    <w:qFormat/>
    <w:pPr>
      <w:spacing w:after="60"/>
      <w:ind w:firstLine="180"/>
      <w:jc w:val="left"/>
    </w:pPr>
    <w:rPr>
      <w:rFonts w:eastAsia="Times New Roman"/>
      <w:sz w:val="17"/>
      <w:szCs w:val="17"/>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footer" Target="footer1.xml" /><Relationship Id="rId13" Type="http://schemas.openxmlformats.org/officeDocument/2006/relationships/image" Target="media/image8.png" /><Relationship Id="rId14" Type="http://schemas.openxmlformats.org/officeDocument/2006/relationships/footer" Target="footer2.xml" /><Relationship Id="rId15" Type="http://schemas.openxmlformats.org/officeDocument/2006/relationships/image" Target="media/image9.png" /><Relationship Id="rId16" Type="http://schemas.openxmlformats.org/officeDocument/2006/relationships/hyperlink" Target="https://d.book118.com/307113062065006051" TargetMode="External" /><Relationship Id="rId17" Type="http://schemas.openxmlformats.org/officeDocument/2006/relationships/footer" Target="footer3.xml" /><Relationship Id="rId18" Type="http://schemas.openxmlformats.org/officeDocument/2006/relationships/theme" Target="theme/theme1.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B29B2C-443A-434C-B744-D6D4039BD3D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明湖</dc:creator>
  <cp:lastModifiedBy>明湖</cp:lastModifiedBy>
  <cp:revision>0</cp:revision>
  <dcterms:created xsi:type="dcterms:W3CDTF">2024-03-08T14:39:16Z</dcterms:created>
  <dcterms:modified xsi:type="dcterms:W3CDTF">2024-03-08T14:39:24Z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81764020FCD445C2A4DE8DC4C136FE09_12</vt:lpwstr>
  </property>
  <property fmtid="{D5CDD505-2E9C-101B-9397-08002B2CF9AE}" pid="3" name="KSOProductBuildVer">
    <vt:lpwstr>2052-12.1.0.16120</vt:lpwstr>
  </property>
</Properties>
</file>