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0639">
      <w:pPr>
        <w:widowControl/>
        <w:jc w:val="left"/>
        <w:rPr>
          <w:rFonts w:ascii="仿宋" w:eastAsia="仿宋" w:hAnsi="仿宋"/>
          <w:b/>
          <w:sz w:val="40"/>
        </w:rPr>
      </w:pPr>
      <w:bookmarkStart w:id="0" w:name="_GoBack"/>
      <w:bookmarkEnd w:id="0"/>
    </w:p>
    <w:p w:rsidR="00A00639">
      <w:pPr>
        <w:widowControl/>
        <w:jc w:val="left"/>
        <w:rPr>
          <w:rFonts w:ascii="仿宋" w:eastAsia="仿宋" w:hAnsi="仿宋"/>
          <w:b/>
          <w:sz w:val="40"/>
        </w:rPr>
      </w:pPr>
    </w:p>
    <w:p w:rsidR="00A00639">
      <w:pPr>
        <w:widowControl/>
        <w:jc w:val="left"/>
        <w:rPr>
          <w:rFonts w:ascii="仿宋" w:eastAsia="仿宋" w:hAnsi="仿宋"/>
          <w:b/>
          <w:sz w:val="40"/>
        </w:rPr>
      </w:pPr>
    </w:p>
    <w:p w:rsidR="00A00639" w:rsidRPr="00A0063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0639">
        <w:rPr>
          <w:rFonts w:ascii="宋体" w:eastAsia="宋体" w:hAnsi="宋体" w:hint="eastAsia"/>
          <w:b/>
          <w:sz w:val="60"/>
        </w:rPr>
        <w:t>粘合剂投资回报分析报告</w:t>
      </w:r>
    </w:p>
    <w:p w:rsidR="00A00639" w:rsidP="00A00639">
      <w:pPr>
        <w:widowControl/>
        <w:jc w:val="center"/>
        <w:rPr>
          <w:rFonts w:ascii="仿宋" w:eastAsia="仿宋" w:hAnsi="仿宋" w:hint="eastAsia"/>
          <w:b/>
          <w:sz w:val="40"/>
        </w:rPr>
      </w:pPr>
      <w:r w:rsidRPr="00A00639">
        <w:rPr>
          <w:rFonts w:ascii="仿宋" w:eastAsia="仿宋" w:hAnsi="仿宋" w:hint="eastAsia"/>
          <w:b/>
          <w:sz w:val="40"/>
        </w:rPr>
        <w:t>目录</w:t>
      </w:r>
    </w:p>
    <w:p w:rsidR="00A0063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_Toc157064231 \h </w:instrText>
      </w:r>
      <w:r>
        <w:rPr>
          <w:noProof/>
        </w:rPr>
        <w:fldChar w:fldCharType="separate"/>
      </w:r>
      <w:r>
        <w:rPr>
          <w:noProof/>
        </w:rPr>
        <w:t>3</w:t>
      </w:r>
      <w:r>
        <w:rPr>
          <w:noProof/>
        </w:rPr>
        <w:fldChar w:fldCharType="end"/>
      </w:r>
    </w:p>
    <w:p w:rsidR="00A00639">
      <w:pPr>
        <w:pStyle w:val="TOC1"/>
        <w:tabs>
          <w:tab w:val="right" w:leader="dot" w:pos="8296"/>
        </w:tabs>
        <w:rPr>
          <w:noProof/>
        </w:rPr>
      </w:pPr>
      <w:r>
        <w:rPr>
          <w:rFonts w:hint="eastAsia"/>
          <w:noProof/>
        </w:rPr>
        <w:t>一、粘合剂项目建筑工程方案</w:t>
      </w:r>
      <w:r>
        <w:rPr>
          <w:noProof/>
        </w:rPr>
        <w:tab/>
      </w:r>
      <w:r>
        <w:rPr>
          <w:noProof/>
        </w:rPr>
        <w:fldChar w:fldCharType="begin"/>
      </w:r>
      <w:r>
        <w:rPr>
          <w:noProof/>
        </w:rPr>
        <w:instrText xml:space="preserve"> PAGEREF _Toc157064232 \h </w:instrText>
      </w:r>
      <w:r>
        <w:rPr>
          <w:noProof/>
        </w:rPr>
        <w:fldChar w:fldCharType="separate"/>
      </w:r>
      <w:r>
        <w:rPr>
          <w:noProof/>
        </w:rPr>
        <w:t>3</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_Toc157064233 \h </w:instrText>
      </w:r>
      <w:r>
        <w:rPr>
          <w:noProof/>
        </w:rPr>
        <w:fldChar w:fldCharType="separate"/>
      </w:r>
      <w:r>
        <w:rPr>
          <w:noProof/>
        </w:rPr>
        <w:t>3</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_Toc157064234 \h </w:instrText>
      </w:r>
      <w:r>
        <w:rPr>
          <w:noProof/>
        </w:rPr>
        <w:fldChar w:fldCharType="separate"/>
      </w:r>
      <w:r>
        <w:rPr>
          <w:noProof/>
        </w:rPr>
        <w:t>4</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_Toc157064235 \h </w:instrText>
      </w:r>
      <w:r>
        <w:rPr>
          <w:noProof/>
        </w:rPr>
        <w:fldChar w:fldCharType="separate"/>
      </w:r>
      <w:r>
        <w:rPr>
          <w:noProof/>
        </w:rPr>
        <w:t>6</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_Toc157064236 \h </w:instrText>
      </w:r>
      <w:r>
        <w:rPr>
          <w:noProof/>
        </w:rPr>
        <w:fldChar w:fldCharType="separate"/>
      </w:r>
      <w:r>
        <w:rPr>
          <w:noProof/>
        </w:rPr>
        <w:t>8</w:t>
      </w:r>
      <w:r>
        <w:rPr>
          <w:noProof/>
        </w:rPr>
        <w:fldChar w:fldCharType="end"/>
      </w:r>
    </w:p>
    <w:p w:rsidR="00A0063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_Toc157064237 \h </w:instrText>
      </w:r>
      <w:r>
        <w:rPr>
          <w:noProof/>
        </w:rPr>
        <w:fldChar w:fldCharType="separate"/>
      </w:r>
      <w:r>
        <w:rPr>
          <w:noProof/>
        </w:rPr>
        <w:t>9</w:t>
      </w:r>
      <w:r>
        <w:rPr>
          <w:noProof/>
        </w:rPr>
        <w:fldChar w:fldCharType="end"/>
      </w:r>
    </w:p>
    <w:p w:rsidR="00A0063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_Toc157064238 \h </w:instrText>
      </w:r>
      <w:r>
        <w:rPr>
          <w:noProof/>
        </w:rPr>
        <w:fldChar w:fldCharType="separate"/>
      </w:r>
      <w:r>
        <w:rPr>
          <w:noProof/>
        </w:rPr>
        <w:t>10</w:t>
      </w:r>
      <w:r>
        <w:rPr>
          <w:noProof/>
        </w:rPr>
        <w:fldChar w:fldCharType="end"/>
      </w:r>
    </w:p>
    <w:p w:rsidR="00A0063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_Toc157064239 \h </w:instrText>
      </w:r>
      <w:r>
        <w:rPr>
          <w:noProof/>
        </w:rPr>
        <w:fldChar w:fldCharType="separate"/>
      </w:r>
      <w:r>
        <w:rPr>
          <w:noProof/>
        </w:rPr>
        <w:t>13</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_Toc157064240 \h </w:instrText>
      </w:r>
      <w:r>
        <w:rPr>
          <w:noProof/>
        </w:rPr>
        <w:fldChar w:fldCharType="separate"/>
      </w:r>
      <w:r>
        <w:rPr>
          <w:noProof/>
        </w:rPr>
        <w:t>13</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_Toc157064241 \h </w:instrText>
      </w:r>
      <w:r>
        <w:rPr>
          <w:noProof/>
        </w:rPr>
        <w:fldChar w:fldCharType="separate"/>
      </w:r>
      <w:r>
        <w:rPr>
          <w:noProof/>
        </w:rPr>
        <w:t>14</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_Toc157064242 \h </w:instrText>
      </w:r>
      <w:r>
        <w:rPr>
          <w:noProof/>
        </w:rPr>
        <w:fldChar w:fldCharType="separate"/>
      </w:r>
      <w:r>
        <w:rPr>
          <w:noProof/>
        </w:rPr>
        <w:t>16</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_Toc157064243 \h </w:instrText>
      </w:r>
      <w:r>
        <w:rPr>
          <w:noProof/>
        </w:rPr>
        <w:fldChar w:fldCharType="separate"/>
      </w:r>
      <w:r>
        <w:rPr>
          <w:noProof/>
        </w:rPr>
        <w:t>17</w:t>
      </w:r>
      <w:r>
        <w:rPr>
          <w:noProof/>
        </w:rPr>
        <w:fldChar w:fldCharType="end"/>
      </w:r>
    </w:p>
    <w:p w:rsidR="00A0063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_Toc157064244 \h </w:instrText>
      </w:r>
      <w:r>
        <w:rPr>
          <w:noProof/>
        </w:rPr>
        <w:fldChar w:fldCharType="separate"/>
      </w:r>
      <w:r>
        <w:rPr>
          <w:noProof/>
        </w:rPr>
        <w:t>19</w:t>
      </w:r>
      <w:r>
        <w:rPr>
          <w:noProof/>
        </w:rPr>
        <w:fldChar w:fldCharType="end"/>
      </w:r>
    </w:p>
    <w:p w:rsidR="00A0063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_Toc157064245 \h </w:instrText>
      </w:r>
      <w:r>
        <w:rPr>
          <w:noProof/>
        </w:rPr>
        <w:fldChar w:fldCharType="separate"/>
      </w:r>
      <w:r>
        <w:rPr>
          <w:noProof/>
        </w:rPr>
        <w:t>20</w:t>
      </w:r>
      <w:r>
        <w:rPr>
          <w:noProof/>
        </w:rPr>
        <w:fldChar w:fldCharType="end"/>
      </w:r>
    </w:p>
    <w:p w:rsidR="00A00639">
      <w:pPr>
        <w:pStyle w:val="TOC1"/>
        <w:tabs>
          <w:tab w:val="right" w:leader="dot" w:pos="8296"/>
        </w:tabs>
        <w:rPr>
          <w:noProof/>
        </w:rPr>
      </w:pPr>
      <w:r>
        <w:rPr>
          <w:rFonts w:hint="eastAsia"/>
          <w:noProof/>
        </w:rPr>
        <w:t>三、粘合剂项目风险管理方案</w:t>
      </w:r>
      <w:r>
        <w:rPr>
          <w:noProof/>
        </w:rPr>
        <w:tab/>
      </w:r>
      <w:r>
        <w:rPr>
          <w:noProof/>
        </w:rPr>
        <w:fldChar w:fldCharType="begin"/>
      </w:r>
      <w:r>
        <w:rPr>
          <w:noProof/>
        </w:rPr>
        <w:instrText xml:space="preserve"> PAGEREF _Toc157064246 \h </w:instrText>
      </w:r>
      <w:r>
        <w:rPr>
          <w:noProof/>
        </w:rPr>
        <w:fldChar w:fldCharType="separate"/>
      </w:r>
      <w:r>
        <w:rPr>
          <w:noProof/>
        </w:rPr>
        <w:t>22</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_Toc157064247 \h </w:instrText>
      </w:r>
      <w:r>
        <w:rPr>
          <w:noProof/>
        </w:rPr>
        <w:fldChar w:fldCharType="separate"/>
      </w:r>
      <w:r>
        <w:rPr>
          <w:noProof/>
        </w:rPr>
        <w:t>22</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_Toc157064248 \h </w:instrText>
      </w:r>
      <w:r>
        <w:rPr>
          <w:noProof/>
        </w:rPr>
        <w:fldChar w:fldCharType="separate"/>
      </w:r>
      <w:r>
        <w:rPr>
          <w:noProof/>
        </w:rPr>
        <w:t>23</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_Toc157064249 \h </w:instrText>
      </w:r>
      <w:r>
        <w:rPr>
          <w:noProof/>
        </w:rPr>
        <w:fldChar w:fldCharType="separate"/>
      </w:r>
      <w:r>
        <w:rPr>
          <w:noProof/>
        </w:rPr>
        <w:t>25</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_Toc157064250 \h </w:instrText>
      </w:r>
      <w:r>
        <w:rPr>
          <w:noProof/>
        </w:rPr>
        <w:fldChar w:fldCharType="separate"/>
      </w:r>
      <w:r>
        <w:rPr>
          <w:noProof/>
        </w:rPr>
        <w:t>27</w:t>
      </w:r>
      <w:r>
        <w:rPr>
          <w:noProof/>
        </w:rPr>
        <w:fldChar w:fldCharType="end"/>
      </w:r>
    </w:p>
    <w:p w:rsidR="00A0063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_Toc157064251 \h </w:instrText>
      </w:r>
      <w:r>
        <w:rPr>
          <w:noProof/>
        </w:rPr>
        <w:fldChar w:fldCharType="separate"/>
      </w:r>
      <w:r>
        <w:rPr>
          <w:noProof/>
        </w:rPr>
        <w:t>29</w:t>
      </w:r>
      <w:r>
        <w:rPr>
          <w:noProof/>
        </w:rPr>
        <w:fldChar w:fldCharType="end"/>
      </w:r>
    </w:p>
    <w:p w:rsidR="00A0063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_Toc157064252 \h </w:instrText>
      </w:r>
      <w:r>
        <w:rPr>
          <w:noProof/>
        </w:rPr>
        <w:fldChar w:fldCharType="separate"/>
      </w:r>
      <w:r>
        <w:rPr>
          <w:noProof/>
        </w:rPr>
        <w:t>32</w:t>
      </w:r>
      <w:r>
        <w:rPr>
          <w:noProof/>
        </w:rPr>
        <w:fldChar w:fldCharType="end"/>
      </w:r>
    </w:p>
    <w:p w:rsidR="00A00639">
      <w:pPr>
        <w:pStyle w:val="TOC1"/>
        <w:tabs>
          <w:tab w:val="right" w:leader="dot" w:pos="8296"/>
        </w:tabs>
        <w:rPr>
          <w:noProof/>
        </w:rPr>
      </w:pPr>
      <w:r>
        <w:rPr>
          <w:rFonts w:hint="eastAsia"/>
          <w:noProof/>
        </w:rPr>
        <w:t>四、粘合剂项目质量管理方案</w:t>
      </w:r>
      <w:r>
        <w:rPr>
          <w:noProof/>
        </w:rPr>
        <w:tab/>
      </w:r>
      <w:r>
        <w:rPr>
          <w:noProof/>
        </w:rPr>
        <w:fldChar w:fldCharType="begin"/>
      </w:r>
      <w:r>
        <w:rPr>
          <w:noProof/>
        </w:rPr>
        <w:instrText xml:space="preserve"> PAGEREF _Toc157064253 \h </w:instrText>
      </w:r>
      <w:r>
        <w:rPr>
          <w:noProof/>
        </w:rPr>
        <w:fldChar w:fldCharType="separate"/>
      </w:r>
      <w:r>
        <w:rPr>
          <w:noProof/>
        </w:rPr>
        <w:t>34</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_Toc157064254 \h </w:instrText>
      </w:r>
      <w:r>
        <w:rPr>
          <w:noProof/>
        </w:rPr>
        <w:fldChar w:fldCharType="separate"/>
      </w:r>
      <w:r>
        <w:rPr>
          <w:noProof/>
        </w:rPr>
        <w:t>34</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_Toc157064255 \h </w:instrText>
      </w:r>
      <w:r>
        <w:rPr>
          <w:noProof/>
        </w:rPr>
        <w:fldChar w:fldCharType="separate"/>
      </w:r>
      <w:r>
        <w:rPr>
          <w:noProof/>
        </w:rPr>
        <w:t>38</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_Toc157064256 \h </w:instrText>
      </w:r>
      <w:r>
        <w:rPr>
          <w:noProof/>
        </w:rPr>
        <w:fldChar w:fldCharType="separate"/>
      </w:r>
      <w:r>
        <w:rPr>
          <w:noProof/>
        </w:rPr>
        <w:t>40</w:t>
      </w:r>
      <w:r>
        <w:rPr>
          <w:noProof/>
        </w:rPr>
        <w:fldChar w:fldCharType="end"/>
      </w:r>
    </w:p>
    <w:p w:rsidR="00A00639">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_Toc157064257 \h </w:instrText>
      </w:r>
      <w:r>
        <w:rPr>
          <w:noProof/>
        </w:rPr>
        <w:fldChar w:fldCharType="separate"/>
      </w:r>
      <w:r>
        <w:rPr>
          <w:noProof/>
        </w:rPr>
        <w:t>41</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、粘合剂项目选址原则</w:t>
      </w:r>
      <w:r>
        <w:rPr>
          <w:noProof/>
        </w:rPr>
        <w:tab/>
      </w:r>
      <w:r>
        <w:rPr>
          <w:noProof/>
        </w:rPr>
        <w:fldChar w:fldCharType="begin"/>
      </w:r>
      <w:r>
        <w:rPr>
          <w:noProof/>
        </w:rPr>
        <w:instrText xml:space="preserve"> PAGEREF _Toc157064258 \h </w:instrText>
      </w:r>
      <w:r>
        <w:rPr>
          <w:noProof/>
        </w:rPr>
        <w:fldChar w:fldCharType="separate"/>
      </w:r>
      <w:r>
        <w:rPr>
          <w:noProof/>
        </w:rPr>
        <w:t>41</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、粘合剂项目选址</w:t>
      </w:r>
      <w:r>
        <w:rPr>
          <w:noProof/>
        </w:rPr>
        <w:tab/>
      </w:r>
      <w:r>
        <w:rPr>
          <w:noProof/>
        </w:rPr>
        <w:fldChar w:fldCharType="begin"/>
      </w:r>
      <w:r>
        <w:rPr>
          <w:noProof/>
        </w:rPr>
        <w:instrText xml:space="preserve"> PAGEREF _Toc157064259 \h </w:instrText>
      </w:r>
      <w:r>
        <w:rPr>
          <w:noProof/>
        </w:rPr>
        <w:fldChar w:fldCharType="separate"/>
      </w:r>
      <w:r>
        <w:rPr>
          <w:noProof/>
        </w:rPr>
        <w:t>43</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_Toc157064260 \h </w:instrText>
      </w:r>
      <w:r>
        <w:rPr>
          <w:noProof/>
        </w:rPr>
        <w:fldChar w:fldCharType="separate"/>
      </w:r>
      <w:r>
        <w:rPr>
          <w:noProof/>
        </w:rPr>
        <w:t>44</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_Toc157064261 \h </w:instrText>
      </w:r>
      <w:r>
        <w:rPr>
          <w:noProof/>
        </w:rPr>
        <w:fldChar w:fldCharType="separate"/>
      </w:r>
      <w:r>
        <w:rPr>
          <w:noProof/>
        </w:rPr>
        <w:t>46</w:t>
      </w:r>
      <w:r>
        <w:rPr>
          <w:noProof/>
        </w:rPr>
        <w:fldChar w:fldCharType="end"/>
      </w:r>
    </w:p>
    <w:p w:rsidR="00A00639">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_Toc157064262 \h </w:instrText>
      </w:r>
      <w:r>
        <w:rPr>
          <w:noProof/>
        </w:rPr>
        <w:fldChar w:fldCharType="separate"/>
      </w:r>
      <w:r>
        <w:rPr>
          <w:noProof/>
        </w:rPr>
        <w:t>47</w:t>
      </w:r>
      <w:r>
        <w:rPr>
          <w:noProof/>
        </w:rPr>
        <w:fldChar w:fldCharType="end"/>
      </w:r>
    </w:p>
    <w:p w:rsidR="00A00639">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_Toc157064263 \h </w:instrText>
      </w:r>
      <w:r>
        <w:rPr>
          <w:noProof/>
        </w:rPr>
        <w:fldChar w:fldCharType="separate"/>
      </w:r>
      <w:r>
        <w:rPr>
          <w:noProof/>
        </w:rPr>
        <w:t>48</w:t>
      </w:r>
      <w:r>
        <w:rPr>
          <w:noProof/>
        </w:rPr>
        <w:fldChar w:fldCharType="end"/>
      </w:r>
    </w:p>
    <w:p w:rsidR="00A00639">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_Toc157064264 \h </w:instrText>
      </w:r>
      <w:r>
        <w:rPr>
          <w:noProof/>
        </w:rPr>
        <w:fldChar w:fldCharType="separate"/>
      </w:r>
      <w:r>
        <w:rPr>
          <w:noProof/>
        </w:rPr>
        <w:t>50</w:t>
      </w:r>
      <w:r>
        <w:rPr>
          <w:noProof/>
        </w:rPr>
        <w:fldChar w:fldCharType="end"/>
      </w:r>
    </w:p>
    <w:p w:rsidR="00A00639">
      <w:pPr>
        <w:pStyle w:val="TOC1"/>
        <w:tabs>
          <w:tab w:val="right" w:leader="dot" w:pos="8296"/>
        </w:tabs>
        <w:rPr>
          <w:noProof/>
        </w:rPr>
      </w:pPr>
      <w:r>
        <w:rPr>
          <w:rFonts w:hint="eastAsia"/>
          <w:noProof/>
        </w:rPr>
        <w:t>六、粘合剂项目概要与评估</w:t>
      </w:r>
      <w:r>
        <w:rPr>
          <w:noProof/>
        </w:rPr>
        <w:tab/>
      </w:r>
      <w:r>
        <w:rPr>
          <w:noProof/>
        </w:rPr>
        <w:fldChar w:fldCharType="begin"/>
      </w:r>
      <w:r>
        <w:rPr>
          <w:noProof/>
        </w:rPr>
        <w:instrText xml:space="preserve"> PAGEREF _Toc157064265 \h </w:instrText>
      </w:r>
      <w:r>
        <w:rPr>
          <w:noProof/>
        </w:rPr>
        <w:fldChar w:fldCharType="separate"/>
      </w:r>
      <w:r>
        <w:rPr>
          <w:noProof/>
        </w:rPr>
        <w:t>52</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、粘合剂项目主办方综述</w:t>
      </w:r>
      <w:r>
        <w:rPr>
          <w:noProof/>
        </w:rPr>
        <w:tab/>
      </w:r>
      <w:r>
        <w:rPr>
          <w:noProof/>
        </w:rPr>
        <w:fldChar w:fldCharType="begin"/>
      </w:r>
      <w:r>
        <w:rPr>
          <w:noProof/>
        </w:rPr>
        <w:instrText xml:space="preserve"> PAGEREF _Toc157064266 \h </w:instrText>
      </w:r>
      <w:r>
        <w:rPr>
          <w:noProof/>
        </w:rPr>
        <w:fldChar w:fldCharType="separate"/>
      </w:r>
      <w:r>
        <w:rPr>
          <w:noProof/>
        </w:rPr>
        <w:t>52</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、粘合剂项目整体情况概述</w:t>
      </w:r>
      <w:r>
        <w:rPr>
          <w:noProof/>
        </w:rPr>
        <w:tab/>
      </w:r>
      <w:r>
        <w:rPr>
          <w:noProof/>
        </w:rPr>
        <w:fldChar w:fldCharType="begin"/>
      </w:r>
      <w:r>
        <w:rPr>
          <w:noProof/>
        </w:rPr>
        <w:instrText xml:space="preserve"> PAGEREF _Toc157064267 \h </w:instrText>
      </w:r>
      <w:r>
        <w:rPr>
          <w:noProof/>
        </w:rPr>
        <w:fldChar w:fldCharType="separate"/>
      </w:r>
      <w:r>
        <w:rPr>
          <w:noProof/>
        </w:rPr>
        <w:t>53</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、粘合剂项目评估及展望</w:t>
      </w:r>
      <w:r>
        <w:rPr>
          <w:noProof/>
        </w:rPr>
        <w:tab/>
      </w:r>
      <w:r>
        <w:rPr>
          <w:noProof/>
        </w:rPr>
        <w:fldChar w:fldCharType="begin"/>
      </w:r>
      <w:r>
        <w:rPr>
          <w:noProof/>
        </w:rPr>
        <w:instrText xml:space="preserve"> PAGEREF _Toc157064268 \h </w:instrText>
      </w:r>
      <w:r>
        <w:rPr>
          <w:noProof/>
        </w:rPr>
        <w:fldChar w:fldCharType="separate"/>
      </w:r>
      <w:r>
        <w:rPr>
          <w:noProof/>
        </w:rPr>
        <w:t>56</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_Toc157064269 \h </w:instrText>
      </w:r>
      <w:r>
        <w:rPr>
          <w:noProof/>
        </w:rPr>
        <w:fldChar w:fldCharType="separate"/>
      </w:r>
      <w:r>
        <w:rPr>
          <w:noProof/>
        </w:rPr>
        <w:t>58</w:t>
      </w:r>
      <w:r>
        <w:rPr>
          <w:noProof/>
        </w:rPr>
        <w:fldChar w:fldCharType="end"/>
      </w:r>
    </w:p>
    <w:p w:rsidR="00A00639">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_Toc157064270 \h </w:instrText>
      </w:r>
      <w:r>
        <w:rPr>
          <w:noProof/>
        </w:rPr>
        <w:fldChar w:fldCharType="separate"/>
      </w:r>
      <w:r>
        <w:rPr>
          <w:noProof/>
        </w:rPr>
        <w:t>60</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_Toc157064271 \h </w:instrText>
      </w:r>
      <w:r>
        <w:rPr>
          <w:noProof/>
        </w:rPr>
        <w:fldChar w:fldCharType="separate"/>
      </w:r>
      <w:r>
        <w:rPr>
          <w:noProof/>
        </w:rPr>
        <w:t>60</w:t>
      </w:r>
      <w:r>
        <w:rPr>
          <w:noProof/>
        </w:rPr>
        <w:fldChar w:fldCharType="end"/>
      </w:r>
    </w:p>
    <w:p w:rsidR="00A0063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、粘合剂项目预期节能综合评价</w:t>
      </w:r>
      <w:r>
        <w:rPr>
          <w:noProof/>
        </w:rPr>
        <w:tab/>
      </w:r>
      <w:r>
        <w:rPr>
          <w:noProof/>
        </w:rPr>
        <w:fldChar w:fldCharType="begin"/>
      </w:r>
      <w:r>
        <w:rPr>
          <w:noProof/>
        </w:rPr>
        <w:instrText xml:space="preserve"> PAGEREF _Toc157064272 \h </w:instrText>
      </w:r>
      <w:r>
        <w:rPr>
          <w:noProof/>
        </w:rPr>
        <w:fldChar w:fldCharType="separate"/>
      </w:r>
      <w:r>
        <w:rPr>
          <w:noProof/>
        </w:rPr>
        <w:t>60</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、粘合剂项目节能设计</w:t>
      </w:r>
      <w:r>
        <w:rPr>
          <w:noProof/>
        </w:rPr>
        <w:tab/>
      </w:r>
      <w:r>
        <w:rPr>
          <w:noProof/>
        </w:rPr>
        <w:fldChar w:fldCharType="begin"/>
      </w:r>
      <w:r>
        <w:rPr>
          <w:noProof/>
        </w:rPr>
        <w:instrText xml:space="preserve"> PAGEREF _Toc157064273 \h </w:instrText>
      </w:r>
      <w:r>
        <w:rPr>
          <w:noProof/>
        </w:rPr>
        <w:fldChar w:fldCharType="separate"/>
      </w:r>
      <w:r>
        <w:rPr>
          <w:noProof/>
        </w:rPr>
        <w:t>62</w:t>
      </w:r>
      <w:r>
        <w:rPr>
          <w:noProof/>
        </w:rPr>
        <w:fldChar w:fldCharType="end"/>
      </w:r>
    </w:p>
    <w:p w:rsidR="00A0063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_Toc157064274 \h </w:instrText>
      </w:r>
      <w:r>
        <w:rPr>
          <w:noProof/>
        </w:rPr>
        <w:fldChar w:fldCharType="separate"/>
      </w:r>
      <w:r>
        <w:rPr>
          <w:noProof/>
        </w:rPr>
        <w:t>64</w:t>
      </w:r>
      <w:r>
        <w:rPr>
          <w:noProof/>
        </w:rPr>
        <w:fldChar w:fldCharType="end"/>
      </w:r>
    </w:p>
    <w:p w:rsidR="00A00639">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_Toc157064275 \h </w:instrText>
      </w:r>
      <w:r>
        <w:rPr>
          <w:noProof/>
        </w:rPr>
        <w:fldChar w:fldCharType="separate"/>
      </w:r>
      <w:r>
        <w:rPr>
          <w:noProof/>
        </w:rPr>
        <w:t>66</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_Toc157064276 \h </w:instrText>
      </w:r>
      <w:r>
        <w:rPr>
          <w:noProof/>
        </w:rPr>
        <w:fldChar w:fldCharType="separate"/>
      </w:r>
      <w:r>
        <w:rPr>
          <w:noProof/>
        </w:rPr>
        <w:t>66</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_Toc157064277 \h </w:instrText>
      </w:r>
      <w:r>
        <w:rPr>
          <w:noProof/>
        </w:rPr>
        <w:fldChar w:fldCharType="separate"/>
      </w:r>
      <w:r>
        <w:rPr>
          <w:noProof/>
        </w:rPr>
        <w:t>67</w:t>
      </w:r>
      <w:r>
        <w:rPr>
          <w:noProof/>
        </w:rPr>
        <w:fldChar w:fldCharType="end"/>
      </w:r>
    </w:p>
    <w:p w:rsidR="00A00639">
      <w:pPr>
        <w:pStyle w:val="TOC1"/>
        <w:tabs>
          <w:tab w:val="right" w:leader="dot" w:pos="8296"/>
        </w:tabs>
        <w:rPr>
          <w:noProof/>
        </w:rPr>
      </w:pPr>
      <w:r>
        <w:rPr>
          <w:rFonts w:hint="eastAsia"/>
          <w:noProof/>
        </w:rPr>
        <w:t>九、粘合剂项目执行风险与应对策略</w:t>
      </w:r>
      <w:r>
        <w:rPr>
          <w:noProof/>
        </w:rPr>
        <w:tab/>
      </w:r>
      <w:r>
        <w:rPr>
          <w:noProof/>
        </w:rPr>
        <w:fldChar w:fldCharType="begin"/>
      </w:r>
      <w:r>
        <w:rPr>
          <w:noProof/>
        </w:rPr>
        <w:instrText xml:space="preserve"> PAGEREF _Toc157064278 \h </w:instrText>
      </w:r>
      <w:r>
        <w:rPr>
          <w:noProof/>
        </w:rPr>
        <w:fldChar w:fldCharType="separate"/>
      </w:r>
      <w:r>
        <w:rPr>
          <w:noProof/>
        </w:rPr>
        <w:t>68</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、粘合剂项目执行风险识别</w:t>
      </w:r>
      <w:r>
        <w:rPr>
          <w:noProof/>
        </w:rPr>
        <w:tab/>
      </w:r>
      <w:r>
        <w:rPr>
          <w:noProof/>
        </w:rPr>
        <w:fldChar w:fldCharType="begin"/>
      </w:r>
      <w:r>
        <w:rPr>
          <w:noProof/>
        </w:rPr>
        <w:instrText xml:space="preserve"> PAGEREF _Toc157064279 \h </w:instrText>
      </w:r>
      <w:r>
        <w:rPr>
          <w:noProof/>
        </w:rPr>
        <w:fldChar w:fldCharType="separate"/>
      </w:r>
      <w:r>
        <w:rPr>
          <w:noProof/>
        </w:rPr>
        <w:t>68</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_Toc157064280 \h </w:instrText>
      </w:r>
      <w:r>
        <w:rPr>
          <w:noProof/>
        </w:rPr>
        <w:fldChar w:fldCharType="separate"/>
      </w:r>
      <w:r>
        <w:rPr>
          <w:noProof/>
        </w:rPr>
        <w:t>69</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_Toc157064281 \h </w:instrText>
      </w:r>
      <w:r>
        <w:rPr>
          <w:noProof/>
        </w:rPr>
        <w:fldChar w:fldCharType="separate"/>
      </w:r>
      <w:r>
        <w:rPr>
          <w:noProof/>
        </w:rPr>
        <w:t>70</w:t>
      </w:r>
      <w:r>
        <w:rPr>
          <w:noProof/>
        </w:rPr>
        <w:fldChar w:fldCharType="end"/>
      </w:r>
    </w:p>
    <w:p w:rsidR="00A00639">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_Toc157064282 \h </w:instrText>
      </w:r>
      <w:r>
        <w:rPr>
          <w:noProof/>
        </w:rPr>
        <w:fldChar w:fldCharType="separate"/>
      </w:r>
      <w:r>
        <w:rPr>
          <w:noProof/>
        </w:rPr>
        <w:t>72</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_Toc157064283 \h </w:instrText>
      </w:r>
      <w:r>
        <w:rPr>
          <w:noProof/>
        </w:rPr>
        <w:fldChar w:fldCharType="separate"/>
      </w:r>
      <w:r>
        <w:rPr>
          <w:noProof/>
        </w:rPr>
        <w:t>72</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、粘合剂项目合规性评估</w:t>
      </w:r>
      <w:r>
        <w:rPr>
          <w:noProof/>
        </w:rPr>
        <w:tab/>
      </w:r>
      <w:r>
        <w:rPr>
          <w:noProof/>
        </w:rPr>
        <w:fldChar w:fldCharType="begin"/>
      </w:r>
      <w:r>
        <w:rPr>
          <w:noProof/>
        </w:rPr>
        <w:instrText xml:space="preserve"> PAGEREF _Toc157064284 \h </w:instrText>
      </w:r>
      <w:r>
        <w:rPr>
          <w:noProof/>
        </w:rPr>
        <w:fldChar w:fldCharType="separate"/>
      </w:r>
      <w:r>
        <w:rPr>
          <w:noProof/>
        </w:rPr>
        <w:t>73</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_Toc157064285 \h </w:instrText>
      </w:r>
      <w:r>
        <w:rPr>
          <w:noProof/>
        </w:rPr>
        <w:fldChar w:fldCharType="separate"/>
      </w:r>
      <w:r>
        <w:rPr>
          <w:noProof/>
        </w:rPr>
        <w:t>74</w:t>
      </w:r>
      <w:r>
        <w:rPr>
          <w:noProof/>
        </w:rPr>
        <w:fldChar w:fldCharType="end"/>
      </w:r>
    </w:p>
    <w:p w:rsidR="00A00639">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_Toc157064286 \h </w:instrText>
      </w:r>
      <w:r>
        <w:rPr>
          <w:noProof/>
        </w:rPr>
        <w:fldChar w:fldCharType="separate"/>
      </w:r>
      <w:r>
        <w:rPr>
          <w:noProof/>
        </w:rPr>
        <w:t>76</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_Toc157064287 \h </w:instrText>
      </w:r>
      <w:r>
        <w:rPr>
          <w:noProof/>
        </w:rPr>
        <w:fldChar w:fldCharType="separate"/>
      </w:r>
      <w:r>
        <w:rPr>
          <w:noProof/>
        </w:rPr>
        <w:t>76</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_Toc157064288 \h </w:instrText>
      </w:r>
      <w:r>
        <w:rPr>
          <w:noProof/>
        </w:rPr>
        <w:fldChar w:fldCharType="separate"/>
      </w:r>
      <w:r>
        <w:rPr>
          <w:noProof/>
        </w:rPr>
        <w:t>79</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_Toc157064289 \h </w:instrText>
      </w:r>
      <w:r>
        <w:rPr>
          <w:noProof/>
        </w:rPr>
        <w:fldChar w:fldCharType="separate"/>
      </w:r>
      <w:r>
        <w:rPr>
          <w:noProof/>
        </w:rPr>
        <w:t>80</w:t>
      </w:r>
      <w:r>
        <w:rPr>
          <w:noProof/>
        </w:rPr>
        <w:fldChar w:fldCharType="end"/>
      </w:r>
    </w:p>
    <w:p w:rsidR="00A00639">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_Toc157064290 \h </w:instrText>
      </w:r>
      <w:r>
        <w:rPr>
          <w:noProof/>
        </w:rPr>
        <w:fldChar w:fldCharType="separate"/>
      </w:r>
      <w:r>
        <w:rPr>
          <w:noProof/>
        </w:rPr>
        <w:t>82</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_Toc157064291 \h </w:instrText>
      </w:r>
      <w:r>
        <w:rPr>
          <w:noProof/>
        </w:rPr>
        <w:fldChar w:fldCharType="separate"/>
      </w:r>
      <w:r>
        <w:rPr>
          <w:noProof/>
        </w:rPr>
        <w:t>82</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_Toc157064292 \h </w:instrText>
      </w:r>
      <w:r>
        <w:rPr>
          <w:noProof/>
        </w:rPr>
        <w:fldChar w:fldCharType="separate"/>
      </w:r>
      <w:r>
        <w:rPr>
          <w:noProof/>
        </w:rPr>
        <w:t>83</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_Toc157064293 \h </w:instrText>
      </w:r>
      <w:r>
        <w:rPr>
          <w:noProof/>
        </w:rPr>
        <w:fldChar w:fldCharType="separate"/>
      </w:r>
      <w:r>
        <w:rPr>
          <w:noProof/>
        </w:rPr>
        <w:t>84</w:t>
      </w:r>
      <w:r>
        <w:rPr>
          <w:noProof/>
        </w:rPr>
        <w:fldChar w:fldCharType="end"/>
      </w:r>
    </w:p>
    <w:p w:rsidR="00A00639">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_Toc157064294 \h </w:instrText>
      </w:r>
      <w:r>
        <w:rPr>
          <w:noProof/>
        </w:rPr>
        <w:fldChar w:fldCharType="separate"/>
      </w:r>
      <w:r>
        <w:rPr>
          <w:noProof/>
        </w:rPr>
        <w:t>84</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_Toc157064295 \h </w:instrText>
      </w:r>
      <w:r>
        <w:rPr>
          <w:noProof/>
        </w:rPr>
        <w:fldChar w:fldCharType="separate"/>
      </w:r>
      <w:r>
        <w:rPr>
          <w:noProof/>
        </w:rPr>
        <w:t>84</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_Toc157064296 \h </w:instrText>
      </w:r>
      <w:r>
        <w:rPr>
          <w:noProof/>
        </w:rPr>
        <w:fldChar w:fldCharType="separate"/>
      </w:r>
      <w:r>
        <w:rPr>
          <w:noProof/>
        </w:rPr>
        <w:t>85</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_Toc157064297 \h </w:instrText>
      </w:r>
      <w:r>
        <w:rPr>
          <w:noProof/>
        </w:rPr>
        <w:fldChar w:fldCharType="separate"/>
      </w:r>
      <w:r>
        <w:rPr>
          <w:noProof/>
        </w:rPr>
        <w:t>87</w:t>
      </w:r>
      <w:r>
        <w:rPr>
          <w:noProof/>
        </w:rPr>
        <w:fldChar w:fldCharType="end"/>
      </w:r>
    </w:p>
    <w:p w:rsidR="00A00639">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_Toc157064298 \h </w:instrText>
      </w:r>
      <w:r>
        <w:rPr>
          <w:noProof/>
        </w:rPr>
        <w:fldChar w:fldCharType="separate"/>
      </w:r>
      <w:r>
        <w:rPr>
          <w:noProof/>
        </w:rPr>
        <w:t>88</w:t>
      </w:r>
      <w:r>
        <w:rPr>
          <w:noProof/>
        </w:rPr>
        <w:fldChar w:fldCharType="end"/>
      </w:r>
    </w:p>
    <w:p w:rsidR="00A00639">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_Toc157064299 \h </w:instrText>
      </w:r>
      <w:r>
        <w:rPr>
          <w:noProof/>
        </w:rPr>
        <w:fldChar w:fldCharType="separate"/>
      </w:r>
      <w:r>
        <w:rPr>
          <w:noProof/>
        </w:rPr>
        <w:t>88</w:t>
      </w:r>
      <w:r>
        <w:rPr>
          <w:noProof/>
        </w:rPr>
        <w:fldChar w:fldCharType="end"/>
      </w:r>
    </w:p>
    <w:p w:rsidR="00A00639">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_Toc157064300 \h </w:instrText>
      </w:r>
      <w:r>
        <w:rPr>
          <w:noProof/>
        </w:rPr>
        <w:fldChar w:fldCharType="separate"/>
      </w:r>
      <w:r>
        <w:rPr>
          <w:noProof/>
        </w:rPr>
        <w:t>90</w:t>
      </w:r>
      <w:r>
        <w:rPr>
          <w:noProof/>
        </w:rPr>
        <w:fldChar w:fldCharType="end"/>
      </w:r>
    </w:p>
    <w:p w:rsidR="00A00639">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_Toc157064301 \h </w:instrText>
      </w:r>
      <w:r>
        <w:rPr>
          <w:noProof/>
        </w:rPr>
        <w:fldChar w:fldCharType="separate"/>
      </w:r>
      <w:r>
        <w:rPr>
          <w:noProof/>
        </w:rPr>
        <w:t>92</w:t>
      </w:r>
      <w:r>
        <w:rPr>
          <w:noProof/>
        </w:rPr>
        <w:fldChar w:fldCharType="end"/>
      </w:r>
    </w:p>
    <w:p w:rsidR="00A00639" w:rsidP="00A0063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00639" w:rsidP="00A00639">
      <w:pPr>
        <w:pStyle w:val="Heading1"/>
        <w:jc w:val="center"/>
        <w:rPr>
          <w:rFonts w:hint="eastAsia"/>
        </w:rPr>
      </w:pPr>
      <w:bookmarkStart w:id="1" w:name="_Toc157064231"/>
      <w:r w:rsidRPr="00A00639">
        <w:rPr>
          <w:rFonts w:hint="eastAsia"/>
        </w:rPr>
        <w:t>前言</w:t>
      </w:r>
      <w:bookmarkEnd w:id="1"/>
    </w:p>
    <w:p w:rsidR="00A00639" w:rsidP="00A00639">
      <w:pPr>
        <w:ind w:firstLine="560" w:firstLineChars="200"/>
        <w:rPr>
          <w:rFonts w:ascii="仿宋" w:eastAsia="仿宋" w:hAnsi="仿宋" w:hint="eastAsia"/>
          <w:sz w:val="28"/>
        </w:rPr>
      </w:pPr>
      <w:r w:rsidRPr="00A0063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00639" w:rsidP="00A00639">
      <w:pPr>
        <w:pStyle w:val="Heading1"/>
        <w:rPr>
          <w:rFonts w:hint="eastAsia"/>
        </w:rPr>
      </w:pPr>
      <w:bookmarkStart w:id="2" w:name="_Toc157064232"/>
      <w:r w:rsidRPr="00A00639">
        <w:rPr>
          <w:rFonts w:hint="eastAsia"/>
        </w:rPr>
        <w:t>一、粘合剂项目建筑工程方案</w:t>
      </w:r>
      <w:bookmarkEnd w:id="2"/>
    </w:p>
    <w:p w:rsidR="00A00639" w:rsidP="00A00639">
      <w:pPr>
        <w:pStyle w:val="Heading2"/>
        <w:rPr>
          <w:rFonts w:hint="eastAsia"/>
        </w:rPr>
      </w:pPr>
      <w:bookmarkStart w:id="3" w:name="_Toc157064233"/>
      <w:r w:rsidRPr="00A00639">
        <w:rPr>
          <w:rFonts w:hint="eastAsia"/>
        </w:rPr>
        <w:t>(</w:t>
      </w:r>
      <w:r w:rsidRPr="00A00639">
        <w:rPr>
          <w:rFonts w:hint="eastAsia"/>
        </w:rPr>
        <w:t>一</w:t>
      </w:r>
      <w:r w:rsidRPr="00A00639">
        <w:rPr>
          <w:rFonts w:hint="eastAsia"/>
        </w:rPr>
        <w:t>)</w:t>
      </w:r>
      <w:r w:rsidRPr="00A00639">
        <w:rPr>
          <w:rFonts w:hint="eastAsia"/>
        </w:rPr>
        <w:t>、土建工程方案</w:t>
      </w:r>
      <w:bookmarkEnd w:id="3"/>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土建工程方案是为实现建设粘合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工程设计</w:t>
      </w:r>
    </w:p>
    <w:p w:rsidR="00A00639" w:rsidRPr="00A00639" w:rsidP="00A0063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0063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粘合剂项目具备良好的结构和功能。同时，遵循相关法规和标准，保障设计的合法性和可行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施工组织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材料选择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工期安排</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土建工程方案的制定和实施对于粘合剂项目的成功推进至关重要。只有通过科学合理的规划和有序实施，粘合剂项目才能确保高效、安全、经济地完成，达到预期的建设目标。因此，在进行土建工程粘合剂项目时，应充分关注土建工程方案的编制和执行，不断总结经验教训，不断提升管理和技术水平，以适应不断变化的建设需求。</w:t>
      </w:r>
    </w:p>
    <w:p w:rsidR="00A00639" w:rsidP="00A00639">
      <w:pPr>
        <w:pStyle w:val="Heading2"/>
      </w:pPr>
      <w:bookmarkStart w:id="4" w:name="_Toc157064234"/>
      <w:r w:rsidRPr="00A00639">
        <w:t>(</w:t>
      </w:r>
      <w:r w:rsidRPr="00A00639">
        <w:t>二</w:t>
      </w:r>
      <w:r w:rsidRPr="00A00639">
        <w:t>)</w:t>
      </w:r>
      <w:r w:rsidRPr="00A00639">
        <w:t>、厂房建设方案</w:t>
      </w:r>
      <w:bookmarkEnd w:id="4"/>
    </w:p>
    <w:p w:rsidR="00A00639" w:rsidRPr="00A00639" w:rsidP="00A0063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00639">
        <w:rPr>
          <w:rFonts w:ascii="仿宋" w:eastAsia="仿宋" w:hAnsi="仿宋" w:hint="eastAsia"/>
          <w:sz w:val="28"/>
        </w:rPr>
        <w:t>厂房建设方案是在土建工程方案的基础上，专门针对厂房建设的</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结构设计</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施工组织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材料选择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工期安排</w:t>
      </w:r>
    </w:p>
    <w:p w:rsidR="00A00639" w:rsidRPr="00A00639" w:rsidP="00A0063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0639">
        <w:rPr>
          <w:rFonts w:ascii="仿宋" w:eastAsia="仿宋" w:hAnsi="仿宋" w:hint="eastAsia"/>
          <w:sz w:val="28"/>
        </w:rPr>
        <w:t>厂房建设的工期安排需要更为细致，因为它直接影响到生产计划</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设备配置</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00639" w:rsidP="00A00639">
      <w:pPr>
        <w:pStyle w:val="Heading2"/>
      </w:pPr>
      <w:bookmarkStart w:id="5" w:name="_Toc157064235"/>
      <w:r w:rsidRPr="00A00639">
        <w:t>(</w:t>
      </w:r>
      <w:r w:rsidRPr="00A00639">
        <w:t>三</w:t>
      </w:r>
      <w:r w:rsidRPr="00A00639">
        <w:t>)</w:t>
      </w:r>
      <w:r w:rsidRPr="00A00639">
        <w:t>、仓库建设方案</w:t>
      </w:r>
      <w:bookmarkEnd w:id="5"/>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结构设计</w:t>
      </w:r>
    </w:p>
    <w:p w:rsidR="00A00639" w:rsidRPr="00A00639" w:rsidP="00A0063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0063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确保仓库的使用安全性。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施工组织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材料选择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设备配置</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环境规划</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A00639" w:rsidP="00A0063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0639">
        <w:rPr>
          <w:rFonts w:ascii="仿宋" w:eastAsia="仿宋" w:hAnsi="仿宋" w:hint="eastAsia"/>
          <w:sz w:val="28"/>
        </w:rPr>
        <w:t>一个完善的仓库建设方案能够确保仓库的结构稳固、施工有序、</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A00639" w:rsidP="00A00639">
      <w:pPr>
        <w:pStyle w:val="Heading2"/>
      </w:pPr>
      <w:bookmarkStart w:id="6" w:name="_Toc157064236"/>
      <w:r w:rsidRPr="00A00639">
        <w:t>(</w:t>
      </w:r>
      <w:r w:rsidRPr="00A00639">
        <w:t>四</w:t>
      </w:r>
      <w:r w:rsidRPr="00A00639">
        <w:t>)</w:t>
      </w:r>
      <w:r w:rsidRPr="00A00639">
        <w:t>、办公及生活服务设施建设方案</w:t>
      </w:r>
      <w:bookmarkEnd w:id="6"/>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办公空间设计： 确保合理的布局，考虑通风、采光、隔音等因素，提高员工的工作效率和舒适度。</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生活服务设施规划： 设计食堂、休息区、健身房等设施，满足员工在工作间隙和下班后的各种需求。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信息技术设备： 规划网络设施、计算设备以及公司业务相关的软硬件工具，确保员工高效完成工作。</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安全与环保设施： 考虑消防设备、安全通道、紧急疏散计划，以及环保设施，创造安全可持续的工作环境。</w:t>
      </w:r>
    </w:p>
    <w:p w:rsidR="00A00639" w:rsidRPr="00A00639" w:rsidP="00A00639">
      <w:pPr>
        <w:ind w:firstLine="560" w:firstLineChars="200"/>
        <w:rPr>
          <w:rFonts w:ascii="仿宋" w:eastAsia="仿宋" w:hAnsi="仿宋"/>
          <w:sz w:val="28"/>
        </w:rPr>
      </w:pPr>
      <w:r w:rsidRPr="00A00639">
        <w:rPr>
          <w:rFonts w:ascii="仿宋" w:eastAsia="仿宋" w:hAnsi="仿宋" w:hint="eastAsia"/>
          <w:sz w:val="28"/>
        </w:rPr>
        <w:t>5. 员工培训和发展设施： 设计培训室、图书馆、在线学习平台等，提供学习和发展的机会，促进员工专业素养和职业发展。</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6. 工位设置与布局： 通过科学的工位设置和布局，提高员工之间的协作效率，创造良好的工作氛围。</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7. 会议室规划： 设计合适大小和设备齐全的会议室，以支持各类内外部会议和团队协作。</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8. 休息区设计： 创造宜人的休息环境，为员工提供放松身心的空间，提高工作效能。</w:t>
      </w:r>
    </w:p>
    <w:p w:rsidR="00A00639" w:rsidRPr="00A00639" w:rsidP="00A0063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0639">
        <w:rPr>
          <w:rFonts w:ascii="仿宋" w:eastAsia="仿宋" w:hAnsi="仿宋" w:hint="eastAsia"/>
          <w:sz w:val="28"/>
        </w:rPr>
        <w:t>9. 饮食服务设施： 提供多样化的饮食选择，满足员工口味，促</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进团队交流和员工满意度。</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10. 健康管理设施： 设计健身房、健康检测区等，关注员工身心健康，提高整体团队健康水平。</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11. 员工社交空间： 创建社交区域，促进员工之间的交流，增进团队凝聚力和合作精神。</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12. 绿色建筑和可持续设施： 采用环保材料，设计节能照明系统，倡导绿色出行，助力企业可持续发展。</w:t>
      </w:r>
    </w:p>
    <w:p w:rsidR="00A00639" w:rsidP="00A00639">
      <w:pPr>
        <w:pStyle w:val="Heading2"/>
      </w:pPr>
      <w:bookmarkStart w:id="7" w:name="_Toc157064237"/>
      <w:r w:rsidRPr="00A00639">
        <w:t>(</w:t>
      </w:r>
      <w:r w:rsidRPr="00A00639">
        <w:t>五</w:t>
      </w:r>
      <w:r w:rsidRPr="00A00639">
        <w:t>)</w:t>
      </w:r>
      <w:r w:rsidRPr="00A00639">
        <w:t>、总图布置方案</w:t>
      </w:r>
      <w:bookmarkEnd w:id="7"/>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整体规划考虑因素： 在确定总体布局方案时，需要充分考虑地理位置、粘合剂项目规模、市场需求和人力资源等关键因素，确保科学合理。</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成本节约策略： 通过优化物流运输和产品流通，合理利用现有设施，降低成本，确保粘合剂项目经济可行性。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生产效率提升： 通过科学运营和管理，提高生产效率和产品质量，确保粘合剂项目能够顺利运行并满足市场需求。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详细布局设计</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生产线布局规划： 确保生产线的合理布局，考虑生产线长度、机器设备配置、工人数量和空间要求等因素，优化生产流程。</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储存设施合理布局： 设计原材料、半成品和成品储存区的合理布局，方便物流运输和库存管理，确保供应链畅通。</w:t>
      </w:r>
    </w:p>
    <w:p w:rsidR="00A00639" w:rsidRPr="00A00639" w:rsidP="00A0063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00639">
        <w:rPr>
          <w:rFonts w:ascii="仿宋" w:eastAsia="仿宋" w:hAnsi="仿宋" w:hint="eastAsia"/>
          <w:sz w:val="28"/>
        </w:rPr>
        <w:t>3. 办公室和员工区域设计： 打造符合现代标准的办公室和员工</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区域布局，提升员工的工作和生活体验。</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能源供应设施规划： 设计合理的能源供应设施布局，确保电力、燃气和水等能源的有效供应，满足生产需求。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实施与管理方案</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技术管理策略： 通过不断改进和优化技术流程，提高生产效率和产品质量，保持技术领先地位。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人力资源管理计划： 招聘、培训员工，并建立有效的人力资源管理体系，提高员工工作效率和满意度。</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粘合剂项目管理体系建设： 制定科学的粘合剂项目计划、预算和资源分配，确保粘合剂项目按时完成，达到预期效果。</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质量管理体系实施： 建立质量控制系统，进行质量检查，确保产品符合标准和顾客需求，提高产品竞争力。</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综合考虑总体布局方案、详细布局设计和实施与管理方案，确保粘合剂项目全面成功实现。</w:t>
      </w:r>
    </w:p>
    <w:p w:rsidR="00A00639" w:rsidP="00A00639">
      <w:pPr>
        <w:pStyle w:val="Heading2"/>
      </w:pPr>
      <w:bookmarkStart w:id="8" w:name="_Toc157064238"/>
      <w:r w:rsidRPr="00A00639">
        <w:t>(</w:t>
      </w:r>
      <w:r w:rsidRPr="00A00639">
        <w:t>六</w:t>
      </w:r>
      <w:r w:rsidRPr="00A00639">
        <w:t>)</w:t>
      </w:r>
      <w:r w:rsidRPr="00A00639">
        <w:t>、建筑工程数字化方案</w:t>
      </w:r>
      <w:bookmarkEnd w:id="8"/>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（一）数字化方案规划</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粘合剂项目背景分析</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在构建数字化方案之前，对粘合剂项目规模、性质以及可用预算进行深入分析，确保方案的制定与粘合剂项目的实际需求相契合。</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技术现状评估</w:t>
      </w:r>
    </w:p>
    <w:p w:rsidR="00A00639" w:rsidRPr="00A00639" w:rsidP="00A0063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0639">
        <w:rPr>
          <w:rFonts w:ascii="仿宋" w:eastAsia="仿宋" w:hAnsi="仿宋" w:hint="eastAsia"/>
          <w:sz w:val="28"/>
        </w:rPr>
        <w:t>深入了解建筑工程领域的数字化技术现状，关注行业最新趋势，</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以确保选择的数字化方案在技术上保持领先地位。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利益相关方沟通</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与粘合剂项目中的各利益相关方进行充分沟通，包括业主、设计师、施工方等，以了解各方需求和期望，使得数字化方案更加贴近实际应用。</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（二）数字化工具选择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建模软件选择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选择适用于建筑工程的三维建模软件，如XXX等，以提高设计效率和精度，从而推动数字化设计的实施。</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粘合剂项目管理工具</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采用专业的粘合剂项目管理工具，例如XXX，以确保粘合剂项目计划、进度追踪和资源管理的高效执行。</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BIM技术应用</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引入BIM技术，全面实现建筑设计、施工和运营的数字化管理，以促进信息共享和提高协同效率，从而推动粘合剂项目数字化的全面实施。</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（三）数字化流程优化</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设计协同优化</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通过数字化工具实现设计团队的高效协同工作，提高设计效率，减少信息流失和误差，确保设计的高质量完成。</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施工过程数字化</w:t>
      </w:r>
    </w:p>
    <w:p w:rsidR="00A00639" w:rsidRPr="00A00639" w:rsidP="00A0063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00639">
        <w:rPr>
          <w:rFonts w:ascii="仿宋" w:eastAsia="仿宋" w:hAnsi="仿宋" w:hint="eastAsia"/>
          <w:sz w:val="28"/>
        </w:rPr>
        <w:t>引入数字化施工管理系统，实现施工计划、进度监控、质量检查</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等过程的数字化管理，以提高施工效率和质量控制水平。</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数据集成与共享</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建立数据集成平台，实现各个环节数据的无缝传递和共享，以减少信息孤岛，提高整体工程效益，推动数字化流程的顺畅实施。</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（四）技术培训与支持</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团队培训计划</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制定详细的数字化工具培训计划，确保粘合剂项目团队成员具备使用相关工具的必要技能，提高整体数字化水平。</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技术支持体系</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建立完善的数字化方案技术支持体系，包括在线支持和培训资料库，以保证在使用过程中能够及时解决技术问题。</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持续改进机制</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设立数字化方案的持续改进机制，及时收集用户反馈和技术更新，不断优化数字化工程流程，确保数字化方案处于行业领先地位。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（五）风险管理与安全保障</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数据安全策略</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制定严格的数据安全策略，采用加密技术和权限管理等手段，确保粘合剂项目信息不受到未授权访问和泄露，提高数据安全性。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应急预案制定</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制定数字化方案的应急预案，对可能发生的技术故障、数据丢失等情况进行预测和应对，保障粘合剂项目的正常运行。</w:t>
      </w:r>
    </w:p>
    <w:p w:rsidR="00A00639" w:rsidRPr="00A00639" w:rsidP="00A0063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0639">
        <w:rPr>
          <w:rFonts w:ascii="仿宋" w:eastAsia="仿宋" w:hAnsi="仿宋" w:hint="eastAsia"/>
          <w:sz w:val="28"/>
        </w:rPr>
        <w:t>3. 法规遵循</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通过以上方面的详细规划，建立全面的建筑工程数字化方案，将有助于粘合剂项目更高效、智能地迎接数字时代的挑战。</w:t>
      </w:r>
    </w:p>
    <w:p w:rsidR="00A00639" w:rsidP="00A00639">
      <w:pPr>
        <w:pStyle w:val="Heading1"/>
        <w:rPr>
          <w:rFonts w:hint="eastAsia"/>
        </w:rPr>
      </w:pPr>
      <w:bookmarkStart w:id="9" w:name="_Toc157064239"/>
      <w:r w:rsidRPr="00A00639">
        <w:rPr>
          <w:rFonts w:hint="eastAsia"/>
        </w:rPr>
        <w:t>二、背景及必要性分析</w:t>
      </w:r>
      <w:bookmarkEnd w:id="9"/>
    </w:p>
    <w:p w:rsidR="00A00639" w:rsidP="00A00639">
      <w:pPr>
        <w:pStyle w:val="Heading2"/>
        <w:rPr>
          <w:rFonts w:hint="eastAsia"/>
        </w:rPr>
      </w:pPr>
      <w:bookmarkStart w:id="10" w:name="_Toc157064240"/>
      <w:r w:rsidRPr="00A00639">
        <w:rPr>
          <w:rFonts w:hint="eastAsia"/>
        </w:rPr>
        <w:t>(</w:t>
      </w:r>
      <w:r w:rsidRPr="00A00639">
        <w:rPr>
          <w:rFonts w:hint="eastAsia"/>
        </w:rPr>
        <w:t>一</w:t>
      </w:r>
      <w:r w:rsidRPr="00A00639">
        <w:rPr>
          <w:rFonts w:hint="eastAsia"/>
        </w:rPr>
        <w:t>)</w:t>
      </w:r>
      <w:r w:rsidRPr="00A00639">
        <w:rPr>
          <w:rFonts w:hint="eastAsia"/>
        </w:rPr>
        <w:t>、行业发展方向</w:t>
      </w:r>
      <w:bookmarkEnd w:id="10"/>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00639" w:rsidRPr="00A00639" w:rsidP="00A0063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0639">
        <w:rPr>
          <w:rFonts w:ascii="仿宋" w:eastAsia="仿宋" w:hAnsi="仿宋" w:hint="eastAsia"/>
          <w:sz w:val="28"/>
        </w:rPr>
        <w:t>4. 全球化市场与跨界合作： 行业的发展逐渐呈现出全球化的趋</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势，企业需要加强国际市场的拓展和跨界合作。通过与不同领域的企业合作，共同创新，实现资源共享，提高企业的综合实力。</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00639" w:rsidP="00A00639">
      <w:pPr>
        <w:pStyle w:val="Heading2"/>
      </w:pPr>
      <w:bookmarkStart w:id="11" w:name="_Toc157064241"/>
      <w:r w:rsidRPr="00A00639">
        <w:t>(</w:t>
      </w:r>
      <w:r w:rsidRPr="00A00639">
        <w:t>二</w:t>
      </w:r>
      <w:r w:rsidRPr="00A00639">
        <w:t>)</w:t>
      </w:r>
      <w:r w:rsidRPr="00A00639">
        <w:t>、行业环境分析与应对策略</w:t>
      </w:r>
      <w:bookmarkEnd w:id="11"/>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（五）行业环境分析与应对策略</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00639" w:rsidRPr="00A00639" w:rsidP="00A0063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063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00639" w:rsidP="00A0063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0639">
        <w:rPr>
          <w:rFonts w:ascii="仿宋" w:eastAsia="仿宋" w:hAnsi="仿宋" w:hint="eastAsia"/>
          <w:sz w:val="28"/>
        </w:rPr>
        <w:t>综合以上，企业需要在行业环境变化中保持敏锐洞察力，制定灵活的应对策略，不断提升自身的适应能力。积极主动地迎接挑战，善</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于变革和创新，将有助于企业在激烈的市场竞争中稳健前行。</w:t>
      </w:r>
    </w:p>
    <w:p w:rsidR="00A00639" w:rsidP="00A00639">
      <w:pPr>
        <w:pStyle w:val="Heading2"/>
      </w:pPr>
      <w:bookmarkStart w:id="12" w:name="_Toc157064242"/>
      <w:r w:rsidRPr="00A00639">
        <w:t>(</w:t>
      </w:r>
      <w:r w:rsidRPr="00A00639">
        <w:t>三</w:t>
      </w:r>
      <w:r w:rsidRPr="00A00639">
        <w:t>)</w:t>
      </w:r>
      <w:r w:rsidRPr="00A00639">
        <w:t>、行业面临的机遇与挑战</w:t>
      </w:r>
      <w:bookmarkEnd w:id="12"/>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机遇：</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技术创新和数字化转型： 行业可能受益于先进技术和数字化转型，提高生产效率、降低成本，同时创造新的商业模式和产品。</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市场需求增长： 如果行业所在市场的需求不断增长，企业有机会通过提供更多产品或服务来扩大市场份额。</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全球化机遇： 开拓国际市场可能为企业带来新的机会，尤其是在全球化程度不断提高的情况下。</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可持续发展： 行业在可持续发展方面的投入和努力可能受到市场和政府的认可，推动企业在社会责任和环保方面取得竞争优势。</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人才和团队发展： 有机会吸引和培养高素质的人才，建立协作团队，为企业带来创新和竞争优势。</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挑战：</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市场竞争激烈： 若市场竞争激烈，企业可能面临价格战、利润压力以及更高的市场推广成本。</w:t>
      </w:r>
    </w:p>
    <w:p w:rsidR="00A00639" w:rsidRPr="00A00639" w:rsidP="00A0063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0639">
        <w:rPr>
          <w:rFonts w:ascii="仿宋" w:eastAsia="仿宋" w:hAnsi="仿宋" w:hint="eastAsia"/>
          <w:sz w:val="28"/>
        </w:rPr>
        <w:t>2. 政策和法规变化： 行业可能受到政府政策和法规的影响，不稳定的政策环境可能带来不确定性。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供应链不稳定： 供应链问题，如原材料短缺、运输问题或供应链中断，可能对企业的生产和运营产生负面影响。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技术风险： 依赖新技术可能带来技术风险，包括技术失误、信息安全问题等。</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人才短缺： 企业可能面临人才短缺，尤其是在需要特定技能或专业知识的领域。</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6. 经济不确定性： 宏观经济因素的不确定性，如通货膨胀、利率变动、经济衰退等，可能对企业产生负面影响。</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在面对这些机遇和挑战时，企业需要制定明智的战略，灵活调整经营计划，不断提升自身竞争力，以适应动态的市场环境。</w:t>
      </w:r>
    </w:p>
    <w:p w:rsidR="00A00639" w:rsidP="00A00639">
      <w:pPr>
        <w:pStyle w:val="Heading2"/>
      </w:pPr>
      <w:bookmarkStart w:id="13" w:name="_Toc157064243"/>
      <w:r w:rsidRPr="00A00639">
        <w:t>(</w:t>
      </w:r>
      <w:r w:rsidRPr="00A00639">
        <w:t>四</w:t>
      </w:r>
      <w:r w:rsidRPr="00A00639">
        <w:t>)</w:t>
      </w:r>
      <w:r w:rsidRPr="00A00639">
        <w:t>、行业特征</w:t>
      </w:r>
      <w:bookmarkEnd w:id="13"/>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00639" w:rsidRPr="00A00639" w:rsidP="00A0063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0639">
        <w:rPr>
          <w:rFonts w:ascii="仿宋" w:eastAsia="仿宋" w:hAnsi="仿宋" w:hint="eastAsia"/>
          <w:sz w:val="28"/>
        </w:rPr>
        <w:t>4. 供应链管理复杂： 由于原材料采购、生产、物流等环节的复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杂性，供应链管理是该行业的一大挑战。建立高效的供应链体系，提高物流管理水平，对企业竞争力至关重要。</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市场竞争激烈： 行业内竞争激烈，存在多个竞争对手争夺市场份额。差异化竞争、创新能力和品牌影响力成为企业取胜的重要因素。</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00639" w:rsidRPr="00A00639" w:rsidP="00A00639">
      <w:pPr>
        <w:ind w:firstLine="560" w:firstLineChars="200"/>
        <w:rPr>
          <w:rFonts w:ascii="仿宋" w:eastAsia="仿宋" w:hAnsi="仿宋" w:hint="eastAsia"/>
          <w:sz w:val="28"/>
        </w:rPr>
      </w:pPr>
      <w:r w:rsidRPr="00A00639">
        <w:rPr>
          <w:rFonts w:ascii="仿宋" w:eastAsia="仿宋" w:hAnsi="仿宋"/>
          <w:sz w:val="28"/>
        </w:rPr>
        <w:t>8</w:t>
      </w:r>
      <w:r w:rsidRPr="00A0063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00639" w:rsidP="00A0063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0639">
        <w:rPr>
          <w:rFonts w:ascii="仿宋" w:eastAsia="仿宋" w:hAnsi="仿宋" w:hint="eastAsia"/>
          <w:sz w:val="28"/>
        </w:rPr>
        <w:t>综合以上特征，该行业在资本、技术、市场竞争等方面存在较大的挑战和机遇。企业在经营中需要充分认识行业特征，通过合理规划</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和战略布局，更好地把握市场机遇，降低风险，提升竞争力。</w:t>
      </w:r>
    </w:p>
    <w:p w:rsidR="00A00639" w:rsidP="00A00639">
      <w:pPr>
        <w:pStyle w:val="Heading2"/>
      </w:pPr>
      <w:bookmarkStart w:id="14" w:name="_Toc157064244"/>
      <w:r w:rsidRPr="00A00639">
        <w:t>(</w:t>
      </w:r>
      <w:r w:rsidRPr="00A00639">
        <w:t>五</w:t>
      </w:r>
      <w:r w:rsidRPr="00A00639">
        <w:t>)</w:t>
      </w:r>
      <w:r w:rsidRPr="00A00639">
        <w:t>、行业发展趋势分析</w:t>
      </w:r>
      <w:bookmarkEnd w:id="14"/>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00639" w:rsidRPr="00A00639" w:rsidP="00A0063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00639">
        <w:rPr>
          <w:rFonts w:ascii="仿宋" w:eastAsia="仿宋" w:hAnsi="仿宋" w:hint="eastAsia"/>
          <w:sz w:val="28"/>
        </w:rPr>
        <w:t>6. 人工智能与机器学习应用： 行业发展中，人工智能和机器学习的应用将愈加广泛。从产品设计到生产管理，再到客户服务，这些</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技术的运用将提高企业的智能化水平，为企业提供更精准的决策支持。</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00639" w:rsidP="00A00639">
      <w:pPr>
        <w:pStyle w:val="Heading2"/>
      </w:pPr>
      <w:bookmarkStart w:id="15" w:name="_Toc157064245"/>
      <w:r w:rsidRPr="00A00639">
        <w:t>(</w:t>
      </w:r>
      <w:r w:rsidRPr="00A00639">
        <w:t>六</w:t>
      </w:r>
      <w:r w:rsidRPr="00A00639">
        <w:t>)</w:t>
      </w:r>
      <w:r w:rsidRPr="00A00639">
        <w:t>、行业实施路径就爱建议</w:t>
      </w:r>
      <w:bookmarkEnd w:id="15"/>
    </w:p>
    <w:p w:rsidR="00A00639" w:rsidRPr="00A00639" w:rsidP="00A00639">
      <w:pPr>
        <w:ind w:firstLine="560" w:firstLineChars="200"/>
        <w:rPr>
          <w:rFonts w:ascii="仿宋" w:eastAsia="仿宋" w:hAnsi="仿宋"/>
          <w:sz w:val="28"/>
        </w:rPr>
      </w:pP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00639" w:rsidRPr="00A00639" w:rsidP="00A00639">
      <w:pPr>
        <w:ind w:firstLine="560" w:firstLineChars="200"/>
        <w:rPr>
          <w:rFonts w:ascii="仿宋" w:eastAsia="仿宋" w:hAnsi="仿宋"/>
          <w:sz w:val="28"/>
        </w:rPr>
      </w:pPr>
      <w:r w:rsidRPr="00A0063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00639" w:rsidRPr="00A00639" w:rsidP="00A0063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00639">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00639" w:rsidRPr="00A00639" w:rsidP="00A00639">
      <w:pPr>
        <w:ind w:firstLine="560" w:firstLineChars="200"/>
        <w:rPr>
          <w:rFonts w:ascii="仿宋" w:eastAsia="仿宋" w:hAnsi="仿宋"/>
          <w:sz w:val="28"/>
        </w:rPr>
      </w:pPr>
      <w:r w:rsidRPr="00A0063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00639" w:rsidP="00A0063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00639">
        <w:rPr>
          <w:rFonts w:ascii="仿宋" w:eastAsia="仿宋" w:hAnsi="仿宋"/>
          <w:sz w:val="28"/>
        </w:rPr>
        <w:t>10</w:t>
      </w:r>
      <w:r w:rsidRPr="00A0063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00639" w:rsidP="00A00639">
      <w:pPr>
        <w:pStyle w:val="Heading1"/>
        <w:rPr>
          <w:rFonts w:hint="eastAsia"/>
        </w:rPr>
      </w:pPr>
      <w:bookmarkStart w:id="16" w:name="_Toc157064246"/>
      <w:r w:rsidRPr="00A00639">
        <w:rPr>
          <w:rFonts w:hint="eastAsia"/>
        </w:rPr>
        <w:t>三、粘合剂项目风险管理方案</w:t>
      </w:r>
      <w:bookmarkEnd w:id="16"/>
    </w:p>
    <w:p w:rsidR="00A00639" w:rsidP="00A00639">
      <w:pPr>
        <w:pStyle w:val="Heading2"/>
        <w:rPr>
          <w:rFonts w:hint="eastAsia"/>
        </w:rPr>
      </w:pPr>
      <w:bookmarkStart w:id="17" w:name="_Toc157064247"/>
      <w:r w:rsidRPr="00A00639">
        <w:rPr>
          <w:rFonts w:hint="eastAsia"/>
        </w:rPr>
        <w:t>(</w:t>
      </w:r>
      <w:r w:rsidRPr="00A00639">
        <w:rPr>
          <w:rFonts w:hint="eastAsia"/>
        </w:rPr>
        <w:t>一</w:t>
      </w:r>
      <w:r w:rsidRPr="00A00639">
        <w:rPr>
          <w:rFonts w:hint="eastAsia"/>
        </w:rPr>
        <w:t>)</w:t>
      </w:r>
      <w:r w:rsidRPr="00A00639">
        <w:rPr>
          <w:rFonts w:hint="eastAsia"/>
        </w:rPr>
        <w:t>、风险管理概述</w:t>
      </w:r>
      <w:bookmarkEnd w:id="17"/>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当前政策环境下，风险管理的关键性日益凸显，尤其在粘合剂项目实施中扮演着不可或缺的角色。政策的不断调整和变化可能带来新的挑战，因此粘合剂项目团队需要更加敏锐地识别、评估和应对各种潜在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粘合剂项目可能产生的潜在影响。</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其次，风险评估的过程需要更具前瞻性，粘合剂项目团队应当通过定性和定量分析，充分评估政策变化对粘合剂项目目标的可能影响。这一过程的关键在于科学合理地量化潜在风险的概率和影响程度，从而有针对性地采取相应的风险应对措施。</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面对政策层面的风险时，风险应对措施需要更加灵活。除了常规的避免、减轻、转移和接受策略外，粘合剂项目团队还应考虑制定专门的政策应对计划，包括密切关注政策变化、及时调整粘合剂项目实施方案等。例如，加强与相关政府部门的沟通，获取政策解读，及时调整粘合剂项目策略以确保粘合剂项目不受不确定性的过大影响。</w:t>
      </w:r>
    </w:p>
    <w:p w:rsidR="00A00639" w:rsidRPr="00A00639" w:rsidP="00A0063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00639">
        <w:rPr>
          <w:rFonts w:ascii="仿宋" w:eastAsia="仿宋" w:hAnsi="仿宋" w:hint="eastAsia"/>
          <w:sz w:val="28"/>
        </w:rPr>
        <w:t>最后，风险监控的过程也需要更具前瞻性。粘合剂项目团队在监</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控风险的同时，应当随时关注政策环境的变化，确保粘合剂项目能够灵活适应新的政策要求。这可能涉及到对粘合剂项目计划的及时调整、政策培训和粘合剂项目团队的更新等方面，以保持粘合剂项目在复杂多变的政策环境中的稳定推进。</w:t>
      </w:r>
    </w:p>
    <w:p w:rsidR="00A00639" w:rsidP="00A00639">
      <w:pPr>
        <w:ind w:firstLine="560" w:firstLineChars="200"/>
        <w:rPr>
          <w:rFonts w:ascii="仿宋" w:eastAsia="仿宋" w:hAnsi="仿宋" w:hint="eastAsia"/>
          <w:sz w:val="28"/>
        </w:rPr>
      </w:pPr>
      <w:r w:rsidRPr="00A00639">
        <w:rPr>
          <w:rFonts w:ascii="仿宋" w:eastAsia="仿宋" w:hAnsi="仿宋" w:hint="eastAsia"/>
          <w:sz w:val="28"/>
        </w:rPr>
        <w:t>在当前政策背景下，风险管理需要更具前瞻性、灵活性和战略性，以确保粘合剂项目能够在不断变化的政策环境中保持成功实施的稳定性。通过全面考虑政策层面的风险，并采取相应的战略性风险管理措施，粘合剂项目团队将更有信心和能力应对潜在的挑战，确保粘合剂项目的成功推进。</w:t>
      </w:r>
    </w:p>
    <w:p w:rsidR="00A00639" w:rsidP="00A00639">
      <w:pPr>
        <w:pStyle w:val="Heading2"/>
      </w:pPr>
      <w:bookmarkStart w:id="18" w:name="_Toc157064248"/>
      <w:r w:rsidRPr="00A00639">
        <w:t>(</w:t>
      </w:r>
      <w:r w:rsidRPr="00A00639">
        <w:t>二</w:t>
      </w:r>
      <w:r w:rsidRPr="00A00639">
        <w:t>)</w:t>
      </w:r>
      <w:r w:rsidRPr="00A00639">
        <w:t>、企业面临的风险</w:t>
      </w:r>
      <w:bookmarkEnd w:id="18"/>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在粘合剂项目领域，企业在运营过程中面临着多层次的风险，这些风险源于内部操作、外部环境变化以及激烈的市场竞争。为了确保企业的成功，有效的风险管理显得尤为关键。下面将详细探讨粘合剂项目中可能出现的各类风险，并提出相应的应对措施，以保障企业的可持续发展。</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一、市场需求波动风险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市场变化带来的需求波动风险</w:t>
      </w:r>
    </w:p>
    <w:p w:rsidR="00A00639" w:rsidRPr="00A00639" w:rsidP="00A0063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0063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密沟通，及时了解市场变化。</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竞争对手的市场份额侵蚀风险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二、供应链风险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原材料供应不稳定风险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供应链环节的质量风险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三、技术与生产风险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1. 生产设备故障风险</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00639" w:rsidRPr="00A00639" w:rsidP="00A00639">
      <w:pPr>
        <w:ind w:firstLine="560" w:firstLineChars="200"/>
        <w:rPr>
          <w:rFonts w:ascii="仿宋" w:eastAsia="仿宋" w:hAnsi="仿宋" w:hint="eastAsia"/>
          <w:sz w:val="28"/>
        </w:rPr>
      </w:pPr>
      <w:r w:rsidRPr="00A00639">
        <w:rPr>
          <w:rFonts w:ascii="仿宋" w:eastAsia="仿宋" w:hAnsi="仿宋" w:hint="eastAsia"/>
          <w:sz w:val="28"/>
        </w:rPr>
        <w:t>2. 生产工艺变革风险</w:t>
      </w:r>
      <w:r w:rsidRPr="00A00639">
        <w:rPr>
          <w:rFonts w:ascii="仿宋" w:eastAsia="仿宋" w:hAnsi="仿宋" w:hint="eastAsia"/>
          <w:sz w:val="28"/>
        </w:rPr>
        <w:br/>
      </w:r>
      <w:r w:rsidRPr="00A0063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https://d.book118.com/307134046025006044</w:t>
        </w:r>
      </w:hyperlink>
    </w:p>
    <w:p w:rsidR="00A00639" w:rsidRPr="00A00639" w:rsidP="00A0063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006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0063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0063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063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063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0063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063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0063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0063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0063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0063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0063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0063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0063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0063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0063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0063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0063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0063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0063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0063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0063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0063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0063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063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P="002D17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0063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rsidRPr="00A00639" w:rsidP="00A00639">
    <w:pPr>
      <w:pStyle w:val="Header"/>
      <w:rPr>
        <w:rFonts w:ascii="仿宋" w:eastAsia="仿宋" w:hAnsi="仿宋"/>
      </w:rPr>
    </w:pPr>
    <w:r w:rsidRPr="00A00639">
      <w:rPr>
        <w:rFonts w:ascii="仿宋" w:eastAsia="仿宋" w:hAnsi="仿宋" w:hint="eastAsia"/>
      </w:rPr>
      <w:t>粘合剂投资回报分析报告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06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639"/>
    <w:rsid w:val="002D1711"/>
    <w:rsid w:val="00883E19"/>
    <w:rsid w:val="009B05B4"/>
    <w:rsid w:val="00A0063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0063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006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00639"/>
    <w:rPr>
      <w:b/>
      <w:bCs/>
      <w:kern w:val="44"/>
      <w:sz w:val="44"/>
      <w:szCs w:val="44"/>
    </w:rPr>
  </w:style>
  <w:style w:type="character" w:customStyle="1" w:styleId="2Char">
    <w:name w:val="标题 2 Char"/>
    <w:basedOn w:val="DefaultParagraphFont"/>
    <w:link w:val="Heading2"/>
    <w:uiPriority w:val="9"/>
    <w:rsid w:val="00A0063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006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00639"/>
    <w:rPr>
      <w:sz w:val="18"/>
      <w:szCs w:val="18"/>
    </w:rPr>
  </w:style>
  <w:style w:type="paragraph" w:styleId="Footer">
    <w:name w:val="footer"/>
    <w:basedOn w:val="Normal"/>
    <w:link w:val="Char0"/>
    <w:uiPriority w:val="99"/>
    <w:unhideWhenUsed/>
    <w:rsid w:val="00A0063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00639"/>
    <w:rPr>
      <w:sz w:val="18"/>
      <w:szCs w:val="18"/>
    </w:rPr>
  </w:style>
  <w:style w:type="character" w:styleId="PageNumber">
    <w:name w:val="page number"/>
    <w:basedOn w:val="DefaultParagraphFont"/>
    <w:uiPriority w:val="99"/>
    <w:semiHidden/>
    <w:unhideWhenUsed/>
    <w:rsid w:val="00A00639"/>
  </w:style>
  <w:style w:type="paragraph" w:styleId="TOC1">
    <w:name w:val="toc 1"/>
    <w:basedOn w:val="Normal"/>
    <w:next w:val="Normal"/>
    <w:autoRedefine/>
    <w:uiPriority w:val="39"/>
    <w:unhideWhenUsed/>
    <w:rsid w:val="00A00639"/>
  </w:style>
  <w:style w:type="paragraph" w:styleId="TOC2">
    <w:name w:val="toc 2"/>
    <w:basedOn w:val="Normal"/>
    <w:next w:val="Normal"/>
    <w:autoRedefine/>
    <w:uiPriority w:val="39"/>
    <w:unhideWhenUsed/>
    <w:rsid w:val="00A006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713404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6915</Words>
  <Characters>39416</Characters>
  <Application>Microsoft Office Word</Application>
  <DocSecurity>0</DocSecurity>
  <Lines>328</Lines>
  <Paragraphs>92</Paragraphs>
  <ScaleCrop>false</ScaleCrop>
  <Company>Microsoft</Company>
  <LinksUpToDate>false</LinksUpToDate>
  <CharactersWithSpaces>46239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2024-01-25T00:36:00Z</dcterms:created>
  <dcterms:modified xsi:type="dcterms:W3CDTF">2024-01-25T00:36:00Z</dcterms:modified>
</cp:coreProperties>
</file>