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spacing w:before="5"/>
        <w:rPr>
          <w:rFonts w:ascii="Times New Roman"/>
          <w:sz w:val="19"/>
        </w:rPr>
      </w:pPr>
    </w:p>
    <w:p>
      <w:pPr>
        <w:spacing w:before="0" w:line="1057" w:lineRule="exact"/>
        <w:ind w:left="369" w:right="313" w:firstLine="0"/>
        <w:jc w:val="center"/>
        <w:rPr>
          <w:b/>
          <w:sz w:val="84"/>
        </w:rPr>
      </w:pPr>
      <w:r>
        <w:rPr>
          <w:b/>
          <w:sz w:val="84"/>
        </w:rPr>
        <w:t>城市机动车辆清洗场所</w:t>
      </w:r>
    </w:p>
    <w:p>
      <w:pPr>
        <w:spacing w:before="327"/>
        <w:ind w:left="393" w:right="313" w:firstLine="0"/>
        <w:jc w:val="center"/>
        <w:rPr>
          <w:b/>
          <w:sz w:val="84"/>
        </w:rPr>
      </w:pPr>
      <w:r>
        <w:rPr>
          <w:b/>
          <w:sz w:val="84"/>
        </w:rPr>
        <w:t>设置技术规范</w:t>
      </w:r>
    </w:p>
    <w:p>
      <w:pPr>
        <w:pStyle w:val="BodyText"/>
        <w:rPr>
          <w:b/>
          <w:sz w:val="84"/>
        </w:rPr>
      </w:pPr>
    </w:p>
    <w:p>
      <w:pPr>
        <w:pStyle w:val="BodyText"/>
        <w:rPr>
          <w:b/>
          <w:sz w:val="84"/>
        </w:rPr>
      </w:pPr>
    </w:p>
    <w:p>
      <w:pPr>
        <w:pStyle w:val="BodyText"/>
        <w:rPr>
          <w:b/>
          <w:sz w:val="84"/>
        </w:rPr>
      </w:pPr>
    </w:p>
    <w:p>
      <w:pPr>
        <w:pStyle w:val="BodyText"/>
        <w:rPr>
          <w:b/>
          <w:sz w:val="84"/>
        </w:rPr>
      </w:pPr>
    </w:p>
    <w:p>
      <w:pPr>
        <w:pStyle w:val="BodyText"/>
        <w:rPr>
          <w:b/>
          <w:sz w:val="84"/>
        </w:rPr>
      </w:pPr>
    </w:p>
    <w:p>
      <w:pPr>
        <w:pStyle w:val="BodyText"/>
        <w:rPr>
          <w:b/>
          <w:sz w:val="84"/>
        </w:rPr>
      </w:pPr>
    </w:p>
    <w:p>
      <w:pPr>
        <w:pStyle w:val="BodyText"/>
        <w:rPr>
          <w:b/>
          <w:sz w:val="84"/>
        </w:rPr>
      </w:pPr>
    </w:p>
    <w:p>
      <w:pPr>
        <w:pStyle w:val="BodyText"/>
        <w:rPr>
          <w:b/>
          <w:sz w:val="84"/>
        </w:rPr>
      </w:pPr>
    </w:p>
    <w:p>
      <w:pPr>
        <w:pStyle w:val="BodyText"/>
        <w:rPr>
          <w:b/>
          <w:sz w:val="84"/>
        </w:rPr>
      </w:pPr>
    </w:p>
    <w:p>
      <w:pPr>
        <w:pStyle w:val="BodyText"/>
        <w:rPr>
          <w:b/>
          <w:sz w:val="84"/>
        </w:rPr>
      </w:pPr>
    </w:p>
    <w:p>
      <w:pPr>
        <w:pStyle w:val="BodyText"/>
        <w:spacing w:before="2"/>
        <w:rPr>
          <w:b/>
          <w:sz w:val="105"/>
        </w:rPr>
      </w:pPr>
    </w:p>
    <w:p>
      <w:pPr>
        <w:spacing w:before="1"/>
        <w:ind w:left="400" w:right="313" w:firstLine="0"/>
        <w:jc w:val="center"/>
        <w:rPr>
          <w:b/>
          <w:sz w:val="63"/>
        </w:rPr>
      </w:pPr>
      <w:r>
        <w:rPr>
          <w:b/>
          <w:sz w:val="63"/>
        </w:rPr>
        <w:t>重庆市市政管理委员会</w:t>
      </w:r>
    </w:p>
    <w:p>
      <w:pPr>
        <w:spacing w:after="0"/>
        <w:jc w:val="center"/>
        <w:rPr>
          <w:sz w:val="63"/>
        </w:rPr>
        <w:sectPr>
          <w:type w:val="continuous"/>
          <w:pgSz w:w="17860" w:h="25260"/>
          <w:pgMar w:top="2420" w:right="1220" w:bottom="280" w:left="1960" w:header="708" w:footer="708"/>
          <w:cols w:space="708"/>
        </w:sectPr>
      </w:pPr>
    </w:p>
    <w:p>
      <w:pPr>
        <w:tabs>
          <w:tab w:val="left" w:pos="1321"/>
        </w:tabs>
        <w:spacing w:before="0" w:line="840" w:lineRule="exact"/>
        <w:ind w:left="0" w:right="313" w:firstLine="0"/>
        <w:jc w:val="center"/>
        <w:rPr>
          <w:rFonts w:ascii="黑体" w:eastAsia="黑体" w:hint="eastAsia"/>
          <w:sz w:val="66"/>
        </w:rPr>
      </w:pPr>
      <w:r>
        <w:rPr>
          <w:rFonts w:ascii="黑体" w:eastAsia="黑体" w:hint="eastAsia"/>
          <w:sz w:val="66"/>
        </w:rPr>
        <w:t>前</w:t>
        <w:tab/>
        <w:t>言</w:t>
      </w:r>
    </w:p>
    <w:p>
      <w:pPr>
        <w:pStyle w:val="BodyText"/>
        <w:spacing w:before="584" w:line="388" w:lineRule="auto"/>
        <w:ind w:left="164" w:right="478" w:firstLine="899"/>
        <w:jc w:val="both"/>
      </w:pPr>
      <w:r>
        <w:t>为规范机动车辆清洗场所的设置，加强机动车辆清洗场所的管理， 根据《重庆市市容环境卫生管理条例</w:t>
      </w:r>
      <w:r>
        <w:rPr>
          <w:spacing w:val="-256"/>
        </w:rPr>
        <w:t>》</w:t>
      </w:r>
      <w:r>
        <w:t>（2010</w:t>
      </w:r>
      <w:r>
        <w:rPr>
          <w:spacing w:val="-74"/>
        </w:rPr>
        <w:t xml:space="preserve"> 年 </w:t>
      </w:r>
      <w:r>
        <w:t>7</w:t>
      </w:r>
      <w:r>
        <w:rPr>
          <w:spacing w:val="-77"/>
        </w:rPr>
        <w:t xml:space="preserve"> 月 </w:t>
      </w:r>
      <w:r>
        <w:t>23</w:t>
      </w:r>
      <w:r>
        <w:rPr>
          <w:spacing w:val="-18"/>
        </w:rPr>
        <w:t xml:space="preserve"> 日重庆市第三届</w:t>
      </w:r>
      <w:r>
        <w:t>人民代表大会常务委员会第十八次会议修正）的要求，制定本规范。</w:t>
      </w:r>
    </w:p>
    <w:p>
      <w:pPr>
        <w:pStyle w:val="BodyText"/>
        <w:spacing w:before="6" w:line="388" w:lineRule="auto"/>
        <w:ind w:left="164" w:right="562" w:firstLine="899"/>
        <w:jc w:val="both"/>
      </w:pPr>
      <w:r>
        <w:t>在本规范修订过程中，编制组经广泛调查研究，认真总结了国内实践经验，参考了有关国家标准和国内先进技术，把握发展趋势，完整梳理了机动车辆清洗场所的技术规范，并在广泛征求有关单位意见的基础上，经反复讨论、修改，最后经专家审查定稿。</w:t>
      </w:r>
    </w:p>
    <w:p>
      <w:pPr>
        <w:pStyle w:val="BodyText"/>
        <w:spacing w:before="9" w:line="388" w:lineRule="auto"/>
        <w:ind w:left="164" w:right="252" w:firstLine="899"/>
      </w:pPr>
      <w:r>
        <w:rPr>
          <w:spacing w:val="-2"/>
        </w:rPr>
        <w:t>本规范的主要内容是：</w:t>
      </w:r>
      <w:r>
        <w:rPr>
          <w:spacing w:val="-15"/>
        </w:rPr>
        <w:t>1</w:t>
      </w:r>
      <w:r>
        <w:rPr>
          <w:spacing w:val="-9"/>
        </w:rPr>
        <w:t>.范围；</w:t>
      </w:r>
      <w:r>
        <w:rPr>
          <w:spacing w:val="-16"/>
        </w:rPr>
        <w:t>2</w:t>
      </w:r>
      <w:r>
        <w:rPr>
          <w:spacing w:val="-6"/>
        </w:rPr>
        <w:t>.规范性引用文件；</w:t>
      </w:r>
      <w:r>
        <w:rPr>
          <w:spacing w:val="-17"/>
        </w:rPr>
        <w:t>3.</w:t>
      </w:r>
      <w:r>
        <w:rPr>
          <w:spacing w:val="-3"/>
        </w:rPr>
        <w:t xml:space="preserve">术语和定义； </w:t>
      </w:r>
      <w:r>
        <w:rPr>
          <w:spacing w:val="3"/>
        </w:rPr>
        <w:t>4</w:t>
      </w:r>
      <w:r>
        <w:t>.分类；</w:t>
      </w:r>
      <w:r>
        <w:rPr>
          <w:spacing w:val="3"/>
        </w:rPr>
        <w:t>5</w:t>
      </w:r>
      <w:r>
        <w:t>.选址；</w:t>
      </w:r>
      <w:r>
        <w:rPr>
          <w:spacing w:val="3"/>
        </w:rPr>
        <w:t>6</w:t>
      </w:r>
      <w:r>
        <w:t>.平面布置及建筑设计；</w:t>
      </w:r>
      <w:r>
        <w:rPr>
          <w:spacing w:val="9"/>
        </w:rPr>
        <w:t>7</w:t>
      </w:r>
      <w:r>
        <w:t>.工艺及设备；</w:t>
      </w:r>
      <w:r>
        <w:rPr>
          <w:spacing w:val="6"/>
        </w:rPr>
        <w:t>8</w:t>
      </w:r>
      <w:r>
        <w:t>.供配电设置；9.环境保护与安全生产。</w:t>
      </w:r>
    </w:p>
    <w:p>
      <w:pPr>
        <w:pStyle w:val="BodyText"/>
        <w:spacing w:before="6" w:line="388" w:lineRule="auto"/>
        <w:ind w:left="1064" w:right="5064"/>
      </w:pPr>
      <w:r>
        <w:rPr>
          <w:spacing w:val="-1"/>
        </w:rPr>
        <w:t>本规范由重庆市市政管理委员会负责解释。</w:t>
      </w:r>
      <w:r>
        <w:t xml:space="preserve">本规范主编单位：重庆市环境卫生管理局 </w:t>
      </w:r>
      <w:r>
        <w:rPr>
          <w:spacing w:val="-1"/>
        </w:rPr>
        <w:t>本规范参编单位：重庆市市政环卫监测中心</w:t>
      </w:r>
    </w:p>
    <w:p>
      <w:pPr>
        <w:pStyle w:val="BodyText"/>
        <w:spacing w:before="6"/>
        <w:ind w:left="4665"/>
      </w:pPr>
      <w:r>
        <w:t>重庆大学</w:t>
      </w:r>
    </w:p>
    <w:p>
      <w:pPr>
        <w:pStyle w:val="BodyText"/>
        <w:spacing w:before="360" w:line="388" w:lineRule="auto"/>
        <w:ind w:left="4665" w:right="5512"/>
      </w:pPr>
      <w:r>
        <w:t>重庆市建筑科学研究院重庆工商大学</w:t>
      </w:r>
    </w:p>
    <w:p>
      <w:pPr>
        <w:pStyle w:val="BodyText"/>
        <w:spacing w:before="4"/>
        <w:ind w:left="4665"/>
      </w:pPr>
      <w:r>
        <w:t>中冶赛迪工程技术股份有限公司</w:t>
      </w:r>
    </w:p>
    <w:p>
      <w:pPr>
        <w:pStyle w:val="BodyText"/>
        <w:spacing w:before="4"/>
        <w:rPr>
          <w:sz w:val="46"/>
        </w:rPr>
      </w:pPr>
    </w:p>
    <w:p>
      <w:pPr>
        <w:pStyle w:val="BodyText"/>
        <w:tabs>
          <w:tab w:val="left" w:pos="6051"/>
          <w:tab w:val="left" w:pos="6951"/>
          <w:tab w:val="left" w:pos="7852"/>
          <w:tab w:val="left" w:pos="8751"/>
          <w:tab w:val="left" w:pos="10551"/>
          <w:tab w:val="left" w:pos="12352"/>
        </w:tabs>
        <w:ind w:left="1096"/>
      </w:pPr>
      <w:r>
        <w:t>本规范主要起草人：彭</w:t>
        <w:tab/>
        <w:t>莉</w:t>
        <w:tab/>
        <w:t>张</w:t>
        <w:tab/>
        <w:t>鹏</w:t>
        <w:tab/>
        <w:t>郝丽萌</w:t>
        <w:tab/>
        <w:t>赖寓涛</w:t>
        <w:tab/>
        <w:t>舒玉焕</w:t>
      </w:r>
    </w:p>
    <w:p>
      <w:pPr>
        <w:pStyle w:val="BodyText"/>
        <w:tabs>
          <w:tab w:val="left" w:pos="6044"/>
          <w:tab w:val="left" w:pos="6944"/>
          <w:tab w:val="left" w:pos="7844"/>
          <w:tab w:val="left" w:pos="8741"/>
          <w:tab w:val="left" w:pos="9644"/>
          <w:tab w:val="left" w:pos="10544"/>
          <w:tab w:val="left" w:pos="12342"/>
        </w:tabs>
        <w:spacing w:before="360" w:line="388" w:lineRule="auto"/>
        <w:ind w:left="5140" w:right="985"/>
      </w:pPr>
      <w:r>
        <w:t>杨</w:t>
        <w:tab/>
        <w:t>艺</w:t>
        <w:tab/>
        <w:t>彭绪亚</w:t>
        <w:tab/>
        <w:t>陈</w:t>
        <w:tab/>
        <w:t>丹</w:t>
        <w:tab/>
        <w:t>刘连杰</w:t>
        <w:tab/>
        <w:t>陈志</w:t>
      </w:r>
      <w:r>
        <w:rPr>
          <w:spacing w:val="-18"/>
        </w:rPr>
        <w:t>剑</w:t>
      </w:r>
      <w:r>
        <w:t>龚玉玲</w:t>
        <w:tab/>
        <w:t>谭</w:t>
        <w:tab/>
        <w:t>聪</w:t>
      </w:r>
    </w:p>
    <w:p>
      <w:pPr>
        <w:spacing w:after="0" w:line="388" w:lineRule="auto"/>
        <w:sectPr>
          <w:pgSz w:w="17860" w:h="25260"/>
          <w:pgMar w:top="2060" w:right="1220" w:bottom="280" w:left="1960" w:header="708" w:footer="708"/>
          <w:pgNumType w:start="2"/>
          <w:cols w:space="708"/>
        </w:sectPr>
      </w:pPr>
    </w:p>
    <w:p>
      <w:pPr>
        <w:tabs>
          <w:tab w:val="left" w:pos="1980"/>
        </w:tabs>
        <w:spacing w:before="0" w:line="840" w:lineRule="exact"/>
        <w:ind w:left="0" w:right="318" w:firstLine="0"/>
        <w:jc w:val="center"/>
        <w:rPr>
          <w:rFonts w:ascii="黑体" w:eastAsia="黑体" w:hint="eastAsia"/>
          <w:sz w:val="66"/>
        </w:rPr>
      </w:pPr>
      <w:r>
        <w:rPr>
          <w:rFonts w:ascii="黑体" w:eastAsia="黑体" w:hint="eastAsia"/>
          <w:sz w:val="66"/>
        </w:rPr>
        <w:t>目</w:t>
        <w:tab/>
        <w:t>次</w:t>
      </w:r>
    </w:p>
    <w:sdt>
      <w:sdtPr>
        <w:id w:val="1232312792"/>
        <w:docPartObj>
          <w:docPartGallery w:val="Table of Contents"/>
          <w:docPartUnique/>
        </w:docPartObj>
      </w:sdtPr>
      <w:sdtContent>
        <w:p>
          <w:pPr>
            <w:pStyle w:val="TOC1"/>
            <w:numPr>
              <w:ilvl w:val="0"/>
              <w:numId w:val="6"/>
            </w:numPr>
            <w:tabs>
              <w:tab w:val="left" w:pos="884"/>
              <w:tab w:val="left" w:pos="885"/>
              <w:tab w:val="right" w:leader="dot" w:pos="14294"/>
            </w:tabs>
            <w:spacing w:before="540" w:after="0" w:line="240" w:lineRule="auto"/>
            <w:ind w:left="884" w:right="0" w:hanging="721"/>
            <w:jc w:val="left"/>
            <w:rPr>
              <w:rFonts w:ascii="Arial" w:eastAsia="Arial"/>
            </w:rPr>
          </w:pPr>
          <w:hyperlink w:anchor="_TOC_250010" w:history="1">
            <w:r>
              <w:t>范围</w:t>
              <w:tab/>
            </w:r>
            <w:r>
              <w:rPr>
                <w:rFonts w:ascii="Arial" w:eastAsia="Arial"/>
              </w:rPr>
              <w:t>1</w:t>
            </w:r>
          </w:hyperlink>
        </w:p>
        <w:p>
          <w:pPr>
            <w:pStyle w:val="TOC1"/>
            <w:numPr>
              <w:ilvl w:val="0"/>
              <w:numId w:val="6"/>
            </w:numPr>
            <w:tabs>
              <w:tab w:val="left" w:pos="884"/>
              <w:tab w:val="left" w:pos="885"/>
              <w:tab w:val="right" w:leader="dot" w:pos="14298"/>
            </w:tabs>
            <w:spacing w:before="321" w:after="0" w:line="240" w:lineRule="auto"/>
            <w:ind w:left="884" w:right="0" w:hanging="721"/>
            <w:jc w:val="left"/>
            <w:rPr>
              <w:rFonts w:ascii="Arial" w:eastAsia="Arial"/>
            </w:rPr>
          </w:pPr>
          <w:hyperlink w:anchor="_TOC_250009" w:history="1">
            <w:r>
              <w:t>规范性引用文件</w:t>
              <w:tab/>
            </w:r>
            <w:r>
              <w:rPr>
                <w:rFonts w:ascii="Arial" w:eastAsia="Arial"/>
              </w:rPr>
              <w:t>1</w:t>
            </w:r>
          </w:hyperlink>
        </w:p>
        <w:p>
          <w:pPr>
            <w:pStyle w:val="TOC1"/>
            <w:numPr>
              <w:ilvl w:val="0"/>
              <w:numId w:val="6"/>
            </w:numPr>
            <w:tabs>
              <w:tab w:val="left" w:pos="884"/>
              <w:tab w:val="left" w:pos="885"/>
              <w:tab w:val="right" w:leader="dot" w:pos="14298"/>
            </w:tabs>
            <w:spacing w:before="321" w:after="0" w:line="240" w:lineRule="auto"/>
            <w:ind w:left="884" w:right="0" w:hanging="721"/>
            <w:jc w:val="left"/>
            <w:rPr>
              <w:rFonts w:ascii="Arial" w:eastAsia="Arial"/>
            </w:rPr>
          </w:pPr>
          <w:hyperlink w:anchor="_TOC_250008" w:history="1">
            <w:r>
              <w:t>术语和定义</w:t>
              <w:tab/>
            </w:r>
            <w:r>
              <w:rPr>
                <w:rFonts w:ascii="Arial" w:eastAsia="Arial"/>
              </w:rPr>
              <w:t>2</w:t>
            </w:r>
          </w:hyperlink>
        </w:p>
        <w:p>
          <w:pPr>
            <w:pStyle w:val="TOC1"/>
            <w:numPr>
              <w:ilvl w:val="0"/>
              <w:numId w:val="6"/>
            </w:numPr>
            <w:tabs>
              <w:tab w:val="left" w:pos="884"/>
              <w:tab w:val="left" w:pos="885"/>
              <w:tab w:val="right" w:leader="dot" w:pos="14294"/>
            </w:tabs>
            <w:spacing w:before="321" w:after="0" w:line="240" w:lineRule="auto"/>
            <w:ind w:left="884" w:right="0" w:hanging="721"/>
            <w:jc w:val="left"/>
            <w:rPr>
              <w:rFonts w:ascii="Arial" w:eastAsia="Arial"/>
            </w:rPr>
          </w:pPr>
          <w:hyperlink w:anchor="_TOC_250007" w:history="1">
            <w:r>
              <w:t>分类</w:t>
              <w:tab/>
            </w:r>
            <w:r>
              <w:rPr>
                <w:rFonts w:ascii="Arial" w:eastAsia="Arial"/>
              </w:rPr>
              <w:t>3</w:t>
            </w:r>
          </w:hyperlink>
        </w:p>
        <w:p>
          <w:pPr>
            <w:pStyle w:val="TOC1"/>
            <w:numPr>
              <w:ilvl w:val="0"/>
              <w:numId w:val="6"/>
            </w:numPr>
            <w:tabs>
              <w:tab w:val="left" w:pos="884"/>
              <w:tab w:val="left" w:pos="885"/>
              <w:tab w:val="right" w:leader="dot" w:pos="14294"/>
            </w:tabs>
            <w:spacing w:before="322" w:after="0" w:line="240" w:lineRule="auto"/>
            <w:ind w:left="884" w:right="0" w:hanging="721"/>
            <w:jc w:val="left"/>
            <w:rPr>
              <w:rFonts w:ascii="Arial" w:eastAsia="Arial"/>
            </w:rPr>
          </w:pPr>
          <w:hyperlink w:anchor="_TOC_250006" w:history="1">
            <w:r>
              <w:t>选址</w:t>
              <w:tab/>
            </w:r>
            <w:r>
              <w:rPr>
                <w:rFonts w:ascii="Arial" w:eastAsia="Arial"/>
              </w:rPr>
              <w:t>4</w:t>
            </w:r>
          </w:hyperlink>
        </w:p>
        <w:p>
          <w:pPr>
            <w:pStyle w:val="TOC1"/>
            <w:numPr>
              <w:ilvl w:val="0"/>
              <w:numId w:val="6"/>
            </w:numPr>
            <w:tabs>
              <w:tab w:val="left" w:pos="884"/>
              <w:tab w:val="left" w:pos="885"/>
              <w:tab w:val="right" w:leader="dot" w:pos="14302"/>
            </w:tabs>
            <w:spacing w:before="321" w:after="0" w:line="240" w:lineRule="auto"/>
            <w:ind w:left="884" w:right="0" w:hanging="721"/>
            <w:jc w:val="left"/>
            <w:rPr>
              <w:rFonts w:ascii="Arial" w:eastAsia="Arial"/>
            </w:rPr>
          </w:pPr>
          <w:hyperlink w:anchor="_TOC_250005" w:history="1">
            <w:r>
              <w:t>平面布置及建筑设计</w:t>
              <w:tab/>
            </w:r>
            <w:r>
              <w:rPr>
                <w:rFonts w:ascii="Arial" w:eastAsia="Arial"/>
              </w:rPr>
              <w:t>5</w:t>
            </w:r>
          </w:hyperlink>
        </w:p>
        <w:p>
          <w:pPr>
            <w:pStyle w:val="TOC1"/>
            <w:numPr>
              <w:ilvl w:val="0"/>
              <w:numId w:val="6"/>
            </w:numPr>
            <w:tabs>
              <w:tab w:val="left" w:pos="884"/>
              <w:tab w:val="left" w:pos="885"/>
              <w:tab w:val="right" w:leader="dot" w:pos="14298"/>
            </w:tabs>
            <w:spacing w:before="321" w:after="0" w:line="240" w:lineRule="auto"/>
            <w:ind w:left="884" w:right="0" w:hanging="721"/>
            <w:jc w:val="left"/>
            <w:rPr>
              <w:rFonts w:ascii="Arial" w:eastAsia="Arial"/>
            </w:rPr>
          </w:pPr>
          <w:hyperlink w:anchor="_TOC_250004" w:history="1">
            <w:r>
              <w:t>工艺及设备</w:t>
              <w:tab/>
            </w:r>
            <w:r>
              <w:rPr>
                <w:rFonts w:ascii="Arial" w:eastAsia="Arial"/>
              </w:rPr>
              <w:t>8</w:t>
            </w:r>
          </w:hyperlink>
        </w:p>
        <w:p>
          <w:pPr>
            <w:pStyle w:val="TOC1"/>
            <w:numPr>
              <w:ilvl w:val="0"/>
              <w:numId w:val="6"/>
            </w:numPr>
            <w:tabs>
              <w:tab w:val="left" w:pos="884"/>
              <w:tab w:val="left" w:pos="885"/>
              <w:tab w:val="right" w:leader="dot" w:pos="14298"/>
            </w:tabs>
            <w:spacing w:before="321" w:after="0" w:line="240" w:lineRule="auto"/>
            <w:ind w:left="884" w:right="0" w:hanging="721"/>
            <w:jc w:val="left"/>
            <w:rPr>
              <w:rFonts w:ascii="Arial" w:eastAsia="Arial"/>
            </w:rPr>
          </w:pPr>
          <w:hyperlink w:anchor="_TOC_250003" w:history="1">
            <w:r>
              <w:t>供配电设置</w:t>
              <w:tab/>
            </w:r>
            <w:r>
              <w:rPr>
                <w:rFonts w:ascii="Arial" w:eastAsia="Arial"/>
              </w:rPr>
              <w:t>9</w:t>
            </w:r>
          </w:hyperlink>
        </w:p>
        <w:p>
          <w:pPr>
            <w:pStyle w:val="TOC1"/>
            <w:numPr>
              <w:ilvl w:val="0"/>
              <w:numId w:val="6"/>
            </w:numPr>
            <w:tabs>
              <w:tab w:val="left" w:pos="884"/>
              <w:tab w:val="left" w:pos="885"/>
              <w:tab w:val="right" w:leader="dot" w:pos="14302"/>
            </w:tabs>
            <w:spacing w:before="321" w:after="0" w:line="240" w:lineRule="auto"/>
            <w:ind w:left="884" w:right="0" w:hanging="721"/>
            <w:jc w:val="left"/>
            <w:rPr>
              <w:rFonts w:ascii="Arial" w:eastAsia="Arial"/>
            </w:rPr>
          </w:pPr>
          <w:hyperlink w:anchor="_TOC_250002" w:history="1">
            <w:r>
              <w:t>环境保护与安全生产</w:t>
              <w:tab/>
            </w:r>
            <w:r>
              <w:rPr>
                <w:rFonts w:ascii="Arial" w:eastAsia="Arial"/>
              </w:rPr>
              <w:t>9</w:t>
            </w:r>
          </w:hyperlink>
        </w:p>
        <w:p>
          <w:pPr>
            <w:pStyle w:val="TOC1"/>
            <w:tabs>
              <w:tab w:val="right" w:leader="dot" w:pos="14296"/>
            </w:tabs>
            <w:ind w:left="164" w:firstLine="0"/>
            <w:rPr>
              <w:rFonts w:ascii="Arial" w:eastAsia="Arial"/>
            </w:rPr>
          </w:pPr>
          <w:hyperlink w:anchor="_TOC_250001" w:history="1">
            <w:r>
              <w:t>本规范用词说明</w:t>
              <w:tab/>
            </w:r>
            <w:r>
              <w:rPr>
                <w:rFonts w:ascii="Arial" w:eastAsia="Arial"/>
              </w:rPr>
              <w:t>11</w:t>
            </w:r>
          </w:hyperlink>
        </w:p>
        <w:p>
          <w:pPr>
            <w:pStyle w:val="TOC1"/>
            <w:tabs>
              <w:tab w:val="right" w:leader="dot" w:pos="14303"/>
            </w:tabs>
            <w:ind w:left="164" w:firstLine="0"/>
            <w:rPr>
              <w:rFonts w:ascii="Arial" w:eastAsia="Arial"/>
            </w:rPr>
          </w:pPr>
          <w:r>
            <w:t>附录</w:t>
          </w:r>
          <w:r>
            <w:rPr>
              <w:spacing w:val="-116"/>
            </w:rPr>
            <w:t xml:space="preserve"> </w:t>
          </w:r>
          <w:r>
            <w:t>A</w:t>
          </w:r>
          <w:r>
            <w:rPr>
              <w:spacing w:val="-3"/>
            </w:rPr>
            <w:t xml:space="preserve"> </w:t>
          </w:r>
          <w:r>
            <w:t>清洗间示意图</w:t>
            <w:tab/>
          </w:r>
          <w:r>
            <w:rPr>
              <w:rFonts w:ascii="Arial" w:eastAsia="Arial"/>
            </w:rPr>
            <w:t>13</w:t>
          </w:r>
        </w:p>
        <w:p>
          <w:pPr>
            <w:pStyle w:val="TOC1"/>
            <w:tabs>
              <w:tab w:val="right" w:leader="dot" w:pos="14292"/>
            </w:tabs>
            <w:ind w:left="164" w:firstLine="0"/>
            <w:rPr>
              <w:rFonts w:ascii="Arial" w:eastAsia="Arial"/>
            </w:rPr>
          </w:pPr>
          <w:hyperlink w:anchor="_TOC_250000" w:history="1">
            <w:r>
              <w:t>条文说明</w:t>
              <w:tab/>
            </w:r>
            <w:r>
              <w:rPr>
                <w:rFonts w:ascii="Arial" w:eastAsia="Arial"/>
              </w:rPr>
              <w:t>14</w:t>
            </w:r>
          </w:hyperlink>
        </w:p>
      </w:sdtContent>
    </w:sdt>
    <w:p>
      <w:pPr>
        <w:spacing w:after="0"/>
        <w:rPr>
          <w:rFonts w:ascii="Arial" w:eastAsia="Arial"/>
        </w:rPr>
        <w:sectPr>
          <w:pgSz w:w="17860" w:h="25260"/>
          <w:pgMar w:top="2060" w:right="1220" w:bottom="280" w:left="1960" w:header="708" w:footer="708"/>
          <w:pgNumType w:start="3"/>
          <w:cols w:space="708"/>
        </w:sectPr>
      </w:pPr>
    </w:p>
    <w:p>
      <w:pPr>
        <w:spacing w:before="0" w:line="840" w:lineRule="exact"/>
        <w:ind w:left="1871" w:right="2208" w:firstLine="0"/>
        <w:jc w:val="center"/>
        <w:rPr>
          <w:rFonts w:ascii="黑体" w:eastAsia="黑体" w:hint="eastAsia"/>
          <w:sz w:val="66"/>
        </w:rPr>
      </w:pPr>
      <w:r>
        <w:rPr>
          <w:rFonts w:ascii="黑体" w:eastAsia="黑体" w:hint="eastAsia"/>
          <w:sz w:val="66"/>
        </w:rPr>
        <w:t>城市机动车辆清洗场所设置技术规范</w:t>
      </w:r>
    </w:p>
    <w:p>
      <w:pPr>
        <w:pStyle w:val="Heading1"/>
        <w:numPr>
          <w:ilvl w:val="0"/>
          <w:numId w:val="5"/>
        </w:numPr>
        <w:tabs>
          <w:tab w:val="left" w:pos="981"/>
          <w:tab w:val="left" w:pos="982"/>
        </w:tabs>
        <w:spacing w:before="449" w:after="0" w:line="240" w:lineRule="auto"/>
        <w:ind w:left="982" w:right="0" w:hanging="818"/>
        <w:jc w:val="left"/>
      </w:pPr>
      <w:bookmarkStart w:id="0" w:name="_TOC_250010"/>
      <w:bookmarkEnd w:id="0"/>
      <w:r>
        <w:t>范围</w:t>
      </w:r>
    </w:p>
    <w:p>
      <w:pPr>
        <w:pStyle w:val="BodyText"/>
        <w:spacing w:before="11"/>
        <w:rPr>
          <w:rFonts w:ascii="黑体"/>
          <w:b/>
          <w:sz w:val="47"/>
        </w:rPr>
      </w:pPr>
    </w:p>
    <w:p>
      <w:pPr>
        <w:pStyle w:val="BodyText"/>
        <w:ind w:left="1064"/>
      </w:pPr>
      <w:r>
        <w:t>本规范规定了机动车辆清洗场所设置的技术要求。</w:t>
      </w:r>
    </w:p>
    <w:p>
      <w:pPr>
        <w:pStyle w:val="BodyText"/>
        <w:spacing w:before="359" w:line="388" w:lineRule="auto"/>
        <w:ind w:left="164" w:right="562" w:firstLine="899"/>
        <w:jc w:val="both"/>
      </w:pPr>
      <w:r>
        <w:t>本规范适用于本市主城区的城市建成区和主城区以外的区县（自治县）政府所在地的城市建成区范围内机动车辆清洗场所的设置、运行和管理。</w:t>
      </w:r>
    </w:p>
    <w:p>
      <w:pPr>
        <w:pStyle w:val="Heading1"/>
        <w:numPr>
          <w:ilvl w:val="0"/>
          <w:numId w:val="5"/>
        </w:numPr>
        <w:tabs>
          <w:tab w:val="left" w:pos="981"/>
          <w:tab w:val="left" w:pos="982"/>
        </w:tabs>
        <w:spacing w:before="0" w:after="0" w:line="564" w:lineRule="exact"/>
        <w:ind w:left="982" w:right="0" w:hanging="818"/>
        <w:jc w:val="left"/>
      </w:pPr>
      <w:bookmarkStart w:id="1" w:name="_TOC_250009"/>
      <w:bookmarkEnd w:id="1"/>
      <w:r>
        <w:t>规范性引用文件</w:t>
      </w:r>
    </w:p>
    <w:p>
      <w:pPr>
        <w:pStyle w:val="BodyText"/>
        <w:spacing w:before="11"/>
        <w:rPr>
          <w:rFonts w:ascii="黑体"/>
          <w:b/>
          <w:sz w:val="47"/>
        </w:rPr>
      </w:pPr>
    </w:p>
    <w:p>
      <w:pPr>
        <w:pStyle w:val="BodyText"/>
        <w:spacing w:line="388" w:lineRule="auto"/>
        <w:ind w:left="164" w:right="258" w:firstLine="899"/>
      </w:pPr>
      <w:r>
        <w:rPr>
          <w:spacing w:val="-9"/>
        </w:rPr>
        <w:t xml:space="preserve">下列文件对于本文件的应用是必不可少的。凡是注日期的引用文件， </w:t>
      </w:r>
      <w:r>
        <w:t>仅注日期的版本适用于本文件。凡是不注日期的引用文件，其最新版本</w:t>
      </w:r>
    </w:p>
    <w:p>
      <w:pPr>
        <w:pStyle w:val="BodyText"/>
        <w:spacing w:before="4"/>
        <w:ind w:left="164"/>
      </w:pPr>
      <w:r>
        <w:t>（包括所有的修改单）适用于本文件。</w:t>
      </w:r>
    </w:p>
    <w:p>
      <w:pPr>
        <w:pStyle w:val="BodyText"/>
        <w:rPr>
          <w:sz w:val="20"/>
        </w:rPr>
      </w:pPr>
    </w:p>
    <w:p>
      <w:pPr>
        <w:pStyle w:val="BodyText"/>
        <w:rPr>
          <w:sz w:val="13"/>
        </w:rPr>
      </w:pPr>
    </w:p>
    <w:tbl>
      <w:tblPr>
        <w:tblStyle w:val="TableNormal0"/>
        <w:tblW w:w="0" w:type="auto"/>
        <w:jc w:val="left"/>
        <w:tblInd w:w="1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3"/>
        <w:gridCol w:w="1240"/>
        <w:gridCol w:w="7253"/>
      </w:tblGrid>
      <w:tr>
        <w:tblPrEx>
          <w:tblW w:w="0" w:type="auto"/>
          <w:jc w:val="left"/>
          <w:tblInd w:w="1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3"/>
          <w:jc w:val="left"/>
        </w:trPr>
        <w:tc>
          <w:tcPr>
            <w:tcW w:w="613" w:type="dxa"/>
          </w:tcPr>
          <w:p>
            <w:pPr>
              <w:pStyle w:val="TableParagraph"/>
              <w:spacing w:before="0" w:line="513" w:lineRule="exact"/>
              <w:rPr>
                <w:sz w:val="45"/>
              </w:rPr>
            </w:pPr>
            <w:r>
              <w:rPr>
                <w:sz w:val="45"/>
              </w:rPr>
              <w:t>GA</w:t>
            </w:r>
          </w:p>
        </w:tc>
        <w:tc>
          <w:tcPr>
            <w:tcW w:w="1240" w:type="dxa"/>
          </w:tcPr>
          <w:p>
            <w:pPr>
              <w:pStyle w:val="TableParagraph"/>
              <w:spacing w:before="0" w:line="513" w:lineRule="exact"/>
              <w:ind w:left="112"/>
              <w:rPr>
                <w:sz w:val="45"/>
              </w:rPr>
            </w:pPr>
            <w:r>
              <w:rPr>
                <w:sz w:val="45"/>
              </w:rPr>
              <w:t>802</w:t>
            </w:r>
          </w:p>
        </w:tc>
        <w:tc>
          <w:tcPr>
            <w:tcW w:w="7253" w:type="dxa"/>
          </w:tcPr>
          <w:p>
            <w:pPr>
              <w:pStyle w:val="TableParagraph"/>
              <w:spacing w:before="0" w:line="513" w:lineRule="exact"/>
              <w:ind w:left="0"/>
              <w:rPr>
                <w:sz w:val="45"/>
              </w:rPr>
            </w:pPr>
            <w:r>
              <w:rPr>
                <w:sz w:val="45"/>
              </w:rPr>
              <w:t>机动车类型、术语和定义</w:t>
            </w:r>
          </w:p>
        </w:tc>
      </w:tr>
      <w:tr>
        <w:tblPrEx>
          <w:tblW w:w="0" w:type="auto"/>
          <w:jc w:val="left"/>
          <w:tblInd w:w="1022" w:type="dxa"/>
          <w:tblLayout w:type="fixed"/>
          <w:tblCellMar>
            <w:top w:w="0" w:type="dxa"/>
            <w:left w:w="0" w:type="dxa"/>
            <w:bottom w:w="0" w:type="dxa"/>
            <w:right w:w="0" w:type="dxa"/>
          </w:tblCellMar>
          <w:tblLook w:val="01E0"/>
        </w:tblPrEx>
        <w:trPr>
          <w:trHeight w:val="936"/>
          <w:jc w:val="left"/>
        </w:trPr>
        <w:tc>
          <w:tcPr>
            <w:tcW w:w="613" w:type="dxa"/>
          </w:tcPr>
          <w:p>
            <w:pPr>
              <w:pStyle w:val="TableParagraph"/>
              <w:spacing w:before="180"/>
              <w:rPr>
                <w:sz w:val="45"/>
              </w:rPr>
            </w:pPr>
            <w:r>
              <w:rPr>
                <w:sz w:val="45"/>
              </w:rPr>
              <w:t>GB</w:t>
            </w:r>
          </w:p>
        </w:tc>
        <w:tc>
          <w:tcPr>
            <w:tcW w:w="1240" w:type="dxa"/>
          </w:tcPr>
          <w:p>
            <w:pPr>
              <w:pStyle w:val="TableParagraph"/>
              <w:spacing w:before="180"/>
              <w:ind w:left="112"/>
              <w:rPr>
                <w:sz w:val="45"/>
              </w:rPr>
            </w:pPr>
            <w:r>
              <w:rPr>
                <w:sz w:val="45"/>
              </w:rPr>
              <w:t>50009</w:t>
            </w:r>
          </w:p>
        </w:tc>
        <w:tc>
          <w:tcPr>
            <w:tcW w:w="7253" w:type="dxa"/>
          </w:tcPr>
          <w:p>
            <w:pPr>
              <w:pStyle w:val="TableParagraph"/>
              <w:spacing w:before="180"/>
              <w:ind w:left="450"/>
              <w:rPr>
                <w:sz w:val="45"/>
              </w:rPr>
            </w:pPr>
            <w:r>
              <w:rPr>
                <w:sz w:val="45"/>
              </w:rPr>
              <w:t>建筑结构荷载规范</w:t>
            </w:r>
          </w:p>
        </w:tc>
      </w:tr>
      <w:tr>
        <w:tblPrEx>
          <w:tblW w:w="0" w:type="auto"/>
          <w:jc w:val="left"/>
          <w:tblInd w:w="1022" w:type="dxa"/>
          <w:tblLayout w:type="fixed"/>
          <w:tblCellMar>
            <w:top w:w="0" w:type="dxa"/>
            <w:left w:w="0" w:type="dxa"/>
            <w:bottom w:w="0" w:type="dxa"/>
            <w:right w:w="0" w:type="dxa"/>
          </w:tblCellMar>
          <w:tblLook w:val="01E0"/>
        </w:tblPrEx>
        <w:trPr>
          <w:trHeight w:val="935"/>
          <w:jc w:val="left"/>
        </w:trPr>
        <w:tc>
          <w:tcPr>
            <w:tcW w:w="613" w:type="dxa"/>
          </w:tcPr>
          <w:p>
            <w:pPr>
              <w:pStyle w:val="TableParagraph"/>
              <w:rPr>
                <w:sz w:val="45"/>
              </w:rPr>
            </w:pPr>
            <w:r>
              <w:rPr>
                <w:sz w:val="45"/>
              </w:rPr>
              <w:t>GB</w:t>
            </w:r>
          </w:p>
        </w:tc>
        <w:tc>
          <w:tcPr>
            <w:tcW w:w="1240" w:type="dxa"/>
          </w:tcPr>
          <w:p>
            <w:pPr>
              <w:pStyle w:val="TableParagraph"/>
              <w:ind w:left="112"/>
              <w:rPr>
                <w:sz w:val="45"/>
              </w:rPr>
            </w:pPr>
            <w:r>
              <w:rPr>
                <w:sz w:val="45"/>
              </w:rPr>
              <w:t>50016</w:t>
            </w:r>
          </w:p>
        </w:tc>
        <w:tc>
          <w:tcPr>
            <w:tcW w:w="7253" w:type="dxa"/>
          </w:tcPr>
          <w:p>
            <w:pPr>
              <w:pStyle w:val="TableParagraph"/>
              <w:ind w:left="450"/>
              <w:rPr>
                <w:sz w:val="45"/>
              </w:rPr>
            </w:pPr>
            <w:r>
              <w:rPr>
                <w:sz w:val="45"/>
              </w:rPr>
              <w:t>建筑设计防火规范</w:t>
            </w:r>
          </w:p>
        </w:tc>
      </w:tr>
      <w:tr>
        <w:tblPrEx>
          <w:tblW w:w="0" w:type="auto"/>
          <w:jc w:val="left"/>
          <w:tblInd w:w="1022" w:type="dxa"/>
          <w:tblLayout w:type="fixed"/>
          <w:tblCellMar>
            <w:top w:w="0" w:type="dxa"/>
            <w:left w:w="0" w:type="dxa"/>
            <w:bottom w:w="0" w:type="dxa"/>
            <w:right w:w="0" w:type="dxa"/>
          </w:tblCellMar>
          <w:tblLook w:val="01E0"/>
        </w:tblPrEx>
        <w:trPr>
          <w:trHeight w:val="936"/>
          <w:jc w:val="left"/>
        </w:trPr>
        <w:tc>
          <w:tcPr>
            <w:tcW w:w="613" w:type="dxa"/>
          </w:tcPr>
          <w:p>
            <w:pPr>
              <w:pStyle w:val="TableParagraph"/>
              <w:rPr>
                <w:sz w:val="45"/>
              </w:rPr>
            </w:pPr>
            <w:r>
              <w:rPr>
                <w:sz w:val="45"/>
              </w:rPr>
              <w:t>GB</w:t>
            </w:r>
          </w:p>
        </w:tc>
        <w:tc>
          <w:tcPr>
            <w:tcW w:w="1240" w:type="dxa"/>
          </w:tcPr>
          <w:p>
            <w:pPr>
              <w:pStyle w:val="TableParagraph"/>
              <w:ind w:left="112"/>
              <w:rPr>
                <w:sz w:val="45"/>
              </w:rPr>
            </w:pPr>
            <w:r>
              <w:rPr>
                <w:sz w:val="45"/>
              </w:rPr>
              <w:t>50052</w:t>
            </w:r>
          </w:p>
        </w:tc>
        <w:tc>
          <w:tcPr>
            <w:tcW w:w="7253" w:type="dxa"/>
          </w:tcPr>
          <w:p>
            <w:pPr>
              <w:pStyle w:val="TableParagraph"/>
              <w:ind w:left="450"/>
              <w:rPr>
                <w:sz w:val="45"/>
              </w:rPr>
            </w:pPr>
            <w:r>
              <w:rPr>
                <w:sz w:val="45"/>
              </w:rPr>
              <w:t>供配电系统设计规范</w:t>
            </w:r>
          </w:p>
        </w:tc>
      </w:tr>
      <w:tr>
        <w:tblPrEx>
          <w:tblW w:w="0" w:type="auto"/>
          <w:jc w:val="left"/>
          <w:tblInd w:w="1022" w:type="dxa"/>
          <w:tblLayout w:type="fixed"/>
          <w:tblCellMar>
            <w:top w:w="0" w:type="dxa"/>
            <w:left w:w="0" w:type="dxa"/>
            <w:bottom w:w="0" w:type="dxa"/>
            <w:right w:w="0" w:type="dxa"/>
          </w:tblCellMar>
          <w:tblLook w:val="01E0"/>
        </w:tblPrEx>
        <w:trPr>
          <w:trHeight w:val="935"/>
          <w:jc w:val="left"/>
        </w:trPr>
        <w:tc>
          <w:tcPr>
            <w:tcW w:w="613" w:type="dxa"/>
          </w:tcPr>
          <w:p>
            <w:pPr>
              <w:pStyle w:val="TableParagraph"/>
              <w:rPr>
                <w:sz w:val="45"/>
              </w:rPr>
            </w:pPr>
            <w:r>
              <w:rPr>
                <w:sz w:val="45"/>
              </w:rPr>
              <w:t>GB</w:t>
            </w:r>
          </w:p>
        </w:tc>
        <w:tc>
          <w:tcPr>
            <w:tcW w:w="1240" w:type="dxa"/>
          </w:tcPr>
          <w:p>
            <w:pPr>
              <w:pStyle w:val="TableParagraph"/>
              <w:ind w:left="112"/>
              <w:rPr>
                <w:sz w:val="45"/>
              </w:rPr>
            </w:pPr>
            <w:r>
              <w:rPr>
                <w:sz w:val="45"/>
              </w:rPr>
              <w:t>50057</w:t>
            </w:r>
          </w:p>
        </w:tc>
        <w:tc>
          <w:tcPr>
            <w:tcW w:w="7253" w:type="dxa"/>
          </w:tcPr>
          <w:p>
            <w:pPr>
              <w:pStyle w:val="TableParagraph"/>
              <w:ind w:left="450"/>
              <w:rPr>
                <w:sz w:val="45"/>
              </w:rPr>
            </w:pPr>
            <w:r>
              <w:rPr>
                <w:sz w:val="45"/>
              </w:rPr>
              <w:t>建筑物防雷设计规范</w:t>
            </w:r>
          </w:p>
        </w:tc>
      </w:tr>
      <w:tr>
        <w:tblPrEx>
          <w:tblW w:w="0" w:type="auto"/>
          <w:jc w:val="left"/>
          <w:tblInd w:w="1022" w:type="dxa"/>
          <w:tblLayout w:type="fixed"/>
          <w:tblCellMar>
            <w:top w:w="0" w:type="dxa"/>
            <w:left w:w="0" w:type="dxa"/>
            <w:bottom w:w="0" w:type="dxa"/>
            <w:right w:w="0" w:type="dxa"/>
          </w:tblCellMar>
          <w:tblLook w:val="01E0"/>
        </w:tblPrEx>
        <w:trPr>
          <w:trHeight w:val="936"/>
          <w:jc w:val="left"/>
        </w:trPr>
        <w:tc>
          <w:tcPr>
            <w:tcW w:w="613" w:type="dxa"/>
          </w:tcPr>
          <w:p>
            <w:pPr>
              <w:pStyle w:val="TableParagraph"/>
              <w:rPr>
                <w:sz w:val="45"/>
              </w:rPr>
            </w:pPr>
            <w:r>
              <w:rPr>
                <w:sz w:val="45"/>
              </w:rPr>
              <w:t>GB</w:t>
            </w:r>
          </w:p>
        </w:tc>
        <w:tc>
          <w:tcPr>
            <w:tcW w:w="1240" w:type="dxa"/>
          </w:tcPr>
          <w:p>
            <w:pPr>
              <w:pStyle w:val="TableParagraph"/>
              <w:ind w:left="112"/>
              <w:rPr>
                <w:sz w:val="45"/>
              </w:rPr>
            </w:pPr>
            <w:r>
              <w:rPr>
                <w:sz w:val="45"/>
              </w:rPr>
              <w:t>50194</w:t>
            </w:r>
          </w:p>
        </w:tc>
        <w:tc>
          <w:tcPr>
            <w:tcW w:w="7253" w:type="dxa"/>
          </w:tcPr>
          <w:p>
            <w:pPr>
              <w:pStyle w:val="TableParagraph"/>
              <w:ind w:left="450"/>
              <w:rPr>
                <w:sz w:val="45"/>
              </w:rPr>
            </w:pPr>
            <w:r>
              <w:rPr>
                <w:sz w:val="45"/>
              </w:rPr>
              <w:t>建设工程施工现场供用电安全规范</w:t>
            </w:r>
          </w:p>
        </w:tc>
      </w:tr>
      <w:tr>
        <w:tblPrEx>
          <w:tblW w:w="0" w:type="auto"/>
          <w:jc w:val="left"/>
          <w:tblInd w:w="1022" w:type="dxa"/>
          <w:tblLayout w:type="fixed"/>
          <w:tblCellMar>
            <w:top w:w="0" w:type="dxa"/>
            <w:left w:w="0" w:type="dxa"/>
            <w:bottom w:w="0" w:type="dxa"/>
            <w:right w:w="0" w:type="dxa"/>
          </w:tblCellMar>
          <w:tblLook w:val="01E0"/>
        </w:tblPrEx>
        <w:trPr>
          <w:trHeight w:val="693"/>
          <w:jc w:val="left"/>
        </w:trPr>
        <w:tc>
          <w:tcPr>
            <w:tcW w:w="613" w:type="dxa"/>
          </w:tcPr>
          <w:p>
            <w:pPr>
              <w:pStyle w:val="TableParagraph"/>
              <w:spacing w:before="180" w:line="493" w:lineRule="exact"/>
              <w:rPr>
                <w:sz w:val="45"/>
              </w:rPr>
            </w:pPr>
            <w:r>
              <w:rPr>
                <w:sz w:val="45"/>
              </w:rPr>
              <w:t>GB</w:t>
            </w:r>
          </w:p>
        </w:tc>
        <w:tc>
          <w:tcPr>
            <w:tcW w:w="1240" w:type="dxa"/>
          </w:tcPr>
          <w:p>
            <w:pPr>
              <w:pStyle w:val="TableParagraph"/>
              <w:spacing w:before="180" w:line="493" w:lineRule="exact"/>
              <w:ind w:left="112"/>
              <w:rPr>
                <w:sz w:val="45"/>
              </w:rPr>
            </w:pPr>
            <w:r>
              <w:rPr>
                <w:sz w:val="45"/>
              </w:rPr>
              <w:t>50337</w:t>
            </w:r>
          </w:p>
        </w:tc>
        <w:tc>
          <w:tcPr>
            <w:tcW w:w="7253" w:type="dxa"/>
          </w:tcPr>
          <w:p>
            <w:pPr>
              <w:pStyle w:val="TableParagraph"/>
              <w:spacing w:before="180" w:line="493" w:lineRule="exact"/>
              <w:ind w:left="450"/>
              <w:rPr>
                <w:sz w:val="45"/>
              </w:rPr>
            </w:pPr>
            <w:r>
              <w:rPr>
                <w:sz w:val="45"/>
              </w:rPr>
              <w:t>城市环境卫生设施规划规范</w:t>
            </w:r>
          </w:p>
        </w:tc>
      </w:tr>
    </w:tbl>
    <w:p>
      <w:pPr>
        <w:pStyle w:val="BodyText"/>
        <w:rPr>
          <w:sz w:val="20"/>
        </w:rPr>
      </w:pPr>
    </w:p>
    <w:p>
      <w:pPr>
        <w:pStyle w:val="BodyText"/>
        <w:tabs>
          <w:tab w:val="left" w:pos="1739"/>
          <w:tab w:val="left" w:pos="4002"/>
        </w:tabs>
        <w:spacing w:before="166"/>
        <w:ind w:left="1064"/>
      </w:pPr>
      <w:r>
        <w:t>GB</w:t>
        <w:tab/>
        <w:t>13960.12</w:t>
        <w:tab/>
        <w:t>可移式电动工具的安全 第二部分：高压清洗机的专</w:t>
      </w:r>
    </w:p>
    <w:p>
      <w:pPr>
        <w:pStyle w:val="BodyText"/>
        <w:rPr>
          <w:sz w:val="20"/>
        </w:rPr>
      </w:pPr>
    </w:p>
    <w:p>
      <w:pPr>
        <w:pStyle w:val="BodyText"/>
        <w:rPr>
          <w:sz w:val="13"/>
        </w:rPr>
      </w:pPr>
    </w:p>
    <w:tbl>
      <w:tblPr>
        <w:tblStyle w:val="TableNormal0"/>
        <w:tblW w:w="0" w:type="auto"/>
        <w:jc w:val="left"/>
        <w:tblInd w:w="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12"/>
        <w:gridCol w:w="1464"/>
        <w:gridCol w:w="5677"/>
      </w:tblGrid>
      <w:tr>
        <w:tblPrEx>
          <w:tblW w:w="0" w:type="auto"/>
          <w:jc w:val="left"/>
          <w:tblInd w:w="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2"/>
          <w:jc w:val="left"/>
        </w:trPr>
        <w:tc>
          <w:tcPr>
            <w:tcW w:w="1512" w:type="dxa"/>
          </w:tcPr>
          <w:p>
            <w:pPr>
              <w:pStyle w:val="TableParagraph"/>
              <w:spacing w:before="0" w:line="513" w:lineRule="exact"/>
              <w:ind w:left="0" w:right="111"/>
              <w:jc w:val="right"/>
              <w:rPr>
                <w:sz w:val="45"/>
              </w:rPr>
            </w:pPr>
            <w:r>
              <w:rPr>
                <w:sz w:val="45"/>
              </w:rPr>
              <w:t>用要求</w:t>
            </w:r>
          </w:p>
        </w:tc>
        <w:tc>
          <w:tcPr>
            <w:tcW w:w="7141" w:type="dxa"/>
            <w:gridSpan w:val="2"/>
          </w:tcPr>
          <w:p>
            <w:pPr>
              <w:pStyle w:val="TableParagraph"/>
              <w:spacing w:before="0"/>
              <w:ind w:left="0"/>
              <w:rPr>
                <w:rFonts w:ascii="Times New Roman"/>
                <w:sz w:val="46"/>
              </w:rPr>
            </w:pPr>
          </w:p>
        </w:tc>
      </w:tr>
      <w:tr>
        <w:tblPrEx>
          <w:tblW w:w="0" w:type="auto"/>
          <w:jc w:val="left"/>
          <w:tblInd w:w="122" w:type="dxa"/>
          <w:tblLayout w:type="fixed"/>
          <w:tblCellMar>
            <w:top w:w="0" w:type="dxa"/>
            <w:left w:w="0" w:type="dxa"/>
            <w:bottom w:w="0" w:type="dxa"/>
            <w:right w:w="0" w:type="dxa"/>
          </w:tblCellMar>
          <w:tblLook w:val="01E0"/>
        </w:tblPrEx>
        <w:trPr>
          <w:trHeight w:val="935"/>
          <w:jc w:val="left"/>
        </w:trPr>
        <w:tc>
          <w:tcPr>
            <w:tcW w:w="1512" w:type="dxa"/>
          </w:tcPr>
          <w:p>
            <w:pPr>
              <w:pStyle w:val="TableParagraph"/>
              <w:ind w:left="0" w:right="110"/>
              <w:jc w:val="right"/>
              <w:rPr>
                <w:sz w:val="45"/>
              </w:rPr>
            </w:pPr>
            <w:r>
              <w:rPr>
                <w:sz w:val="45"/>
              </w:rPr>
              <w:t>GB</w:t>
            </w:r>
          </w:p>
        </w:tc>
        <w:tc>
          <w:tcPr>
            <w:tcW w:w="1464" w:type="dxa"/>
          </w:tcPr>
          <w:p>
            <w:pPr>
              <w:pStyle w:val="TableParagraph"/>
              <w:ind w:left="112"/>
              <w:rPr>
                <w:sz w:val="45"/>
              </w:rPr>
            </w:pPr>
            <w:r>
              <w:rPr>
                <w:sz w:val="45"/>
              </w:rPr>
              <w:t>10070</w:t>
            </w:r>
          </w:p>
        </w:tc>
        <w:tc>
          <w:tcPr>
            <w:tcW w:w="5677" w:type="dxa"/>
          </w:tcPr>
          <w:p>
            <w:pPr>
              <w:pStyle w:val="TableParagraph"/>
              <w:ind w:left="227"/>
              <w:rPr>
                <w:sz w:val="45"/>
              </w:rPr>
            </w:pPr>
            <w:r>
              <w:rPr>
                <w:sz w:val="45"/>
              </w:rPr>
              <w:t>城市区域环境振动标准</w:t>
            </w:r>
          </w:p>
        </w:tc>
      </w:tr>
      <w:tr>
        <w:tblPrEx>
          <w:tblW w:w="0" w:type="auto"/>
          <w:jc w:val="left"/>
          <w:tblInd w:w="122" w:type="dxa"/>
          <w:tblLayout w:type="fixed"/>
          <w:tblCellMar>
            <w:top w:w="0" w:type="dxa"/>
            <w:left w:w="0" w:type="dxa"/>
            <w:bottom w:w="0" w:type="dxa"/>
            <w:right w:w="0" w:type="dxa"/>
          </w:tblCellMar>
          <w:tblLook w:val="01E0"/>
        </w:tblPrEx>
        <w:trPr>
          <w:trHeight w:val="693"/>
          <w:jc w:val="left"/>
        </w:trPr>
        <w:tc>
          <w:tcPr>
            <w:tcW w:w="1512" w:type="dxa"/>
          </w:tcPr>
          <w:p>
            <w:pPr>
              <w:pStyle w:val="TableParagraph"/>
              <w:spacing w:line="493" w:lineRule="exact"/>
              <w:ind w:left="0" w:right="110"/>
              <w:jc w:val="right"/>
              <w:rPr>
                <w:sz w:val="45"/>
              </w:rPr>
            </w:pPr>
            <w:r>
              <w:rPr>
                <w:sz w:val="45"/>
              </w:rPr>
              <w:t>GB</w:t>
            </w:r>
          </w:p>
        </w:tc>
        <w:tc>
          <w:tcPr>
            <w:tcW w:w="1464" w:type="dxa"/>
          </w:tcPr>
          <w:p>
            <w:pPr>
              <w:pStyle w:val="TableParagraph"/>
              <w:spacing w:line="493" w:lineRule="exact"/>
              <w:ind w:left="112"/>
              <w:rPr>
                <w:sz w:val="45"/>
              </w:rPr>
            </w:pPr>
            <w:r>
              <w:rPr>
                <w:sz w:val="45"/>
              </w:rPr>
              <w:t>12801</w:t>
            </w:r>
          </w:p>
        </w:tc>
        <w:tc>
          <w:tcPr>
            <w:tcW w:w="5677" w:type="dxa"/>
          </w:tcPr>
          <w:p>
            <w:pPr>
              <w:pStyle w:val="TableParagraph"/>
              <w:spacing w:line="493" w:lineRule="exact"/>
              <w:ind w:left="227"/>
              <w:rPr>
                <w:sz w:val="45"/>
              </w:rPr>
            </w:pPr>
            <w:r>
              <w:rPr>
                <w:sz w:val="45"/>
              </w:rPr>
              <w:t>生产过程安全卫生要求总则</w:t>
            </w:r>
          </w:p>
        </w:tc>
      </w:tr>
    </w:tbl>
    <w:p>
      <w:pPr>
        <w:spacing w:after="0" w:line="493" w:lineRule="exact"/>
        <w:rPr>
          <w:sz w:val="45"/>
        </w:rPr>
        <w:sectPr>
          <w:pgSz w:w="17860" w:h="25260"/>
          <w:pgMar w:top="2060" w:right="1220" w:bottom="280" w:left="1960" w:header="708" w:footer="708"/>
          <w:pgNumType w:start="4"/>
          <w:cols w:space="708"/>
        </w:sectPr>
      </w:pPr>
    </w:p>
    <w:p>
      <w:pPr>
        <w:pStyle w:val="BodyText"/>
        <w:tabs>
          <w:tab w:val="left" w:pos="1739"/>
          <w:tab w:val="left" w:pos="3318"/>
        </w:tabs>
        <w:spacing w:before="20"/>
        <w:ind w:left="1064"/>
      </w:pPr>
      <w:r>
        <w:t>GB</w:t>
        <w:tab/>
        <w:t>12348</w:t>
        <w:tab/>
        <w:t>工业企业厂界环境噪声排放标准</w:t>
      </w:r>
    </w:p>
    <w:p>
      <w:pPr>
        <w:pStyle w:val="BodyText"/>
        <w:tabs>
          <w:tab w:val="left" w:pos="1739"/>
          <w:tab w:val="left" w:pos="3094"/>
        </w:tabs>
        <w:spacing w:before="360"/>
        <w:ind w:left="1064"/>
      </w:pPr>
      <w:r>
        <w:t>GB</w:t>
        <w:tab/>
        <w:t>8978</w:t>
        <w:tab/>
        <w:t>污水综合排放标准</w:t>
      </w:r>
    </w:p>
    <w:p>
      <w:pPr>
        <w:pStyle w:val="BodyText"/>
        <w:tabs>
          <w:tab w:val="left" w:pos="1964"/>
          <w:tab w:val="left" w:pos="2189"/>
          <w:tab w:val="left" w:pos="2644"/>
          <w:tab w:val="left" w:pos="3768"/>
        </w:tabs>
        <w:spacing w:before="359" w:line="388" w:lineRule="auto"/>
        <w:ind w:left="1064" w:right="3934"/>
      </w:pPr>
      <w:r>
        <w:t>GB/T</w:t>
        <w:tab/>
        <w:tab/>
        <w:t>18920</w:t>
        <w:tab/>
        <w:t>城市污水再生利用</w:t>
      </w:r>
      <w:r>
        <w:rPr>
          <w:spacing w:val="-2"/>
        </w:rPr>
        <w:t xml:space="preserve"> </w:t>
      </w:r>
      <w:r>
        <w:t>城市杂用水水</w:t>
      </w:r>
      <w:r>
        <w:rPr>
          <w:spacing w:val="-16"/>
        </w:rPr>
        <w:t>质</w:t>
      </w:r>
      <w:r>
        <w:t>GBZ</w:t>
        <w:tab/>
        <w:t>1</w:t>
        <w:tab/>
        <w:tab/>
        <w:t>工业企业设计卫生标准</w:t>
      </w:r>
    </w:p>
    <w:p>
      <w:pPr>
        <w:pStyle w:val="BodyText"/>
        <w:tabs>
          <w:tab w:val="left" w:pos="1739"/>
          <w:tab w:val="left" w:pos="2868"/>
        </w:tabs>
        <w:spacing w:before="4"/>
        <w:ind w:left="1064"/>
      </w:pPr>
      <w:r>
        <w:t>CJ</w:t>
        <w:tab/>
        <w:t>343</w:t>
        <w:tab/>
        <w:t>污水排入城镇下水道水质标准</w:t>
      </w:r>
    </w:p>
    <w:p>
      <w:pPr>
        <w:pStyle w:val="BodyText"/>
        <w:tabs>
          <w:tab w:val="left" w:pos="1964"/>
          <w:tab w:val="left" w:pos="2868"/>
        </w:tabs>
        <w:spacing w:before="359"/>
        <w:ind w:left="1064"/>
      </w:pPr>
      <w:r>
        <w:t>CJJ</w:t>
        <w:tab/>
        <w:t>71</w:t>
        <w:tab/>
        <w:t>机动车清洗站技术规范</w:t>
      </w:r>
    </w:p>
    <w:p>
      <w:pPr>
        <w:pStyle w:val="BodyText"/>
        <w:tabs>
          <w:tab w:val="left" w:pos="1964"/>
          <w:tab w:val="left" w:pos="2868"/>
        </w:tabs>
        <w:spacing w:before="361"/>
        <w:ind w:left="1064"/>
      </w:pPr>
      <w:r>
        <w:t>CJJ</w:t>
        <w:tab/>
        <w:t>27</w:t>
        <w:tab/>
        <w:t>城市环境卫生设施设置标准</w:t>
      </w:r>
    </w:p>
    <w:p>
      <w:pPr>
        <w:pStyle w:val="BodyText"/>
        <w:tabs>
          <w:tab w:val="left" w:pos="1964"/>
          <w:tab w:val="left" w:pos="2414"/>
          <w:tab w:val="left" w:pos="3094"/>
          <w:tab w:val="left" w:pos="3318"/>
        </w:tabs>
        <w:spacing w:before="359" w:line="388" w:lineRule="auto"/>
        <w:ind w:left="1064" w:right="6859"/>
      </w:pPr>
      <w:r>
        <w:t>CJJ/T</w:t>
        <w:tab/>
        <w:t>65</w:t>
        <w:tab/>
        <w:tab/>
        <w:t>市容环境卫生术语标</w:t>
      </w:r>
      <w:r>
        <w:rPr>
          <w:spacing w:val="-18"/>
        </w:rPr>
        <w:t>准</w:t>
      </w:r>
      <w:r>
        <w:t>JTG</w:t>
        <w:tab/>
        <w:t>D20</w:t>
        <w:tab/>
        <w:t>公路路线设计规范</w:t>
      </w:r>
    </w:p>
    <w:p>
      <w:pPr>
        <w:pStyle w:val="BodyText"/>
        <w:tabs>
          <w:tab w:val="left" w:pos="1964"/>
          <w:tab w:val="left" w:pos="3768"/>
        </w:tabs>
        <w:spacing w:before="4"/>
        <w:ind w:left="1064"/>
      </w:pPr>
      <w:r>
        <w:t>DBJ</w:t>
        <w:tab/>
        <w:t>50-064</w:t>
        <w:tab/>
        <w:t>重庆市城市道路交通规划及路线设计规范</w:t>
      </w:r>
    </w:p>
    <w:p>
      <w:pPr>
        <w:pStyle w:val="BodyText"/>
        <w:spacing w:before="360" w:line="388" w:lineRule="auto"/>
        <w:ind w:left="1064" w:right="1118"/>
      </w:pPr>
      <w:r>
        <w:t>重庆市主城区市政设施容貌管理导则（渝市政委[2010]374</w:t>
      </w:r>
      <w:r>
        <w:rPr>
          <w:spacing w:val="-53"/>
        </w:rPr>
        <w:t xml:space="preserve"> 号</w:t>
      </w:r>
      <w:r>
        <w:rPr>
          <w:spacing w:val="-17"/>
        </w:rPr>
        <w:t xml:space="preserve">） </w:t>
      </w:r>
      <w:r>
        <w:t>重庆市市容环境卫生管理条例</w:t>
      </w:r>
    </w:p>
    <w:p>
      <w:pPr>
        <w:pStyle w:val="BodyText"/>
        <w:spacing w:before="4" w:line="388" w:lineRule="auto"/>
        <w:ind w:left="1064" w:right="895"/>
      </w:pPr>
      <w:r>
        <w:t>重庆市城市风貌特色规划设计暂行规定（渝规发〔2010〕16</w:t>
      </w:r>
      <w:r>
        <w:rPr>
          <w:spacing w:val="-54"/>
        </w:rPr>
        <w:t xml:space="preserve"> 号</w:t>
      </w:r>
      <w:r>
        <w:rPr>
          <w:spacing w:val="-17"/>
        </w:rPr>
        <w:t xml:space="preserve">） </w:t>
      </w:r>
      <w:r>
        <w:t>重庆市城市排水设施管理办法</w:t>
      </w:r>
    </w:p>
    <w:p>
      <w:pPr>
        <w:pStyle w:val="Heading1"/>
        <w:numPr>
          <w:ilvl w:val="0"/>
          <w:numId w:val="5"/>
        </w:numPr>
        <w:tabs>
          <w:tab w:val="left" w:pos="981"/>
          <w:tab w:val="left" w:pos="982"/>
        </w:tabs>
        <w:spacing w:before="0" w:after="0" w:line="561" w:lineRule="exact"/>
        <w:ind w:left="982" w:right="0" w:hanging="818"/>
        <w:jc w:val="left"/>
      </w:pPr>
      <w:bookmarkStart w:id="2" w:name="_TOC_250008"/>
      <w:bookmarkEnd w:id="2"/>
      <w:r>
        <w:t>术语和定义</w:t>
      </w:r>
    </w:p>
    <w:p>
      <w:pPr>
        <w:pStyle w:val="BodyText"/>
        <w:spacing w:before="11"/>
        <w:rPr>
          <w:rFonts w:ascii="黑体"/>
          <w:b/>
          <w:sz w:val="47"/>
        </w:rPr>
      </w:pPr>
    </w:p>
    <w:p>
      <w:pPr>
        <w:pStyle w:val="BodyText"/>
        <w:ind w:left="1064"/>
      </w:pPr>
      <w:r>
        <w:t>下列术语和定义适用于本标准。</w:t>
      </w:r>
    </w:p>
    <w:p>
      <w:pPr>
        <w:pStyle w:val="ListParagraph"/>
        <w:numPr>
          <w:ilvl w:val="1"/>
          <w:numId w:val="5"/>
        </w:numPr>
        <w:tabs>
          <w:tab w:val="left" w:pos="1065"/>
        </w:tabs>
        <w:spacing w:before="360" w:after="0" w:line="240" w:lineRule="auto"/>
        <w:ind w:left="1064" w:right="0" w:hanging="901"/>
        <w:jc w:val="left"/>
        <w:rPr>
          <w:rFonts w:ascii="黑体" w:eastAsia="黑体" w:hint="eastAsia"/>
          <w:b w:val="0"/>
          <w:sz w:val="45"/>
        </w:rPr>
      </w:pPr>
      <w:r>
        <w:rPr>
          <w:rFonts w:ascii="黑体" w:eastAsia="黑体" w:hint="eastAsia"/>
          <w:spacing w:val="-17"/>
          <w:sz w:val="45"/>
        </w:rPr>
        <w:t xml:space="preserve">机动车辆清洗场所 </w:t>
      </w:r>
      <w:r>
        <w:rPr>
          <w:rFonts w:ascii="Bookman Old Style" w:eastAsia="Bookman Old Style"/>
          <w:b w:val="0"/>
          <w:sz w:val="45"/>
        </w:rPr>
        <w:t>automotive</w:t>
      </w:r>
      <w:r>
        <w:rPr>
          <w:rFonts w:ascii="Bookman Old Style" w:eastAsia="Bookman Old Style"/>
          <w:b w:val="0"/>
          <w:spacing w:val="-67"/>
          <w:sz w:val="45"/>
        </w:rPr>
        <w:t xml:space="preserve"> </w:t>
      </w:r>
      <w:r>
        <w:rPr>
          <w:rFonts w:ascii="Bookman Old Style" w:eastAsia="Bookman Old Style"/>
          <w:b w:val="0"/>
          <w:sz w:val="45"/>
        </w:rPr>
        <w:t>vehicle</w:t>
      </w:r>
      <w:r>
        <w:rPr>
          <w:rFonts w:ascii="Bookman Old Style" w:eastAsia="Bookman Old Style"/>
          <w:b w:val="0"/>
          <w:spacing w:val="-67"/>
          <w:sz w:val="45"/>
        </w:rPr>
        <w:t xml:space="preserve"> </w:t>
      </w:r>
      <w:r>
        <w:rPr>
          <w:rFonts w:ascii="Bookman Old Style" w:eastAsia="Bookman Old Style"/>
          <w:b w:val="0"/>
          <w:sz w:val="45"/>
        </w:rPr>
        <w:t>washing</w:t>
      </w:r>
      <w:r>
        <w:rPr>
          <w:rFonts w:ascii="Bookman Old Style" w:eastAsia="Bookman Old Style"/>
          <w:b w:val="0"/>
          <w:spacing w:val="-68"/>
          <w:sz w:val="45"/>
        </w:rPr>
        <w:t xml:space="preserve"> </w:t>
      </w:r>
      <w:r>
        <w:rPr>
          <w:rFonts w:ascii="Bookman Old Style" w:eastAsia="Bookman Old Style"/>
          <w:b w:val="0"/>
          <w:sz w:val="45"/>
        </w:rPr>
        <w:t>station</w:t>
      </w:r>
    </w:p>
    <w:p>
      <w:pPr>
        <w:pStyle w:val="BodyText"/>
        <w:spacing w:before="360"/>
        <w:ind w:left="1064"/>
      </w:pPr>
      <w:r>
        <w:t>指为机动车辆提供清洗和保洁服务的场所。</w:t>
      </w:r>
    </w:p>
    <w:p>
      <w:pPr>
        <w:pStyle w:val="ListParagraph"/>
        <w:numPr>
          <w:ilvl w:val="1"/>
          <w:numId w:val="5"/>
        </w:numPr>
        <w:tabs>
          <w:tab w:val="left" w:pos="1065"/>
        </w:tabs>
        <w:spacing w:before="359" w:after="0" w:line="240" w:lineRule="auto"/>
        <w:ind w:left="1064" w:right="0" w:hanging="901"/>
        <w:jc w:val="left"/>
        <w:rPr>
          <w:rFonts w:ascii="黑体" w:eastAsia="黑体" w:hint="eastAsia"/>
          <w:b w:val="0"/>
          <w:sz w:val="45"/>
        </w:rPr>
      </w:pPr>
      <w:r>
        <w:rPr>
          <w:rFonts w:ascii="黑体" w:eastAsia="黑体" w:hint="eastAsia"/>
          <w:spacing w:val="-12"/>
          <w:sz w:val="45"/>
        </w:rPr>
        <w:t xml:space="preserve">机械化洗车 </w:t>
      </w:r>
      <w:r>
        <w:rPr>
          <w:rFonts w:ascii="Bookman Old Style" w:eastAsia="Bookman Old Style"/>
          <w:b w:val="0"/>
          <w:sz w:val="45"/>
        </w:rPr>
        <w:t>mechanized</w:t>
      </w:r>
      <w:r>
        <w:rPr>
          <w:rFonts w:ascii="Bookman Old Style" w:eastAsia="Bookman Old Style"/>
          <w:b w:val="0"/>
          <w:spacing w:val="-66"/>
          <w:sz w:val="45"/>
        </w:rPr>
        <w:t xml:space="preserve"> </w:t>
      </w:r>
      <w:r>
        <w:rPr>
          <w:rFonts w:ascii="Bookman Old Style" w:eastAsia="Bookman Old Style"/>
          <w:b w:val="0"/>
          <w:sz w:val="45"/>
        </w:rPr>
        <w:t>vehicle</w:t>
      </w:r>
      <w:r>
        <w:rPr>
          <w:rFonts w:ascii="Bookman Old Style" w:eastAsia="Bookman Old Style"/>
          <w:b w:val="0"/>
          <w:spacing w:val="-66"/>
          <w:sz w:val="45"/>
        </w:rPr>
        <w:t xml:space="preserve"> </w:t>
      </w:r>
      <w:r>
        <w:rPr>
          <w:rFonts w:ascii="Bookman Old Style" w:eastAsia="Bookman Old Style"/>
          <w:b w:val="0"/>
          <w:sz w:val="45"/>
        </w:rPr>
        <w:t>washing</w:t>
      </w:r>
      <w:r>
        <w:rPr>
          <w:rFonts w:ascii="Bookman Old Style" w:eastAsia="Bookman Old Style"/>
          <w:b w:val="0"/>
          <w:spacing w:val="-66"/>
          <w:sz w:val="45"/>
        </w:rPr>
        <w:t xml:space="preserve"> </w:t>
      </w:r>
      <w:r>
        <w:rPr>
          <w:rFonts w:ascii="Bookman Old Style" w:eastAsia="Bookman Old Style"/>
          <w:b w:val="0"/>
          <w:sz w:val="45"/>
        </w:rPr>
        <w:t>technology</w:t>
      </w:r>
    </w:p>
    <w:p>
      <w:pPr>
        <w:pStyle w:val="BodyText"/>
        <w:spacing w:before="360" w:line="388" w:lineRule="auto"/>
        <w:ind w:left="164" w:right="564" w:firstLine="899"/>
      </w:pPr>
      <w:r>
        <w:t>指车辆驶入自动洗车设备，由电脑自动控制，通过输送带带动完成车辆的冲水、清洗、烘干等一系列程序的洗车方式。</w:t>
      </w:r>
    </w:p>
    <w:p>
      <w:pPr>
        <w:pStyle w:val="ListParagraph"/>
        <w:numPr>
          <w:ilvl w:val="1"/>
          <w:numId w:val="5"/>
        </w:numPr>
        <w:tabs>
          <w:tab w:val="left" w:pos="1065"/>
        </w:tabs>
        <w:spacing w:before="4" w:after="0" w:line="240" w:lineRule="auto"/>
        <w:ind w:left="1064" w:right="0" w:hanging="901"/>
        <w:jc w:val="left"/>
        <w:rPr>
          <w:rFonts w:ascii="黑体" w:eastAsia="黑体" w:hint="eastAsia"/>
          <w:b w:val="0"/>
          <w:sz w:val="45"/>
        </w:rPr>
      </w:pPr>
      <w:r>
        <w:rPr>
          <w:rFonts w:ascii="黑体" w:eastAsia="黑体" w:hint="eastAsia"/>
          <w:spacing w:val="-17"/>
          <w:sz w:val="45"/>
        </w:rPr>
        <w:t xml:space="preserve">半机械化洗车 </w:t>
      </w:r>
      <w:r>
        <w:rPr>
          <w:rFonts w:ascii="Bookman Old Style" w:eastAsia="Bookman Old Style"/>
          <w:b w:val="0"/>
          <w:sz w:val="45"/>
        </w:rPr>
        <w:t>semi-mechanized</w:t>
      </w:r>
      <w:r>
        <w:rPr>
          <w:rFonts w:ascii="Bookman Old Style" w:eastAsia="Bookman Old Style"/>
          <w:b w:val="0"/>
          <w:spacing w:val="-90"/>
          <w:sz w:val="45"/>
        </w:rPr>
        <w:t xml:space="preserve"> </w:t>
      </w:r>
      <w:r>
        <w:rPr>
          <w:rFonts w:ascii="Bookman Old Style" w:eastAsia="Bookman Old Style"/>
          <w:b w:val="0"/>
          <w:sz w:val="45"/>
        </w:rPr>
        <w:t>vehicle</w:t>
      </w:r>
      <w:r>
        <w:rPr>
          <w:rFonts w:ascii="Bookman Old Style" w:eastAsia="Bookman Old Style"/>
          <w:b w:val="0"/>
          <w:spacing w:val="-90"/>
          <w:sz w:val="45"/>
        </w:rPr>
        <w:t xml:space="preserve"> </w:t>
      </w:r>
      <w:r>
        <w:rPr>
          <w:rFonts w:ascii="Bookman Old Style" w:eastAsia="Bookman Old Style"/>
          <w:b w:val="0"/>
          <w:sz w:val="45"/>
        </w:rPr>
        <w:t>washing</w:t>
      </w:r>
      <w:r>
        <w:rPr>
          <w:rFonts w:ascii="Bookman Old Style" w:eastAsia="Bookman Old Style"/>
          <w:b w:val="0"/>
          <w:spacing w:val="-91"/>
          <w:sz w:val="45"/>
        </w:rPr>
        <w:t xml:space="preserve"> </w:t>
      </w:r>
      <w:r>
        <w:rPr>
          <w:rFonts w:ascii="Bookman Old Style" w:eastAsia="Bookman Old Style"/>
          <w:b w:val="0"/>
          <w:sz w:val="45"/>
        </w:rPr>
        <w:t>technology</w:t>
      </w:r>
    </w:p>
    <w:p>
      <w:pPr>
        <w:spacing w:after="0" w:line="240" w:lineRule="auto"/>
        <w:jc w:val="left"/>
        <w:rPr>
          <w:rFonts w:ascii="黑体" w:eastAsia="黑体" w:hint="eastAsia"/>
          <w:sz w:val="45"/>
        </w:rPr>
        <w:sectPr>
          <w:pgSz w:w="17860" w:h="25260"/>
          <w:pgMar w:top="1880" w:right="1220" w:bottom="280" w:left="1960" w:header="708" w:footer="708"/>
          <w:pgNumType w:start="5"/>
          <w:cols w:space="708"/>
        </w:sectPr>
      </w:pPr>
    </w:p>
    <w:p>
      <w:pPr>
        <w:pStyle w:val="BodyText"/>
        <w:spacing w:before="20"/>
        <w:ind w:left="1064"/>
      </w:pPr>
      <w:r>
        <w:t>指由人工辅助配合半自动清洗设备进行洗车的方式。</w:t>
      </w:r>
    </w:p>
    <w:p>
      <w:pPr>
        <w:pStyle w:val="ListParagraph"/>
        <w:numPr>
          <w:ilvl w:val="1"/>
          <w:numId w:val="5"/>
        </w:numPr>
        <w:tabs>
          <w:tab w:val="left" w:pos="1065"/>
        </w:tabs>
        <w:spacing w:before="360" w:after="0" w:line="240" w:lineRule="auto"/>
        <w:ind w:left="1064" w:right="0" w:hanging="901"/>
        <w:jc w:val="left"/>
        <w:rPr>
          <w:rFonts w:ascii="黑体" w:eastAsia="黑体" w:hint="eastAsia"/>
          <w:b w:val="0"/>
          <w:sz w:val="45"/>
        </w:rPr>
      </w:pPr>
      <w:r>
        <w:rPr>
          <w:rFonts w:ascii="黑体" w:eastAsia="黑体" w:hint="eastAsia"/>
          <w:spacing w:val="-20"/>
          <w:w w:val="90"/>
          <w:sz w:val="45"/>
        </w:rPr>
        <w:t xml:space="preserve">微水洗车 </w:t>
      </w:r>
      <w:r>
        <w:rPr>
          <w:rFonts w:ascii="Bookman Old Style" w:eastAsia="Bookman Old Style"/>
          <w:b w:val="0"/>
          <w:w w:val="90"/>
          <w:sz w:val="45"/>
        </w:rPr>
        <w:t>micro-water</w:t>
      </w:r>
      <w:r>
        <w:rPr>
          <w:rFonts w:ascii="Bookman Old Style" w:eastAsia="Bookman Old Style"/>
          <w:b w:val="0"/>
          <w:spacing w:val="-78"/>
          <w:w w:val="90"/>
          <w:sz w:val="45"/>
        </w:rPr>
        <w:t xml:space="preserve"> </w:t>
      </w:r>
      <w:r>
        <w:rPr>
          <w:rFonts w:ascii="Bookman Old Style" w:eastAsia="Bookman Old Style"/>
          <w:b w:val="0"/>
          <w:w w:val="90"/>
          <w:sz w:val="45"/>
        </w:rPr>
        <w:t>vehicle</w:t>
      </w:r>
      <w:r>
        <w:rPr>
          <w:rFonts w:ascii="Bookman Old Style" w:eastAsia="Bookman Old Style"/>
          <w:b w:val="0"/>
          <w:spacing w:val="-79"/>
          <w:w w:val="90"/>
          <w:sz w:val="45"/>
        </w:rPr>
        <w:t xml:space="preserve"> </w:t>
      </w:r>
      <w:r>
        <w:rPr>
          <w:rFonts w:ascii="Bookman Old Style" w:eastAsia="Bookman Old Style"/>
          <w:b w:val="0"/>
          <w:w w:val="90"/>
          <w:sz w:val="45"/>
        </w:rPr>
        <w:t>washing</w:t>
      </w:r>
      <w:r>
        <w:rPr>
          <w:rFonts w:ascii="Bookman Old Style" w:eastAsia="Bookman Old Style"/>
          <w:b w:val="0"/>
          <w:spacing w:val="-78"/>
          <w:w w:val="90"/>
          <w:sz w:val="45"/>
        </w:rPr>
        <w:t xml:space="preserve"> </w:t>
      </w:r>
      <w:r>
        <w:rPr>
          <w:rFonts w:ascii="Bookman Old Style" w:eastAsia="Bookman Old Style"/>
          <w:b w:val="0"/>
          <w:w w:val="90"/>
          <w:sz w:val="45"/>
        </w:rPr>
        <w:t>technology</w:t>
      </w:r>
    </w:p>
    <w:p>
      <w:pPr>
        <w:pStyle w:val="BodyText"/>
        <w:spacing w:before="359" w:line="388" w:lineRule="auto"/>
        <w:ind w:left="164" w:right="564" w:firstLine="899"/>
      </w:pPr>
      <w:r>
        <w:t>指将少量的水充分加压雾化后，利用高压雾化水对车辆进行喷雾清洗，以高速气流结合水雾两相流的洗车方式。</w:t>
      </w:r>
    </w:p>
    <w:p>
      <w:pPr>
        <w:pStyle w:val="ListParagraph"/>
        <w:numPr>
          <w:ilvl w:val="1"/>
          <w:numId w:val="5"/>
        </w:numPr>
        <w:tabs>
          <w:tab w:val="left" w:pos="1065"/>
        </w:tabs>
        <w:spacing w:before="4" w:after="0" w:line="240" w:lineRule="auto"/>
        <w:ind w:left="1064" w:right="0" w:hanging="901"/>
        <w:jc w:val="left"/>
        <w:rPr>
          <w:rFonts w:ascii="黑体" w:eastAsia="黑体" w:hint="eastAsia"/>
          <w:b w:val="0"/>
          <w:sz w:val="45"/>
        </w:rPr>
      </w:pPr>
      <w:r>
        <w:rPr>
          <w:rFonts w:ascii="黑体" w:eastAsia="黑体" w:hint="eastAsia"/>
          <w:spacing w:val="-10"/>
          <w:sz w:val="45"/>
        </w:rPr>
        <w:t xml:space="preserve">无水洗车 </w:t>
      </w:r>
      <w:r>
        <w:rPr>
          <w:rFonts w:ascii="Bookman Old Style" w:eastAsia="Bookman Old Style"/>
          <w:b w:val="0"/>
          <w:sz w:val="45"/>
        </w:rPr>
        <w:t>waterless</w:t>
      </w:r>
      <w:r>
        <w:rPr>
          <w:rFonts w:ascii="Bookman Old Style" w:eastAsia="Bookman Old Style"/>
          <w:b w:val="0"/>
          <w:spacing w:val="-58"/>
          <w:sz w:val="45"/>
        </w:rPr>
        <w:t xml:space="preserve"> </w:t>
      </w:r>
      <w:r>
        <w:rPr>
          <w:rFonts w:ascii="Bookman Old Style" w:eastAsia="Bookman Old Style"/>
          <w:b w:val="0"/>
          <w:sz w:val="45"/>
        </w:rPr>
        <w:t>vehicle</w:t>
      </w:r>
      <w:r>
        <w:rPr>
          <w:rFonts w:ascii="Bookman Old Style" w:eastAsia="Bookman Old Style"/>
          <w:b w:val="0"/>
          <w:spacing w:val="-58"/>
          <w:sz w:val="45"/>
        </w:rPr>
        <w:t xml:space="preserve"> </w:t>
      </w:r>
      <w:r>
        <w:rPr>
          <w:rFonts w:ascii="Bookman Old Style" w:eastAsia="Bookman Old Style"/>
          <w:b w:val="0"/>
          <w:sz w:val="45"/>
        </w:rPr>
        <w:t>washing</w:t>
      </w:r>
      <w:r>
        <w:rPr>
          <w:rFonts w:ascii="Bookman Old Style" w:eastAsia="Bookman Old Style"/>
          <w:b w:val="0"/>
          <w:spacing w:val="-59"/>
          <w:sz w:val="45"/>
        </w:rPr>
        <w:t xml:space="preserve"> </w:t>
      </w:r>
      <w:r>
        <w:rPr>
          <w:rFonts w:ascii="Bookman Old Style" w:eastAsia="Bookman Old Style"/>
          <w:b w:val="0"/>
          <w:sz w:val="45"/>
        </w:rPr>
        <w:t>technology</w:t>
      </w:r>
    </w:p>
    <w:p>
      <w:pPr>
        <w:pStyle w:val="BodyText"/>
        <w:spacing w:before="359" w:line="391" w:lineRule="auto"/>
        <w:ind w:left="164" w:right="564" w:firstLine="899"/>
      </w:pPr>
      <w:r>
        <w:t>指使用化学清洁剂对汽车进行清洗，同时使汽车漆面得到上光、复膜、护理的洗车方式。</w:t>
      </w:r>
    </w:p>
    <w:p>
      <w:pPr>
        <w:pStyle w:val="ListParagraph"/>
        <w:numPr>
          <w:ilvl w:val="1"/>
          <w:numId w:val="5"/>
        </w:numPr>
        <w:tabs>
          <w:tab w:val="left" w:pos="1065"/>
        </w:tabs>
        <w:spacing w:before="0" w:after="0" w:line="570" w:lineRule="exact"/>
        <w:ind w:left="1064" w:right="0" w:hanging="901"/>
        <w:jc w:val="left"/>
        <w:rPr>
          <w:rFonts w:ascii="黑体" w:eastAsia="黑体" w:hint="eastAsia"/>
          <w:b w:val="0"/>
          <w:sz w:val="45"/>
        </w:rPr>
      </w:pPr>
      <w:r>
        <w:rPr>
          <w:rFonts w:ascii="黑体" w:eastAsia="黑体" w:hint="eastAsia"/>
          <w:spacing w:val="-10"/>
          <w:w w:val="95"/>
          <w:sz w:val="45"/>
        </w:rPr>
        <w:t xml:space="preserve">循环水洗车 </w:t>
      </w:r>
      <w:r>
        <w:rPr>
          <w:rFonts w:ascii="Bookman Old Style" w:eastAsia="Bookman Old Style"/>
          <w:b w:val="0"/>
          <w:w w:val="95"/>
          <w:sz w:val="45"/>
        </w:rPr>
        <w:t>vehicle</w:t>
      </w:r>
      <w:r>
        <w:rPr>
          <w:rFonts w:ascii="Bookman Old Style" w:eastAsia="Bookman Old Style"/>
          <w:b w:val="0"/>
          <w:spacing w:val="-58"/>
          <w:w w:val="95"/>
          <w:sz w:val="45"/>
        </w:rPr>
        <w:t xml:space="preserve"> </w:t>
      </w:r>
      <w:r>
        <w:rPr>
          <w:rFonts w:ascii="Bookman Old Style" w:eastAsia="Bookman Old Style"/>
          <w:b w:val="0"/>
          <w:w w:val="95"/>
          <w:sz w:val="45"/>
        </w:rPr>
        <w:t>washing</w:t>
      </w:r>
      <w:r>
        <w:rPr>
          <w:rFonts w:ascii="Bookman Old Style" w:eastAsia="Bookman Old Style"/>
          <w:b w:val="0"/>
          <w:spacing w:val="-58"/>
          <w:w w:val="95"/>
          <w:sz w:val="45"/>
        </w:rPr>
        <w:t xml:space="preserve"> </w:t>
      </w:r>
      <w:r>
        <w:rPr>
          <w:rFonts w:ascii="Bookman Old Style" w:eastAsia="Bookman Old Style"/>
          <w:b w:val="0"/>
          <w:w w:val="95"/>
          <w:sz w:val="45"/>
        </w:rPr>
        <w:t>technology</w:t>
      </w:r>
      <w:r>
        <w:rPr>
          <w:rFonts w:ascii="Bookman Old Style" w:eastAsia="Bookman Old Style"/>
          <w:b w:val="0"/>
          <w:spacing w:val="-59"/>
          <w:w w:val="95"/>
          <w:sz w:val="45"/>
        </w:rPr>
        <w:t xml:space="preserve"> </w:t>
      </w:r>
      <w:r>
        <w:rPr>
          <w:rFonts w:ascii="Bookman Old Style" w:eastAsia="Bookman Old Style"/>
          <w:b w:val="0"/>
          <w:w w:val="95"/>
          <w:sz w:val="45"/>
        </w:rPr>
        <w:t>with</w:t>
      </w:r>
      <w:r>
        <w:rPr>
          <w:rFonts w:ascii="Bookman Old Style" w:eastAsia="Bookman Old Style"/>
          <w:b w:val="0"/>
          <w:spacing w:val="-58"/>
          <w:w w:val="95"/>
          <w:sz w:val="45"/>
        </w:rPr>
        <w:t xml:space="preserve"> </w:t>
      </w:r>
      <w:r>
        <w:rPr>
          <w:rFonts w:ascii="Bookman Old Style" w:eastAsia="Bookman Old Style"/>
          <w:b w:val="0"/>
          <w:w w:val="95"/>
          <w:sz w:val="45"/>
        </w:rPr>
        <w:t>recycling</w:t>
      </w:r>
      <w:r>
        <w:rPr>
          <w:rFonts w:ascii="Bookman Old Style" w:eastAsia="Bookman Old Style"/>
          <w:b w:val="0"/>
          <w:spacing w:val="-58"/>
          <w:w w:val="95"/>
          <w:sz w:val="45"/>
        </w:rPr>
        <w:t xml:space="preserve"> </w:t>
      </w:r>
      <w:r>
        <w:rPr>
          <w:rFonts w:ascii="Bookman Old Style" w:eastAsia="Bookman Old Style"/>
          <w:b w:val="0"/>
          <w:w w:val="95"/>
          <w:sz w:val="45"/>
        </w:rPr>
        <w:t>water</w:t>
      </w:r>
    </w:p>
    <w:p>
      <w:pPr>
        <w:pStyle w:val="BodyText"/>
        <w:spacing w:before="360" w:line="388" w:lineRule="auto"/>
        <w:ind w:left="164" w:right="564" w:firstLine="899"/>
      </w:pPr>
      <w:r>
        <w:t>指以水为主要清洗介质，采用机械或半机械洗车系统，洗车用水循环使用的洗车方式。</w:t>
      </w:r>
    </w:p>
    <w:p>
      <w:pPr>
        <w:pStyle w:val="Heading1"/>
        <w:numPr>
          <w:ilvl w:val="0"/>
          <w:numId w:val="5"/>
        </w:numPr>
        <w:tabs>
          <w:tab w:val="left" w:pos="981"/>
          <w:tab w:val="left" w:pos="982"/>
        </w:tabs>
        <w:spacing w:before="0" w:after="0" w:line="561" w:lineRule="exact"/>
        <w:ind w:left="982" w:right="0" w:hanging="818"/>
        <w:jc w:val="left"/>
      </w:pPr>
      <w:bookmarkStart w:id="3" w:name="_TOC_250007"/>
      <w:bookmarkEnd w:id="3"/>
      <w:r>
        <w:t>分类</w:t>
      </w:r>
    </w:p>
    <w:p>
      <w:pPr>
        <w:pStyle w:val="BodyText"/>
        <w:spacing w:before="11"/>
        <w:rPr>
          <w:rFonts w:ascii="黑体"/>
          <w:b/>
          <w:sz w:val="47"/>
        </w:rPr>
      </w:pPr>
    </w:p>
    <w:p>
      <w:pPr>
        <w:pStyle w:val="ListParagraph"/>
        <w:numPr>
          <w:ilvl w:val="1"/>
          <w:numId w:val="5"/>
        </w:numPr>
        <w:tabs>
          <w:tab w:val="left" w:pos="1295"/>
        </w:tabs>
        <w:spacing w:before="0" w:after="0" w:line="388" w:lineRule="auto"/>
        <w:ind w:left="164" w:right="480" w:firstLine="0"/>
        <w:jc w:val="both"/>
        <w:rPr>
          <w:rFonts w:ascii="黑体" w:eastAsia="黑体" w:hint="eastAsia"/>
          <w:sz w:val="45"/>
        </w:rPr>
      </w:pPr>
      <w:r>
        <w:rPr>
          <w:spacing w:val="-9"/>
          <w:sz w:val="45"/>
        </w:rPr>
        <w:t>机动车辆清洗工艺按需要用水量的多少，可以分为用水洗车、微水</w:t>
      </w:r>
      <w:r>
        <w:rPr>
          <w:sz w:val="45"/>
        </w:rPr>
        <w:t>洗车和无水洗车，其中用水洗车又根据设备设施的不同，分为机械化洗车和半机械化洗车两种方式。</w:t>
      </w:r>
    </w:p>
    <w:p>
      <w:pPr>
        <w:pStyle w:val="ListParagraph"/>
        <w:numPr>
          <w:ilvl w:val="1"/>
          <w:numId w:val="5"/>
        </w:numPr>
        <w:tabs>
          <w:tab w:val="left" w:pos="1295"/>
        </w:tabs>
        <w:spacing w:before="6" w:after="0" w:line="388" w:lineRule="auto"/>
        <w:ind w:left="164" w:right="332" w:firstLine="0"/>
        <w:jc w:val="both"/>
        <w:rPr>
          <w:rFonts w:ascii="黑体" w:eastAsia="黑体" w:hint="eastAsia"/>
          <w:sz w:val="45"/>
        </w:rPr>
      </w:pPr>
      <w:r>
        <w:rPr>
          <w:spacing w:val="-1"/>
          <w:sz w:val="45"/>
        </w:rPr>
        <w:t>机动车辆清洗场所按规模分为大、中、小三种类型。各类型应按日</w:t>
      </w:r>
      <w:r>
        <w:rPr>
          <w:spacing w:val="-3"/>
          <w:sz w:val="45"/>
        </w:rPr>
        <w:t xml:space="preserve">清洗量、机械化洗车位数、半机械化洗车位数任意一项达到表 </w:t>
      </w:r>
      <w:r>
        <w:rPr>
          <w:sz w:val="45"/>
        </w:rPr>
        <w:t>4.1</w:t>
      </w:r>
      <w:r>
        <w:rPr>
          <w:spacing w:val="-24"/>
          <w:sz w:val="45"/>
        </w:rPr>
        <w:t xml:space="preserve"> 的最低要求来确定。</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3"/>
        <w:rPr>
          <w:sz w:val="65"/>
        </w:rPr>
      </w:pPr>
    </w:p>
    <w:p>
      <w:pPr>
        <w:pStyle w:val="BodyText"/>
        <w:tabs>
          <w:tab w:val="left" w:pos="1689"/>
        </w:tabs>
        <w:spacing w:before="1"/>
        <w:ind w:right="318"/>
        <w:jc w:val="center"/>
        <w:rPr>
          <w:rFonts w:ascii="黑体" w:eastAsia="黑体" w:hint="eastAsia"/>
        </w:rPr>
      </w:pPr>
      <w:r>
        <w:rPr>
          <w:rFonts w:ascii="黑体" w:eastAsia="黑体" w:hint="eastAsia"/>
        </w:rPr>
        <w:t>表</w:t>
      </w:r>
      <w:r>
        <w:rPr>
          <w:rFonts w:ascii="黑体" w:eastAsia="黑体" w:hint="eastAsia"/>
          <w:spacing w:val="-109"/>
        </w:rPr>
        <w:t xml:space="preserve"> </w:t>
      </w:r>
      <w:r>
        <w:rPr>
          <w:rFonts w:ascii="黑体" w:eastAsia="黑体" w:hint="eastAsia"/>
        </w:rPr>
        <w:t>4.1</w:t>
        <w:tab/>
        <w:t>机动车清洗场所规模分类表</w:t>
      </w:r>
    </w:p>
    <w:p>
      <w:pPr>
        <w:spacing w:after="0"/>
        <w:jc w:val="center"/>
        <w:rPr>
          <w:rFonts w:ascii="黑体" w:eastAsia="黑体" w:hint="eastAsia"/>
        </w:rPr>
        <w:sectPr>
          <w:pgSz w:w="17860" w:h="25260"/>
          <w:pgMar w:top="1880" w:right="1220" w:bottom="280" w:left="1960" w:header="708" w:footer="708"/>
          <w:pgNumType w:start="6"/>
          <w:cols w:space="708"/>
        </w:sectPr>
      </w:pPr>
    </w:p>
    <w:p>
      <w:pPr>
        <w:pStyle w:val="BodyText"/>
        <w:spacing w:before="4"/>
        <w:rPr>
          <w:rFonts w:ascii="黑体"/>
          <w:sz w:val="18"/>
        </w:rPr>
      </w:pPr>
    </w:p>
    <w:tbl>
      <w:tblPr>
        <w:tblStyle w:val="TableNormal1"/>
        <w:tblW w:w="0" w:type="auto"/>
        <w:jc w:val="left"/>
        <w:tblInd w:w="2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74"/>
        <w:gridCol w:w="2947"/>
        <w:gridCol w:w="5598"/>
      </w:tblGrid>
      <w:tr>
        <w:tblPrEx>
          <w:tblW w:w="0" w:type="auto"/>
          <w:jc w:val="left"/>
          <w:tblInd w:w="2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57"/>
          <w:jc w:val="left"/>
        </w:trPr>
        <w:tc>
          <w:tcPr>
            <w:tcW w:w="1474" w:type="dxa"/>
          </w:tcPr>
          <w:p>
            <w:pPr>
              <w:pStyle w:val="TableParagraph"/>
              <w:spacing w:before="1"/>
              <w:ind w:left="0"/>
              <w:rPr>
                <w:rFonts w:ascii="黑体"/>
                <w:sz w:val="33"/>
              </w:rPr>
            </w:pPr>
          </w:p>
          <w:p>
            <w:pPr>
              <w:pStyle w:val="TableParagraph"/>
              <w:spacing w:before="0"/>
              <w:rPr>
                <w:sz w:val="42"/>
              </w:rPr>
            </w:pPr>
            <w:r>
              <w:rPr>
                <w:sz w:val="42"/>
              </w:rPr>
              <w:t>类型</w:t>
            </w:r>
          </w:p>
        </w:tc>
        <w:tc>
          <w:tcPr>
            <w:tcW w:w="2947" w:type="dxa"/>
          </w:tcPr>
          <w:p>
            <w:pPr>
              <w:pStyle w:val="TableParagraph"/>
              <w:spacing w:before="0" w:line="494" w:lineRule="exact"/>
              <w:ind w:left="686"/>
              <w:rPr>
                <w:sz w:val="42"/>
              </w:rPr>
            </w:pPr>
            <w:r>
              <w:rPr>
                <w:sz w:val="42"/>
              </w:rPr>
              <w:t>日清洗量</w:t>
            </w:r>
          </w:p>
          <w:p>
            <w:pPr>
              <w:pStyle w:val="TableParagraph"/>
              <w:spacing w:before="0"/>
              <w:ind w:left="0"/>
              <w:rPr>
                <w:rFonts w:ascii="黑体"/>
                <w:sz w:val="31"/>
              </w:rPr>
            </w:pPr>
          </w:p>
          <w:p>
            <w:pPr>
              <w:pStyle w:val="TableParagraph"/>
              <w:spacing w:before="0"/>
              <w:ind w:left="582"/>
              <w:rPr>
                <w:sz w:val="42"/>
              </w:rPr>
            </w:pPr>
            <w:r>
              <w:rPr>
                <w:spacing w:val="-1"/>
                <w:sz w:val="42"/>
              </w:rPr>
              <w:t>（辆</w:t>
            </w:r>
            <w:r>
              <w:rPr>
                <w:sz w:val="42"/>
              </w:rPr>
              <w:t>/日）</w:t>
            </w:r>
          </w:p>
        </w:tc>
        <w:tc>
          <w:tcPr>
            <w:tcW w:w="5598" w:type="dxa"/>
          </w:tcPr>
          <w:p>
            <w:pPr>
              <w:pStyle w:val="TableParagraph"/>
              <w:spacing w:before="0" w:line="480" w:lineRule="exact"/>
              <w:ind w:left="448"/>
              <w:jc w:val="center"/>
              <w:rPr>
                <w:sz w:val="21"/>
              </w:rPr>
            </w:pPr>
            <w:r>
              <w:rPr>
                <w:sz w:val="42"/>
              </w:rPr>
              <w:t>洗车位数（个）</w:t>
            </w:r>
            <w:r>
              <w:rPr>
                <w:position w:val="3"/>
                <w:sz w:val="21"/>
              </w:rPr>
              <w:t>a</w:t>
            </w:r>
          </w:p>
          <w:p>
            <w:pPr>
              <w:pStyle w:val="TableParagraph"/>
              <w:spacing w:before="3"/>
              <w:ind w:left="0"/>
              <w:rPr>
                <w:rFonts w:ascii="黑体"/>
                <w:sz w:val="33"/>
              </w:rPr>
            </w:pPr>
          </w:p>
          <w:p>
            <w:pPr>
              <w:pStyle w:val="TableParagraph"/>
              <w:tabs>
                <w:tab w:val="left" w:pos="2971"/>
              </w:tabs>
              <w:spacing w:before="1"/>
              <w:ind w:left="422"/>
              <w:jc w:val="center"/>
              <w:rPr>
                <w:sz w:val="42"/>
              </w:rPr>
            </w:pPr>
            <w:r>
              <w:rPr>
                <w:sz w:val="42"/>
              </w:rPr>
              <w:t>机械化洗车</w:t>
              <w:tab/>
              <w:t>半机械化洗车</w:t>
            </w:r>
          </w:p>
        </w:tc>
      </w:tr>
      <w:tr>
        <w:tblPrEx>
          <w:tblW w:w="0" w:type="auto"/>
          <w:jc w:val="left"/>
          <w:tblInd w:w="2278" w:type="dxa"/>
          <w:tblLayout w:type="fixed"/>
          <w:tblCellMar>
            <w:top w:w="0" w:type="dxa"/>
            <w:left w:w="0" w:type="dxa"/>
            <w:bottom w:w="0" w:type="dxa"/>
            <w:right w:w="0" w:type="dxa"/>
          </w:tblCellMar>
          <w:tblLook w:val="01E0"/>
        </w:tblPrEx>
        <w:trPr>
          <w:trHeight w:val="966"/>
          <w:jc w:val="left"/>
        </w:trPr>
        <w:tc>
          <w:tcPr>
            <w:tcW w:w="1474" w:type="dxa"/>
          </w:tcPr>
          <w:p>
            <w:pPr>
              <w:pStyle w:val="TableParagraph"/>
              <w:spacing w:before="213"/>
              <w:rPr>
                <w:sz w:val="42"/>
              </w:rPr>
            </w:pPr>
            <w:r>
              <w:rPr>
                <w:sz w:val="42"/>
              </w:rPr>
              <w:t>大型</w:t>
            </w:r>
          </w:p>
        </w:tc>
        <w:tc>
          <w:tcPr>
            <w:tcW w:w="2947" w:type="dxa"/>
          </w:tcPr>
          <w:p>
            <w:pPr>
              <w:pStyle w:val="TableParagraph"/>
              <w:spacing w:before="213"/>
              <w:ind w:left="769" w:right="664"/>
              <w:jc w:val="center"/>
              <w:rPr>
                <w:sz w:val="42"/>
              </w:rPr>
            </w:pPr>
            <w:r>
              <w:rPr>
                <w:sz w:val="42"/>
              </w:rPr>
              <w:t>＞500</w:t>
            </w:r>
          </w:p>
        </w:tc>
        <w:tc>
          <w:tcPr>
            <w:tcW w:w="5598" w:type="dxa"/>
          </w:tcPr>
          <w:p>
            <w:pPr>
              <w:pStyle w:val="TableParagraph"/>
              <w:tabs>
                <w:tab w:val="left" w:pos="3863"/>
              </w:tabs>
              <w:spacing w:before="213"/>
              <w:ind w:left="1206"/>
              <w:rPr>
                <w:sz w:val="42"/>
              </w:rPr>
            </w:pPr>
            <w:r>
              <w:rPr>
                <w:sz w:val="42"/>
              </w:rPr>
              <w:t>≥7</w:t>
              <w:tab/>
              <w:t>≥25</w:t>
            </w:r>
          </w:p>
        </w:tc>
      </w:tr>
      <w:tr>
        <w:tblPrEx>
          <w:tblW w:w="0" w:type="auto"/>
          <w:jc w:val="left"/>
          <w:tblInd w:w="2278" w:type="dxa"/>
          <w:tblLayout w:type="fixed"/>
          <w:tblCellMar>
            <w:top w:w="0" w:type="dxa"/>
            <w:left w:w="0" w:type="dxa"/>
            <w:bottom w:w="0" w:type="dxa"/>
            <w:right w:w="0" w:type="dxa"/>
          </w:tblCellMar>
          <w:tblLook w:val="01E0"/>
        </w:tblPrEx>
        <w:trPr>
          <w:trHeight w:val="966"/>
          <w:jc w:val="left"/>
        </w:trPr>
        <w:tc>
          <w:tcPr>
            <w:tcW w:w="1474" w:type="dxa"/>
          </w:tcPr>
          <w:p>
            <w:pPr>
              <w:pStyle w:val="TableParagraph"/>
              <w:spacing w:before="215"/>
              <w:rPr>
                <w:sz w:val="42"/>
              </w:rPr>
            </w:pPr>
            <w:r>
              <w:rPr>
                <w:sz w:val="42"/>
              </w:rPr>
              <w:t>中型</w:t>
            </w:r>
          </w:p>
        </w:tc>
        <w:tc>
          <w:tcPr>
            <w:tcW w:w="2947" w:type="dxa"/>
          </w:tcPr>
          <w:p>
            <w:pPr>
              <w:pStyle w:val="TableParagraph"/>
              <w:spacing w:before="215"/>
              <w:ind w:left="773" w:right="664"/>
              <w:jc w:val="center"/>
              <w:rPr>
                <w:sz w:val="42"/>
              </w:rPr>
            </w:pPr>
            <w:r>
              <w:rPr>
                <w:sz w:val="42"/>
              </w:rPr>
              <w:t>200-500</w:t>
            </w:r>
          </w:p>
        </w:tc>
        <w:tc>
          <w:tcPr>
            <w:tcW w:w="5598" w:type="dxa"/>
          </w:tcPr>
          <w:p>
            <w:pPr>
              <w:pStyle w:val="TableParagraph"/>
              <w:tabs>
                <w:tab w:val="left" w:pos="3863"/>
              </w:tabs>
              <w:spacing w:before="215"/>
              <w:ind w:left="1206"/>
              <w:rPr>
                <w:sz w:val="42"/>
              </w:rPr>
            </w:pPr>
            <w:r>
              <w:rPr>
                <w:sz w:val="42"/>
              </w:rPr>
              <w:t>≥3</w:t>
              <w:tab/>
              <w:t>≥10</w:t>
            </w:r>
          </w:p>
        </w:tc>
      </w:tr>
      <w:tr>
        <w:tblPrEx>
          <w:tblW w:w="0" w:type="auto"/>
          <w:jc w:val="left"/>
          <w:tblInd w:w="2278" w:type="dxa"/>
          <w:tblLayout w:type="fixed"/>
          <w:tblCellMar>
            <w:top w:w="0" w:type="dxa"/>
            <w:left w:w="0" w:type="dxa"/>
            <w:bottom w:w="0" w:type="dxa"/>
            <w:right w:w="0" w:type="dxa"/>
          </w:tblCellMar>
          <w:tblLook w:val="01E0"/>
        </w:tblPrEx>
        <w:trPr>
          <w:trHeight w:val="692"/>
          <w:jc w:val="left"/>
        </w:trPr>
        <w:tc>
          <w:tcPr>
            <w:tcW w:w="1474" w:type="dxa"/>
          </w:tcPr>
          <w:p>
            <w:pPr>
              <w:pStyle w:val="TableParagraph"/>
              <w:spacing w:before="213" w:line="459" w:lineRule="exact"/>
              <w:rPr>
                <w:sz w:val="42"/>
              </w:rPr>
            </w:pPr>
            <w:r>
              <w:rPr>
                <w:sz w:val="42"/>
              </w:rPr>
              <w:t>小型</w:t>
            </w:r>
          </w:p>
        </w:tc>
        <w:tc>
          <w:tcPr>
            <w:tcW w:w="2947" w:type="dxa"/>
          </w:tcPr>
          <w:p>
            <w:pPr>
              <w:pStyle w:val="TableParagraph"/>
              <w:spacing w:before="213" w:line="459" w:lineRule="exact"/>
              <w:ind w:left="769" w:right="664"/>
              <w:jc w:val="center"/>
              <w:rPr>
                <w:sz w:val="42"/>
              </w:rPr>
            </w:pPr>
            <w:r>
              <w:rPr>
                <w:sz w:val="42"/>
              </w:rPr>
              <w:t>＜200</w:t>
            </w:r>
          </w:p>
        </w:tc>
        <w:tc>
          <w:tcPr>
            <w:tcW w:w="5598" w:type="dxa"/>
          </w:tcPr>
          <w:p>
            <w:pPr>
              <w:pStyle w:val="TableParagraph"/>
              <w:tabs>
                <w:tab w:val="left" w:pos="3968"/>
              </w:tabs>
              <w:spacing w:before="213" w:line="459" w:lineRule="exact"/>
              <w:ind w:left="1206"/>
              <w:rPr>
                <w:sz w:val="42"/>
              </w:rPr>
            </w:pPr>
            <w:r>
              <w:rPr>
                <w:sz w:val="42"/>
              </w:rPr>
              <w:t>≥1</w:t>
              <w:tab/>
              <w:t>≥1</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6"/>
        <w:rPr>
          <w:rFonts w:ascii="黑体"/>
          <w:sz w:val="21"/>
        </w:rPr>
      </w:pPr>
    </w:p>
    <w:p>
      <w:pPr>
        <w:pStyle w:val="Heading1"/>
        <w:numPr>
          <w:ilvl w:val="0"/>
          <w:numId w:val="5"/>
        </w:numPr>
        <w:tabs>
          <w:tab w:val="left" w:pos="981"/>
          <w:tab w:val="left" w:pos="982"/>
        </w:tabs>
        <w:spacing w:before="25" w:after="0" w:line="240" w:lineRule="auto"/>
        <w:ind w:left="982" w:right="0" w:hanging="818"/>
        <w:jc w:val="left"/>
      </w:pPr>
      <w:r>
        <w:pict>
          <v:group id="_x0000_s1025" style="width:533pt;height:321pt;margin-top:-316.45pt;margin-left:191pt;mso-position-horizontal-relative:page;position:absolute;z-index:-251658240" coordorigin="3820,-6329" coordsize="10660,6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660;height:6420;left:3820;position:absolute;top:-6329" stroked="f">
              <v:imagedata r:id="rId4" o:title=""/>
            </v:shape>
            <v:shapetype id="_x0000_t202" coordsize="21600,21600" o:spt="202" path="m,l,21600r21600,l21600,xe">
              <v:stroke joinstyle="miter"/>
              <v:path gradientshapeok="t" o:connecttype="rect"/>
            </v:shapetype>
            <v:shape id="_x0000_s1027" type="#_x0000_t202" style="width:10660;height:6420;left:3820;position:absolute;top:-6329" filled="f" stroked="f">
              <v:textbox inset="0,0,0,0">
                <w:txbxContent>
                  <w:p>
                    <w:pPr>
                      <w:spacing w:before="0" w:line="240" w:lineRule="auto"/>
                      <w:rPr>
                        <w:sz w:val="42"/>
                      </w:rPr>
                    </w:pPr>
                  </w:p>
                  <w:p>
                    <w:pPr>
                      <w:spacing w:before="0" w:line="240" w:lineRule="auto"/>
                      <w:rPr>
                        <w:sz w:val="42"/>
                      </w:rPr>
                    </w:pPr>
                  </w:p>
                  <w:p>
                    <w:pPr>
                      <w:spacing w:before="0" w:line="240" w:lineRule="auto"/>
                      <w:rPr>
                        <w:sz w:val="42"/>
                      </w:rPr>
                    </w:pPr>
                  </w:p>
                  <w:p>
                    <w:pPr>
                      <w:spacing w:before="0" w:line="240" w:lineRule="auto"/>
                      <w:rPr>
                        <w:sz w:val="42"/>
                      </w:rPr>
                    </w:pPr>
                  </w:p>
                  <w:p>
                    <w:pPr>
                      <w:spacing w:before="0" w:line="240" w:lineRule="auto"/>
                      <w:rPr>
                        <w:sz w:val="42"/>
                      </w:rPr>
                    </w:pPr>
                  </w:p>
                  <w:p>
                    <w:pPr>
                      <w:spacing w:before="0" w:line="240" w:lineRule="auto"/>
                      <w:rPr>
                        <w:sz w:val="42"/>
                      </w:rPr>
                    </w:pPr>
                  </w:p>
                  <w:p>
                    <w:pPr>
                      <w:spacing w:before="0" w:line="240" w:lineRule="auto"/>
                      <w:rPr>
                        <w:sz w:val="42"/>
                      </w:rPr>
                    </w:pPr>
                  </w:p>
                  <w:p>
                    <w:pPr>
                      <w:spacing w:before="0" w:line="240" w:lineRule="auto"/>
                      <w:rPr>
                        <w:sz w:val="42"/>
                      </w:rPr>
                    </w:pPr>
                  </w:p>
                  <w:p>
                    <w:pPr>
                      <w:spacing w:before="12" w:line="240" w:lineRule="auto"/>
                      <w:rPr>
                        <w:sz w:val="52"/>
                      </w:rPr>
                    </w:pPr>
                  </w:p>
                  <w:p>
                    <w:pPr>
                      <w:spacing w:before="0"/>
                      <w:ind w:left="0" w:right="332" w:firstLine="0"/>
                      <w:jc w:val="right"/>
                      <w:rPr>
                        <w:sz w:val="42"/>
                      </w:rPr>
                    </w:pPr>
                    <w:r>
                      <w:rPr>
                        <w:position w:val="3"/>
                        <w:sz w:val="21"/>
                      </w:rPr>
                      <w:t>a</w:t>
                    </w:r>
                    <w:r>
                      <w:rPr>
                        <w:spacing w:val="-41"/>
                        <w:position w:val="3"/>
                        <w:sz w:val="21"/>
                      </w:rPr>
                      <w:t xml:space="preserve"> </w:t>
                    </w:r>
                    <w:r>
                      <w:rPr>
                        <w:spacing w:val="-6"/>
                        <w:sz w:val="42"/>
                      </w:rPr>
                      <w:t xml:space="preserve">同时使用机械化和半机械化工艺的洗车场所，按 </w:t>
                    </w:r>
                    <w:r>
                      <w:rPr>
                        <w:sz w:val="42"/>
                      </w:rPr>
                      <w:t>1</w:t>
                    </w:r>
                  </w:p>
                  <w:p>
                    <w:pPr>
                      <w:spacing w:before="216"/>
                      <w:ind w:left="0" w:right="368" w:firstLine="0"/>
                      <w:jc w:val="right"/>
                      <w:rPr>
                        <w:sz w:val="42"/>
                      </w:rPr>
                    </w:pPr>
                    <w:r>
                      <w:rPr>
                        <w:spacing w:val="-10"/>
                        <w:sz w:val="42"/>
                      </w:rPr>
                      <w:t xml:space="preserve">个机械化洗车位换算成 </w:t>
                    </w:r>
                    <w:r>
                      <w:rPr>
                        <w:sz w:val="42"/>
                      </w:rPr>
                      <w:t>3</w:t>
                    </w:r>
                    <w:r>
                      <w:rPr>
                        <w:spacing w:val="-10"/>
                        <w:sz w:val="42"/>
                      </w:rPr>
                      <w:t xml:space="preserve"> 个半机械化洗车位进行统计。</w:t>
                    </w:r>
                  </w:p>
                </w:txbxContent>
              </v:textbox>
            </v:shape>
          </v:group>
        </w:pict>
      </w:r>
      <w:bookmarkStart w:id="4" w:name="_TOC_250006"/>
      <w:bookmarkEnd w:id="4"/>
      <w:r>
        <w:t>选址</w:t>
      </w:r>
    </w:p>
    <w:p>
      <w:pPr>
        <w:pStyle w:val="BodyText"/>
        <w:spacing w:before="5"/>
        <w:rPr>
          <w:rFonts w:ascii="黑体"/>
          <w:b/>
          <w:sz w:val="44"/>
        </w:rPr>
      </w:pPr>
    </w:p>
    <w:p>
      <w:pPr>
        <w:pStyle w:val="Heading2"/>
        <w:numPr>
          <w:ilvl w:val="1"/>
          <w:numId w:val="5"/>
        </w:numPr>
        <w:tabs>
          <w:tab w:val="left" w:pos="1366"/>
          <w:tab w:val="left" w:pos="1367"/>
        </w:tabs>
        <w:spacing w:before="0" w:after="0" w:line="240" w:lineRule="auto"/>
        <w:ind w:left="1367" w:right="0" w:hanging="1203"/>
        <w:jc w:val="left"/>
      </w:pPr>
      <w:r>
        <w:t>选址基本要求</w:t>
      </w:r>
    </w:p>
    <w:p>
      <w:pPr>
        <w:pStyle w:val="BodyText"/>
        <w:spacing w:before="10"/>
        <w:rPr>
          <w:rFonts w:ascii="黑体"/>
          <w:sz w:val="46"/>
        </w:rPr>
      </w:pPr>
    </w:p>
    <w:p>
      <w:pPr>
        <w:pStyle w:val="ListParagraph"/>
        <w:numPr>
          <w:ilvl w:val="2"/>
          <w:numId w:val="5"/>
        </w:numPr>
        <w:tabs>
          <w:tab w:val="left" w:pos="1744"/>
          <w:tab w:val="left" w:pos="1745"/>
        </w:tabs>
        <w:spacing w:before="0" w:after="0" w:line="388" w:lineRule="auto"/>
        <w:ind w:left="164" w:right="480" w:firstLine="0"/>
        <w:jc w:val="left"/>
        <w:rPr>
          <w:rFonts w:ascii="黑体" w:eastAsia="黑体" w:hint="eastAsia"/>
          <w:sz w:val="45"/>
        </w:rPr>
      </w:pPr>
      <w:r>
        <w:rPr>
          <w:spacing w:val="-9"/>
          <w:sz w:val="45"/>
        </w:rPr>
        <w:t>机动车辆清洗场所的选址须符合城市总体规划、建设和管理的要</w:t>
      </w:r>
      <w:r>
        <w:rPr>
          <w:sz w:val="45"/>
        </w:rPr>
        <w:t>求。</w:t>
      </w:r>
    </w:p>
    <w:p>
      <w:pPr>
        <w:pStyle w:val="ListParagraph"/>
        <w:numPr>
          <w:ilvl w:val="2"/>
          <w:numId w:val="5"/>
        </w:numPr>
        <w:tabs>
          <w:tab w:val="left" w:pos="1744"/>
          <w:tab w:val="left" w:pos="1745"/>
        </w:tabs>
        <w:spacing w:before="4" w:after="0" w:line="240" w:lineRule="auto"/>
        <w:ind w:left="1745" w:right="0" w:hanging="1581"/>
        <w:jc w:val="left"/>
        <w:rPr>
          <w:rFonts w:ascii="黑体" w:eastAsia="黑体" w:hint="eastAsia"/>
          <w:sz w:val="45"/>
        </w:rPr>
      </w:pPr>
      <w:r>
        <w:rPr>
          <w:sz w:val="45"/>
        </w:rPr>
        <w:t>机动车辆清洗场所的选址须符合环境卫生专业规划的要求。</w:t>
      </w:r>
    </w:p>
    <w:p>
      <w:pPr>
        <w:pStyle w:val="ListParagraph"/>
        <w:numPr>
          <w:ilvl w:val="2"/>
          <w:numId w:val="5"/>
        </w:numPr>
        <w:tabs>
          <w:tab w:val="left" w:pos="1752"/>
          <w:tab w:val="left" w:pos="1753"/>
          <w:tab w:val="left" w:pos="13526"/>
        </w:tabs>
        <w:spacing w:before="360" w:after="0" w:line="388" w:lineRule="auto"/>
        <w:ind w:left="164" w:right="477" w:firstLine="0"/>
        <w:jc w:val="left"/>
        <w:rPr>
          <w:rFonts w:ascii="黑体" w:eastAsia="黑体" w:hint="eastAsia"/>
          <w:sz w:val="45"/>
        </w:rPr>
      </w:pPr>
      <w:r>
        <w:rPr>
          <w:sz w:val="45"/>
        </w:rPr>
        <w:t>机动车辆清洗场所的设置须符合《公路线路设计规范</w:t>
      </w:r>
      <w:r>
        <w:rPr>
          <w:spacing w:val="74"/>
          <w:sz w:val="45"/>
        </w:rPr>
        <w:t>》</w:t>
      </w:r>
      <w:r>
        <w:rPr>
          <w:sz w:val="45"/>
        </w:rPr>
        <w:t>JTG</w:t>
        <w:tab/>
      </w:r>
      <w:r>
        <w:rPr>
          <w:spacing w:val="-7"/>
          <w:sz w:val="45"/>
        </w:rPr>
        <w:t xml:space="preserve">D20 </w:t>
      </w:r>
      <w:r>
        <w:rPr>
          <w:sz w:val="45"/>
        </w:rPr>
        <w:t>中关于公路建筑限距的要求。</w:t>
      </w:r>
    </w:p>
    <w:p>
      <w:pPr>
        <w:pStyle w:val="ListParagraph"/>
        <w:numPr>
          <w:ilvl w:val="2"/>
          <w:numId w:val="5"/>
        </w:numPr>
        <w:tabs>
          <w:tab w:val="left" w:pos="1744"/>
          <w:tab w:val="left" w:pos="1745"/>
        </w:tabs>
        <w:spacing w:before="4" w:after="0" w:line="388" w:lineRule="auto"/>
        <w:ind w:left="164" w:right="480" w:firstLine="0"/>
        <w:jc w:val="left"/>
        <w:rPr>
          <w:rFonts w:ascii="黑体" w:eastAsia="黑体" w:hint="eastAsia"/>
          <w:sz w:val="45"/>
        </w:rPr>
      </w:pPr>
      <w:r>
        <w:rPr>
          <w:spacing w:val="-12"/>
          <w:sz w:val="45"/>
        </w:rPr>
        <w:t>机动车辆清洗场所须与医院、学校、居住区等环境敏感区建筑物</w:t>
      </w:r>
      <w:r>
        <w:rPr>
          <w:sz w:val="45"/>
        </w:rPr>
        <w:t>之间保持一定距离，距离远近应符合环境影响评价的要求。</w:t>
      </w:r>
    </w:p>
    <w:p>
      <w:pPr>
        <w:pStyle w:val="ListParagraph"/>
        <w:numPr>
          <w:ilvl w:val="2"/>
          <w:numId w:val="5"/>
        </w:numPr>
        <w:tabs>
          <w:tab w:val="left" w:pos="1766"/>
          <w:tab w:val="left" w:pos="1767"/>
        </w:tabs>
        <w:spacing w:before="4" w:after="0" w:line="388" w:lineRule="auto"/>
        <w:ind w:left="164" w:right="762" w:firstLine="0"/>
        <w:jc w:val="left"/>
        <w:rPr>
          <w:rFonts w:ascii="黑体" w:eastAsia="黑体" w:hint="eastAsia"/>
          <w:sz w:val="45"/>
        </w:rPr>
      </w:pPr>
      <w:r>
        <w:rPr>
          <w:spacing w:val="-1"/>
          <w:sz w:val="45"/>
        </w:rPr>
        <w:t>大型机动车辆清洗场所宜设置在城区外围、高速公路出入口附</w:t>
      </w:r>
      <w:r>
        <w:rPr>
          <w:sz w:val="45"/>
        </w:rPr>
        <w:t>近、服务区内和其他车流量大的位置。</w:t>
      </w:r>
    </w:p>
    <w:p>
      <w:pPr>
        <w:pStyle w:val="ListParagraph"/>
        <w:numPr>
          <w:ilvl w:val="2"/>
          <w:numId w:val="5"/>
        </w:numPr>
        <w:tabs>
          <w:tab w:val="left" w:pos="1742"/>
        </w:tabs>
        <w:spacing w:before="4" w:after="0" w:line="388" w:lineRule="auto"/>
        <w:ind w:left="164" w:right="386" w:firstLine="0"/>
        <w:jc w:val="both"/>
        <w:rPr>
          <w:rFonts w:ascii="黑体" w:eastAsia="黑体" w:hint="eastAsia"/>
          <w:sz w:val="45"/>
        </w:rPr>
      </w:pPr>
      <w:r>
        <w:rPr>
          <w:spacing w:val="-7"/>
          <w:sz w:val="45"/>
        </w:rPr>
        <w:t>中型机动车辆清洗场所宜设置在城区中心区外围、高速公路出入口附近、服务区内和其他车流量大的位置；在满足本规范和其他相关要求的前提下可附设在大型社会公共停车场（含地下</w:t>
      </w:r>
      <w:r>
        <w:rPr>
          <w:spacing w:val="-274"/>
          <w:sz w:val="45"/>
        </w:rPr>
        <w:t>）</w:t>
      </w:r>
      <w:r>
        <w:rPr>
          <w:spacing w:val="-2"/>
          <w:sz w:val="45"/>
        </w:rPr>
        <w:t>、加油站、维修站等</w:t>
      </w:r>
      <w:r>
        <w:rPr>
          <w:sz w:val="45"/>
        </w:rPr>
        <w:t>服务站场内。</w:t>
      </w:r>
    </w:p>
    <w:p>
      <w:pPr>
        <w:spacing w:after="0" w:line="388" w:lineRule="auto"/>
        <w:jc w:val="both"/>
        <w:rPr>
          <w:rFonts w:ascii="黑体" w:eastAsia="黑体" w:hint="eastAsia"/>
          <w:sz w:val="45"/>
        </w:rPr>
        <w:sectPr>
          <w:pgSz w:w="17860" w:h="25260"/>
          <w:pgMar w:top="1800" w:right="1220" w:bottom="280" w:left="1960" w:header="708" w:footer="708"/>
          <w:pgNumType w:start="7"/>
          <w:cols w:space="708"/>
        </w:sectPr>
      </w:pPr>
    </w:p>
    <w:p>
      <w:pPr>
        <w:pStyle w:val="ListParagraph"/>
        <w:numPr>
          <w:ilvl w:val="2"/>
          <w:numId w:val="5"/>
        </w:numPr>
        <w:tabs>
          <w:tab w:val="left" w:pos="1745"/>
        </w:tabs>
        <w:spacing w:before="20" w:after="0" w:line="388" w:lineRule="auto"/>
        <w:ind w:left="164" w:right="480" w:firstLine="0"/>
        <w:jc w:val="both"/>
        <w:rPr>
          <w:rFonts w:ascii="黑体" w:eastAsia="黑体" w:hint="eastAsia"/>
          <w:sz w:val="45"/>
        </w:rPr>
      </w:pPr>
      <w:r>
        <w:rPr>
          <w:spacing w:val="-8"/>
          <w:sz w:val="45"/>
        </w:rPr>
        <w:t>小型机动车辆清洗场所宜设置在非主干道、不影响交通、有污水</w:t>
      </w:r>
      <w:r>
        <w:rPr>
          <w:sz w:val="45"/>
        </w:rPr>
        <w:t>处理管网的区域内，在满足本规范和其他相关要求的前提下可附设在停车场（含地下</w:t>
      </w:r>
      <w:r>
        <w:rPr>
          <w:spacing w:val="-227"/>
          <w:sz w:val="45"/>
        </w:rPr>
        <w:t>）</w:t>
      </w:r>
      <w:r>
        <w:rPr>
          <w:sz w:val="45"/>
        </w:rPr>
        <w:t>、加油站、垃圾站等设施内。</w:t>
      </w:r>
    </w:p>
    <w:p>
      <w:pPr>
        <w:pStyle w:val="Heading2"/>
        <w:numPr>
          <w:ilvl w:val="1"/>
          <w:numId w:val="5"/>
        </w:numPr>
        <w:tabs>
          <w:tab w:val="left" w:pos="1366"/>
          <w:tab w:val="left" w:pos="1367"/>
        </w:tabs>
        <w:spacing w:before="196" w:after="0" w:line="240" w:lineRule="auto"/>
        <w:ind w:left="1367" w:right="0" w:hanging="1203"/>
        <w:jc w:val="left"/>
      </w:pPr>
      <w:r>
        <w:t>禁止设置区域</w:t>
      </w:r>
    </w:p>
    <w:p>
      <w:pPr>
        <w:pStyle w:val="BodyText"/>
        <w:spacing w:before="9"/>
        <w:rPr>
          <w:rFonts w:ascii="黑体"/>
          <w:sz w:val="46"/>
        </w:rPr>
      </w:pPr>
    </w:p>
    <w:p>
      <w:pPr>
        <w:pStyle w:val="ListParagraph"/>
        <w:numPr>
          <w:ilvl w:val="2"/>
          <w:numId w:val="5"/>
        </w:numPr>
        <w:tabs>
          <w:tab w:val="left" w:pos="1742"/>
        </w:tabs>
        <w:spacing w:before="1" w:after="0" w:line="388" w:lineRule="auto"/>
        <w:ind w:left="164" w:right="336" w:firstLine="0"/>
        <w:jc w:val="both"/>
        <w:rPr>
          <w:rFonts w:ascii="黑体" w:eastAsia="黑体" w:hint="eastAsia"/>
          <w:sz w:val="45"/>
        </w:rPr>
      </w:pPr>
      <w:r>
        <w:rPr>
          <w:spacing w:val="-1"/>
          <w:sz w:val="45"/>
        </w:rPr>
        <w:t>禁止在名胜、古迹、景点、学校周边，主要窗口地区和主要商业</w:t>
      </w:r>
      <w:r>
        <w:rPr>
          <w:sz w:val="45"/>
        </w:rPr>
        <w:t>区等建筑控制地带设置。</w:t>
      </w:r>
    </w:p>
    <w:p>
      <w:pPr>
        <w:pStyle w:val="ListParagraph"/>
        <w:numPr>
          <w:ilvl w:val="2"/>
          <w:numId w:val="5"/>
        </w:numPr>
        <w:tabs>
          <w:tab w:val="left" w:pos="1741"/>
          <w:tab w:val="left" w:pos="1742"/>
        </w:tabs>
        <w:spacing w:before="5" w:after="0" w:line="240" w:lineRule="auto"/>
        <w:ind w:left="1741" w:right="0" w:hanging="1578"/>
        <w:jc w:val="left"/>
        <w:rPr>
          <w:rFonts w:ascii="黑体" w:eastAsia="黑体" w:hint="eastAsia"/>
          <w:sz w:val="45"/>
        </w:rPr>
      </w:pPr>
      <w:r>
        <w:rPr>
          <w:sz w:val="45"/>
        </w:rPr>
        <w:t>禁止在主次干道的车行道、人行道，交通要道口及转弯处设置。</w:t>
      </w:r>
    </w:p>
    <w:p>
      <w:pPr>
        <w:pStyle w:val="ListParagraph"/>
        <w:numPr>
          <w:ilvl w:val="2"/>
          <w:numId w:val="5"/>
        </w:numPr>
        <w:tabs>
          <w:tab w:val="left" w:pos="1741"/>
          <w:tab w:val="left" w:pos="1742"/>
          <w:tab w:val="left" w:pos="5678"/>
        </w:tabs>
        <w:spacing w:before="359" w:after="0" w:line="240" w:lineRule="auto"/>
        <w:ind w:left="1741" w:right="0" w:hanging="1578"/>
        <w:jc w:val="left"/>
        <w:rPr>
          <w:rFonts w:ascii="黑体" w:eastAsia="黑体" w:hint="eastAsia"/>
          <w:sz w:val="45"/>
        </w:rPr>
      </w:pPr>
      <w:r>
        <w:rPr>
          <w:sz w:val="45"/>
        </w:rPr>
        <w:t>禁止在沿河护坡</w:t>
      </w:r>
      <w:r>
        <w:rPr>
          <w:spacing w:val="-113"/>
          <w:sz w:val="45"/>
        </w:rPr>
        <w:t xml:space="preserve"> </w:t>
      </w:r>
      <w:r>
        <w:rPr>
          <w:sz w:val="45"/>
        </w:rPr>
        <w:t>10</w:t>
        <w:tab/>
        <w:t>m</w:t>
      </w:r>
      <w:r>
        <w:rPr>
          <w:spacing w:val="-107"/>
          <w:sz w:val="45"/>
        </w:rPr>
        <w:t xml:space="preserve"> </w:t>
      </w:r>
      <w:r>
        <w:rPr>
          <w:sz w:val="45"/>
        </w:rPr>
        <w:t>范围内或</w:t>
      </w:r>
      <w:r>
        <w:rPr>
          <w:spacing w:val="-117"/>
          <w:sz w:val="45"/>
        </w:rPr>
        <w:t xml:space="preserve"> </w:t>
      </w:r>
      <w:r>
        <w:rPr>
          <w:sz w:val="45"/>
        </w:rPr>
        <w:t>50</w:t>
      </w:r>
      <w:r>
        <w:rPr>
          <w:spacing w:val="-110"/>
          <w:sz w:val="45"/>
        </w:rPr>
        <w:t xml:space="preserve"> </w:t>
      </w:r>
      <w:r>
        <w:rPr>
          <w:sz w:val="45"/>
        </w:rPr>
        <w:t>年一遇防洪区域内设置。</w:t>
      </w:r>
    </w:p>
    <w:p>
      <w:pPr>
        <w:pStyle w:val="BodyText"/>
        <w:spacing w:before="11"/>
        <w:rPr>
          <w:sz w:val="42"/>
        </w:rPr>
      </w:pPr>
    </w:p>
    <w:p>
      <w:pPr>
        <w:pStyle w:val="Heading2"/>
        <w:numPr>
          <w:ilvl w:val="1"/>
          <w:numId w:val="5"/>
        </w:numPr>
        <w:tabs>
          <w:tab w:val="left" w:pos="1366"/>
          <w:tab w:val="left" w:pos="1367"/>
        </w:tabs>
        <w:spacing w:before="0" w:after="0" w:line="240" w:lineRule="auto"/>
        <w:ind w:left="1367" w:right="0" w:hanging="1203"/>
        <w:jc w:val="left"/>
      </w:pPr>
      <w:r>
        <w:t>禁止设置情形</w:t>
      </w:r>
    </w:p>
    <w:p>
      <w:pPr>
        <w:pStyle w:val="BodyText"/>
        <w:spacing w:before="10"/>
        <w:rPr>
          <w:rFonts w:ascii="黑体"/>
          <w:sz w:val="46"/>
        </w:rPr>
      </w:pPr>
    </w:p>
    <w:p>
      <w:pPr>
        <w:pStyle w:val="ListParagraph"/>
        <w:numPr>
          <w:ilvl w:val="2"/>
          <w:numId w:val="5"/>
        </w:numPr>
        <w:tabs>
          <w:tab w:val="left" w:pos="1741"/>
          <w:tab w:val="left" w:pos="1742"/>
        </w:tabs>
        <w:spacing w:before="0" w:after="0" w:line="240" w:lineRule="auto"/>
        <w:ind w:left="1741" w:right="0" w:hanging="1578"/>
        <w:jc w:val="left"/>
        <w:rPr>
          <w:rFonts w:ascii="黑体" w:eastAsia="黑体" w:hint="eastAsia"/>
          <w:sz w:val="45"/>
        </w:rPr>
      </w:pPr>
      <w:r>
        <w:rPr>
          <w:sz w:val="45"/>
        </w:rPr>
        <w:t>拟在室外设立小型机动车辆清洗场所的。</w:t>
      </w:r>
    </w:p>
    <w:p>
      <w:pPr>
        <w:pStyle w:val="ListParagraph"/>
        <w:numPr>
          <w:ilvl w:val="2"/>
          <w:numId w:val="5"/>
        </w:numPr>
        <w:tabs>
          <w:tab w:val="left" w:pos="1741"/>
          <w:tab w:val="left" w:pos="1742"/>
        </w:tabs>
        <w:spacing w:before="359" w:after="0" w:line="240" w:lineRule="auto"/>
        <w:ind w:left="1741" w:right="0" w:hanging="1578"/>
        <w:jc w:val="left"/>
        <w:rPr>
          <w:rFonts w:ascii="黑体" w:eastAsia="黑体" w:hint="eastAsia"/>
          <w:sz w:val="45"/>
        </w:rPr>
      </w:pPr>
      <w:r>
        <w:rPr>
          <w:sz w:val="45"/>
        </w:rPr>
        <w:t>占用人行道、绿化带或其他公共场地洗车或堆放洗车设施的。</w:t>
      </w:r>
    </w:p>
    <w:p>
      <w:pPr>
        <w:pStyle w:val="ListParagraph"/>
        <w:numPr>
          <w:ilvl w:val="2"/>
          <w:numId w:val="5"/>
        </w:numPr>
        <w:tabs>
          <w:tab w:val="left" w:pos="1741"/>
          <w:tab w:val="left" w:pos="1742"/>
        </w:tabs>
        <w:spacing w:before="360" w:after="0" w:line="240" w:lineRule="auto"/>
        <w:ind w:left="1741" w:right="0" w:hanging="1578"/>
        <w:jc w:val="left"/>
        <w:rPr>
          <w:rFonts w:ascii="黑体" w:eastAsia="黑体" w:hint="eastAsia"/>
          <w:sz w:val="45"/>
        </w:rPr>
      </w:pPr>
      <w:r>
        <w:rPr>
          <w:sz w:val="45"/>
        </w:rPr>
        <w:t>经营产生噪音，影响市容环境卫生，妨碍或影响市民生活的。</w:t>
      </w:r>
    </w:p>
    <w:p>
      <w:pPr>
        <w:pStyle w:val="ListParagraph"/>
        <w:numPr>
          <w:ilvl w:val="2"/>
          <w:numId w:val="5"/>
        </w:numPr>
        <w:tabs>
          <w:tab w:val="left" w:pos="1741"/>
          <w:tab w:val="left" w:pos="1742"/>
        </w:tabs>
        <w:spacing w:before="360" w:after="0" w:line="240" w:lineRule="auto"/>
        <w:ind w:left="1741" w:right="0" w:hanging="1578"/>
        <w:jc w:val="left"/>
        <w:rPr>
          <w:rFonts w:ascii="黑体" w:eastAsia="黑体" w:hint="eastAsia"/>
          <w:sz w:val="45"/>
        </w:rPr>
      </w:pPr>
      <w:r>
        <w:rPr>
          <w:sz w:val="45"/>
        </w:rPr>
        <w:t>洗车场地、用水达不到要求，无法开展清洗作业的。</w:t>
      </w:r>
    </w:p>
    <w:p>
      <w:pPr>
        <w:pStyle w:val="Heading1"/>
        <w:numPr>
          <w:ilvl w:val="0"/>
          <w:numId w:val="5"/>
        </w:numPr>
        <w:tabs>
          <w:tab w:val="left" w:pos="981"/>
          <w:tab w:val="left" w:pos="982"/>
        </w:tabs>
        <w:spacing w:before="224" w:after="0" w:line="240" w:lineRule="auto"/>
        <w:ind w:left="982" w:right="0" w:hanging="818"/>
        <w:jc w:val="left"/>
      </w:pPr>
      <w:bookmarkStart w:id="5" w:name="_TOC_250005"/>
      <w:bookmarkEnd w:id="5"/>
      <w:r>
        <w:t>平面布置及建筑设计</w:t>
      </w:r>
    </w:p>
    <w:p>
      <w:pPr>
        <w:pStyle w:val="BodyText"/>
        <w:spacing w:before="5"/>
        <w:rPr>
          <w:rFonts w:ascii="黑体"/>
          <w:b/>
          <w:sz w:val="44"/>
        </w:rPr>
      </w:pPr>
    </w:p>
    <w:p>
      <w:pPr>
        <w:pStyle w:val="Heading2"/>
        <w:numPr>
          <w:ilvl w:val="1"/>
          <w:numId w:val="5"/>
        </w:numPr>
        <w:tabs>
          <w:tab w:val="left" w:pos="1366"/>
          <w:tab w:val="left" w:pos="1367"/>
        </w:tabs>
        <w:spacing w:before="1" w:after="0" w:line="240" w:lineRule="auto"/>
        <w:ind w:left="1367" w:right="0" w:hanging="1203"/>
        <w:jc w:val="left"/>
      </w:pPr>
      <w:r>
        <w:t>基本规定</w:t>
      </w:r>
    </w:p>
    <w:p>
      <w:pPr>
        <w:pStyle w:val="BodyText"/>
        <w:spacing w:before="9"/>
        <w:rPr>
          <w:rFonts w:ascii="黑体"/>
          <w:sz w:val="46"/>
        </w:rPr>
      </w:pPr>
    </w:p>
    <w:p>
      <w:pPr>
        <w:pStyle w:val="ListParagraph"/>
        <w:numPr>
          <w:ilvl w:val="2"/>
          <w:numId w:val="5"/>
        </w:numPr>
        <w:tabs>
          <w:tab w:val="left" w:pos="1745"/>
        </w:tabs>
        <w:spacing w:before="0" w:after="0" w:line="388" w:lineRule="auto"/>
        <w:ind w:left="164" w:right="332" w:firstLine="0"/>
        <w:jc w:val="both"/>
        <w:rPr>
          <w:rFonts w:ascii="黑体" w:eastAsia="黑体" w:hint="eastAsia"/>
          <w:sz w:val="45"/>
        </w:rPr>
      </w:pPr>
      <w:r>
        <w:rPr>
          <w:spacing w:val="-1"/>
          <w:sz w:val="45"/>
        </w:rPr>
        <w:t>工艺流程布局合理，分区明确，满足清洗场所的使用功能。办公</w:t>
      </w:r>
      <w:r>
        <w:rPr>
          <w:sz w:val="45"/>
        </w:rPr>
        <w:t>和辅助用房应与洗车工作区分开，避免互相干扰。</w:t>
      </w:r>
    </w:p>
    <w:p>
      <w:pPr>
        <w:pStyle w:val="ListParagraph"/>
        <w:numPr>
          <w:ilvl w:val="2"/>
          <w:numId w:val="5"/>
        </w:numPr>
        <w:tabs>
          <w:tab w:val="left" w:pos="1748"/>
          <w:tab w:val="left" w:pos="1749"/>
        </w:tabs>
        <w:spacing w:before="5" w:after="0" w:line="240" w:lineRule="auto"/>
        <w:ind w:left="1748" w:right="0" w:hanging="1585"/>
        <w:jc w:val="left"/>
        <w:rPr>
          <w:rFonts w:ascii="黑体" w:eastAsia="黑体" w:hint="eastAsia"/>
          <w:sz w:val="45"/>
        </w:rPr>
      </w:pPr>
      <w:r>
        <w:rPr>
          <w:sz w:val="45"/>
        </w:rPr>
        <w:t>机动车辆清洗场所应按《重庆市主城区市政设施容貌管理导则》</w:t>
      </w:r>
    </w:p>
    <w:p>
      <w:pPr>
        <w:pStyle w:val="BodyText"/>
        <w:spacing w:before="359"/>
        <w:ind w:left="164"/>
      </w:pPr>
      <w:r>
        <w:t>（渝市政委[2010]374</w:t>
      </w:r>
      <w:r>
        <w:rPr>
          <w:spacing w:val="-54"/>
        </w:rPr>
        <w:t xml:space="preserve"> 号</w:t>
      </w:r>
      <w:r>
        <w:t>）的有关规定设置车辆清洗站标牌。</w:t>
      </w:r>
    </w:p>
    <w:p>
      <w:pPr>
        <w:pStyle w:val="ListParagraph"/>
        <w:numPr>
          <w:ilvl w:val="2"/>
          <w:numId w:val="5"/>
        </w:numPr>
        <w:tabs>
          <w:tab w:val="left" w:pos="1745"/>
        </w:tabs>
        <w:spacing w:before="360" w:after="0" w:line="388" w:lineRule="auto"/>
        <w:ind w:left="164" w:right="480" w:firstLine="0"/>
        <w:jc w:val="both"/>
        <w:rPr>
          <w:rFonts w:ascii="黑体" w:eastAsia="黑体" w:hint="eastAsia"/>
          <w:sz w:val="45"/>
        </w:rPr>
      </w:pPr>
      <w:r>
        <w:rPr>
          <w:spacing w:val="-11"/>
          <w:sz w:val="45"/>
        </w:rPr>
        <w:t>机动车辆清洗场所的建筑外形应符合《重庆市城市风貌特色规划</w:t>
      </w:r>
      <w:r>
        <w:rPr>
          <w:spacing w:val="-30"/>
          <w:sz w:val="45"/>
        </w:rPr>
        <w:t>设计暂行规定》</w:t>
      </w:r>
      <w:r>
        <w:rPr>
          <w:sz w:val="45"/>
        </w:rPr>
        <w:t>（</w:t>
      </w:r>
      <w:r>
        <w:rPr>
          <w:spacing w:val="4"/>
          <w:sz w:val="45"/>
        </w:rPr>
        <w:t>渝规发〔</w:t>
      </w:r>
      <w:r>
        <w:rPr>
          <w:sz w:val="45"/>
        </w:rPr>
        <w:t>2010〕16</w:t>
      </w:r>
      <w:r>
        <w:rPr>
          <w:spacing w:val="1"/>
          <w:sz w:val="45"/>
        </w:rPr>
        <w:t xml:space="preserve"> 号</w:t>
      </w:r>
      <w:r>
        <w:rPr>
          <w:sz w:val="45"/>
        </w:rPr>
        <w:t>）要求，并与周边建筑和环境相</w:t>
      </w:r>
    </w:p>
    <w:p>
      <w:pPr>
        <w:spacing w:after="0" w:line="388" w:lineRule="auto"/>
        <w:jc w:val="both"/>
        <w:rPr>
          <w:rFonts w:ascii="黑体" w:eastAsia="黑体" w:hint="eastAsia"/>
          <w:sz w:val="45"/>
        </w:rPr>
        <w:sectPr>
          <w:pgSz w:w="17860" w:h="25260"/>
          <w:pgMar w:top="1880" w:right="1220" w:bottom="280" w:left="1960" w:header="708" w:footer="708"/>
          <w:pgNumType w:start="8"/>
          <w:cols w:space="708"/>
        </w:sectPr>
      </w:pPr>
    </w:p>
    <w:p>
      <w:pPr>
        <w:pStyle w:val="BodyText"/>
        <w:spacing w:before="20"/>
        <w:ind w:left="164"/>
      </w:pPr>
      <w:r>
        <w:t>协调。</w:t>
      </w:r>
    </w:p>
    <w:p>
      <w:pPr>
        <w:pStyle w:val="ListParagraph"/>
        <w:numPr>
          <w:ilvl w:val="2"/>
          <w:numId w:val="5"/>
        </w:numPr>
        <w:tabs>
          <w:tab w:val="left" w:pos="1519"/>
        </w:tabs>
        <w:spacing w:before="360" w:after="0" w:line="388" w:lineRule="auto"/>
        <w:ind w:left="164" w:right="258" w:firstLine="0"/>
        <w:jc w:val="left"/>
        <w:rPr>
          <w:sz w:val="45"/>
        </w:rPr>
      </w:pPr>
      <w:r>
        <w:rPr>
          <w:spacing w:val="-10"/>
          <w:sz w:val="45"/>
        </w:rPr>
        <w:t>机动车辆清洗场所地基基础设计应符合《建筑地基基础设计规范》</w:t>
      </w:r>
      <w:r>
        <w:rPr>
          <w:sz w:val="45"/>
        </w:rPr>
        <w:t>GB50007 的要求，满足被洗车辆的荷载要求。在楼面进行车辆清洗作业</w:t>
      </w:r>
      <w:r>
        <w:rPr>
          <w:spacing w:val="3"/>
          <w:sz w:val="45"/>
        </w:rPr>
        <w:t>的，楼面建筑设计应符合《建筑结构荷载规范》</w:t>
      </w:r>
      <w:r>
        <w:rPr>
          <w:sz w:val="45"/>
        </w:rPr>
        <w:t>GB50009 的要求，满足被洗车辆的荷载要求。</w:t>
      </w:r>
    </w:p>
    <w:p>
      <w:pPr>
        <w:pStyle w:val="ListParagraph"/>
        <w:numPr>
          <w:ilvl w:val="2"/>
          <w:numId w:val="5"/>
        </w:numPr>
        <w:tabs>
          <w:tab w:val="left" w:pos="1741"/>
          <w:tab w:val="left" w:pos="1742"/>
        </w:tabs>
        <w:spacing w:before="7" w:after="0" w:line="391" w:lineRule="auto"/>
        <w:ind w:left="164" w:right="480" w:firstLine="0"/>
        <w:jc w:val="left"/>
        <w:rPr>
          <w:rFonts w:ascii="黑体" w:eastAsia="黑体" w:hint="eastAsia"/>
          <w:sz w:val="45"/>
        </w:rPr>
      </w:pPr>
      <w:r>
        <w:rPr>
          <w:spacing w:val="-9"/>
          <w:sz w:val="45"/>
        </w:rPr>
        <w:t>机动车辆清洗场所应设置交通标志、标线和停车场地。停车场地</w:t>
      </w:r>
      <w:r>
        <w:rPr>
          <w:sz w:val="45"/>
        </w:rPr>
        <w:t>须有足够的停车面积，停车泊位数应与洗车能力相适应。</w:t>
      </w:r>
    </w:p>
    <w:p>
      <w:pPr>
        <w:pStyle w:val="ListParagraph"/>
        <w:numPr>
          <w:ilvl w:val="2"/>
          <w:numId w:val="5"/>
        </w:numPr>
        <w:tabs>
          <w:tab w:val="left" w:pos="1744"/>
          <w:tab w:val="left" w:pos="1745"/>
        </w:tabs>
        <w:spacing w:before="0" w:after="0" w:line="388" w:lineRule="auto"/>
        <w:ind w:left="164" w:right="332" w:firstLine="0"/>
        <w:jc w:val="left"/>
        <w:rPr>
          <w:rFonts w:ascii="黑体" w:eastAsia="黑体" w:hint="eastAsia"/>
          <w:sz w:val="45"/>
        </w:rPr>
      </w:pPr>
      <w:r>
        <w:rPr>
          <w:spacing w:val="-1"/>
          <w:sz w:val="45"/>
        </w:rPr>
        <w:t>大、中型清洗场所总平面布置应按功能分区，由洗车工作区、辅</w:t>
      </w:r>
      <w:r>
        <w:rPr>
          <w:sz w:val="45"/>
        </w:rPr>
        <w:t>助设施区、车行道及停车场地、车辆进出口、办公附属区等组成，并应委托有资质的设计单位作专门设计。室外大、中型清洗场须采用围合式建筑形式加以遮挡。</w:t>
      </w:r>
    </w:p>
    <w:p>
      <w:pPr>
        <w:pStyle w:val="BodyText"/>
        <w:rPr>
          <w:sz w:val="44"/>
        </w:rPr>
      </w:pPr>
    </w:p>
    <w:p>
      <w:pPr>
        <w:pStyle w:val="ListParagraph"/>
        <w:numPr>
          <w:ilvl w:val="2"/>
          <w:numId w:val="5"/>
        </w:numPr>
        <w:tabs>
          <w:tab w:val="left" w:pos="1744"/>
          <w:tab w:val="left" w:pos="1745"/>
          <w:tab w:val="left" w:pos="9729"/>
        </w:tabs>
        <w:spacing w:before="375" w:after="0" w:line="240" w:lineRule="auto"/>
        <w:ind w:left="1745" w:right="0" w:hanging="1581"/>
        <w:jc w:val="left"/>
        <w:rPr>
          <w:rFonts w:ascii="黑体" w:eastAsia="黑体" w:hint="eastAsia"/>
          <w:sz w:val="45"/>
        </w:rPr>
      </w:pPr>
      <w:r>
        <w:rPr>
          <w:sz w:val="45"/>
        </w:rPr>
        <w:t>小型机动车辆清洗场所面积应不小于</w:t>
      </w:r>
      <w:r>
        <w:rPr>
          <w:spacing w:val="-116"/>
          <w:sz w:val="45"/>
        </w:rPr>
        <w:t xml:space="preserve"> </w:t>
      </w:r>
      <w:r>
        <w:rPr>
          <w:sz w:val="45"/>
        </w:rPr>
        <w:t>32</w:t>
        <w:tab/>
      </w:r>
      <w:r>
        <w:rPr>
          <w:spacing w:val="-14"/>
          <w:sz w:val="45"/>
        </w:rPr>
        <w:t>m</w:t>
      </w:r>
      <w:r>
        <w:rPr>
          <w:spacing w:val="-14"/>
          <w:position w:val="4"/>
          <w:sz w:val="29"/>
        </w:rPr>
        <w:t>2</w:t>
      </w:r>
      <w:r>
        <w:rPr>
          <w:sz w:val="45"/>
        </w:rPr>
        <w:t>。</w:t>
      </w:r>
    </w:p>
    <w:p>
      <w:pPr>
        <w:pStyle w:val="BodyText"/>
        <w:rPr>
          <w:sz w:val="20"/>
        </w:rPr>
      </w:pPr>
    </w:p>
    <w:p>
      <w:pPr>
        <w:pStyle w:val="BodyText"/>
        <w:spacing w:before="5"/>
        <w:rPr>
          <w:sz w:val="20"/>
        </w:rPr>
      </w:pPr>
    </w:p>
    <w:p>
      <w:pPr>
        <w:pStyle w:val="Heading2"/>
        <w:numPr>
          <w:ilvl w:val="1"/>
          <w:numId w:val="5"/>
        </w:numPr>
        <w:tabs>
          <w:tab w:val="left" w:pos="1367"/>
        </w:tabs>
        <w:spacing w:before="31" w:after="0" w:line="240" w:lineRule="auto"/>
        <w:ind w:left="1367" w:right="0" w:hanging="1203"/>
        <w:jc w:val="both"/>
      </w:pPr>
      <w:r>
        <w:t>进出口设置</w:t>
      </w:r>
    </w:p>
    <w:p>
      <w:pPr>
        <w:pStyle w:val="BodyText"/>
        <w:spacing w:before="10"/>
        <w:rPr>
          <w:rFonts w:ascii="黑体"/>
          <w:sz w:val="46"/>
        </w:rPr>
      </w:pPr>
    </w:p>
    <w:p>
      <w:pPr>
        <w:pStyle w:val="ListParagraph"/>
        <w:numPr>
          <w:ilvl w:val="2"/>
          <w:numId w:val="5"/>
        </w:numPr>
        <w:tabs>
          <w:tab w:val="left" w:pos="1745"/>
        </w:tabs>
        <w:spacing w:before="0" w:after="0" w:line="388" w:lineRule="auto"/>
        <w:ind w:left="164" w:right="332" w:firstLine="0"/>
        <w:jc w:val="both"/>
        <w:rPr>
          <w:rFonts w:ascii="黑体" w:eastAsia="黑体" w:hint="eastAsia"/>
          <w:sz w:val="45"/>
        </w:rPr>
      </w:pPr>
      <w:r>
        <w:rPr>
          <w:spacing w:val="-1"/>
          <w:sz w:val="45"/>
        </w:rPr>
        <w:t>机动车辆清洗场所进出口、停车场地须硬化，严禁使用土面、煤</w:t>
      </w:r>
      <w:r>
        <w:rPr>
          <w:sz w:val="45"/>
        </w:rPr>
        <w:t>渣、公分石等材质，地面材质应防滑。</w:t>
      </w:r>
    </w:p>
    <w:p>
      <w:pPr>
        <w:pStyle w:val="ListParagraph"/>
        <w:numPr>
          <w:ilvl w:val="2"/>
          <w:numId w:val="5"/>
        </w:numPr>
        <w:tabs>
          <w:tab w:val="left" w:pos="1745"/>
        </w:tabs>
        <w:spacing w:before="4" w:after="0" w:line="388" w:lineRule="auto"/>
        <w:ind w:left="164" w:right="480" w:firstLine="0"/>
        <w:jc w:val="both"/>
        <w:rPr>
          <w:rFonts w:ascii="黑体" w:eastAsia="黑体" w:hint="eastAsia"/>
          <w:sz w:val="45"/>
        </w:rPr>
      </w:pPr>
      <w:r>
        <w:rPr>
          <w:spacing w:val="-10"/>
          <w:sz w:val="45"/>
        </w:rPr>
        <w:t>进出口应设置车辆行驶方向、停靠位置等地面标线，夜间营运场</w:t>
      </w:r>
      <w:r>
        <w:rPr>
          <w:sz w:val="45"/>
        </w:rPr>
        <w:t>所应设置地面界线反光设施。</w:t>
      </w:r>
    </w:p>
    <w:p>
      <w:pPr>
        <w:pStyle w:val="ListParagraph"/>
        <w:numPr>
          <w:ilvl w:val="2"/>
          <w:numId w:val="5"/>
        </w:numPr>
        <w:tabs>
          <w:tab w:val="left" w:pos="1745"/>
        </w:tabs>
        <w:spacing w:before="5" w:after="0" w:line="388" w:lineRule="auto"/>
        <w:ind w:left="164" w:right="479" w:firstLine="0"/>
        <w:jc w:val="both"/>
        <w:rPr>
          <w:rFonts w:ascii="黑体" w:eastAsia="黑体" w:hint="eastAsia"/>
          <w:sz w:val="45"/>
        </w:rPr>
      </w:pPr>
      <w:r>
        <w:rPr>
          <w:spacing w:val="-13"/>
          <w:sz w:val="45"/>
        </w:rPr>
        <w:t>大、中型机动车辆清洗场所进出口不得直接和主干道连接，须设</w:t>
      </w:r>
      <w:r>
        <w:rPr>
          <w:spacing w:val="2"/>
          <w:sz w:val="45"/>
        </w:rPr>
        <w:t xml:space="preserve">置一定长度的引道，引道的设计应符合《公路路线设计规范》 </w:t>
      </w:r>
      <w:r>
        <w:rPr>
          <w:sz w:val="45"/>
        </w:rPr>
        <w:t>JTG D20 和《重庆市城市道路交通规划及路线设计规范》DBJ 50-064</w:t>
      </w:r>
      <w:r>
        <w:rPr>
          <w:spacing w:val="-23"/>
          <w:sz w:val="45"/>
        </w:rPr>
        <w:t xml:space="preserve"> 的要求。</w:t>
      </w:r>
    </w:p>
    <w:p>
      <w:pPr>
        <w:pStyle w:val="ListParagraph"/>
        <w:numPr>
          <w:ilvl w:val="2"/>
          <w:numId w:val="5"/>
        </w:numPr>
        <w:tabs>
          <w:tab w:val="left" w:pos="1745"/>
        </w:tabs>
        <w:spacing w:before="6" w:after="0" w:line="240" w:lineRule="auto"/>
        <w:ind w:left="1745" w:right="0" w:hanging="1581"/>
        <w:jc w:val="both"/>
        <w:rPr>
          <w:rFonts w:ascii="黑体" w:eastAsia="黑体" w:hint="eastAsia"/>
          <w:sz w:val="45"/>
        </w:rPr>
      </w:pPr>
      <w:r>
        <w:rPr>
          <w:spacing w:val="-8"/>
          <w:sz w:val="45"/>
        </w:rPr>
        <w:t>小型清洗场所进出口应与道路正交，并宜采用透水材质，色彩与</w:t>
      </w:r>
    </w:p>
    <w:p>
      <w:pPr>
        <w:spacing w:after="0" w:line="240" w:lineRule="auto"/>
        <w:jc w:val="both"/>
        <w:rPr>
          <w:rFonts w:ascii="黑体" w:eastAsia="黑体" w:hint="eastAsia"/>
          <w:sz w:val="45"/>
        </w:rPr>
        <w:sectPr>
          <w:pgSz w:w="17860" w:h="25260"/>
          <w:pgMar w:top="1880" w:right="1220" w:bottom="280" w:left="1960" w:header="708" w:footer="708"/>
          <w:pgNumType w:start="9"/>
          <w:cols w:space="708"/>
        </w:sectPr>
      </w:pPr>
    </w:p>
    <w:p>
      <w:pPr>
        <w:pStyle w:val="BodyText"/>
        <w:spacing w:before="20"/>
        <w:ind w:left="164"/>
      </w:pPr>
      <w:r>
        <w:t>周边环境相协调。</w:t>
      </w:r>
    </w:p>
    <w:p>
      <w:pPr>
        <w:pStyle w:val="Heading3"/>
        <w:numPr>
          <w:ilvl w:val="1"/>
          <w:numId w:val="5"/>
        </w:numPr>
        <w:tabs>
          <w:tab w:val="left" w:pos="1298"/>
          <w:tab w:val="left" w:pos="1299"/>
        </w:tabs>
        <w:spacing w:before="360" w:after="0" w:line="388" w:lineRule="auto"/>
        <w:ind w:left="164" w:right="501" w:firstLine="0"/>
        <w:jc w:val="left"/>
        <w:rPr>
          <w:rFonts w:ascii="黑体" w:eastAsia="黑体" w:hint="eastAsia"/>
        </w:rPr>
      </w:pPr>
      <w:r>
        <w:rPr>
          <w:spacing w:val="-12"/>
          <w:w w:val="95"/>
        </w:rPr>
        <w:t xml:space="preserve">小型机动车辆清洗场所应设置清洗间，清洗间的设置应符合下列要 </w:t>
      </w:r>
      <w:r>
        <w:t>求：</w:t>
      </w:r>
    </w:p>
    <w:p>
      <w:pPr>
        <w:pStyle w:val="ListParagraph"/>
        <w:numPr>
          <w:ilvl w:val="2"/>
          <w:numId w:val="5"/>
        </w:numPr>
        <w:tabs>
          <w:tab w:val="left" w:pos="1744"/>
          <w:tab w:val="left" w:pos="1745"/>
          <w:tab w:val="left" w:pos="6803"/>
          <w:tab w:val="left" w:pos="10281"/>
          <w:tab w:val="left" w:pos="13760"/>
        </w:tabs>
        <w:spacing w:before="3" w:after="0" w:line="240" w:lineRule="auto"/>
        <w:ind w:left="1745" w:right="0" w:hanging="1581"/>
        <w:jc w:val="left"/>
        <w:rPr>
          <w:rFonts w:ascii="黑体" w:eastAsia="黑体" w:hint="eastAsia"/>
          <w:sz w:val="45"/>
        </w:rPr>
      </w:pPr>
      <w:r>
        <w:rPr>
          <w:sz w:val="45"/>
        </w:rPr>
        <w:t>清洗间内净高不低于</w:t>
      </w:r>
      <w:r>
        <w:rPr>
          <w:spacing w:val="-116"/>
          <w:sz w:val="45"/>
        </w:rPr>
        <w:t xml:space="preserve"> </w:t>
      </w:r>
      <w:r>
        <w:rPr>
          <w:sz w:val="45"/>
        </w:rPr>
        <w:t>3.6</w:t>
        <w:tab/>
      </w:r>
      <w:r>
        <w:rPr>
          <w:spacing w:val="-5"/>
          <w:sz w:val="45"/>
        </w:rPr>
        <w:t>m，</w:t>
      </w:r>
      <w:r>
        <w:rPr>
          <w:sz w:val="45"/>
        </w:rPr>
        <w:t>宽度不小于</w:t>
      </w:r>
      <w:r>
        <w:rPr>
          <w:spacing w:val="-113"/>
          <w:sz w:val="45"/>
        </w:rPr>
        <w:t xml:space="preserve"> </w:t>
      </w:r>
      <w:r>
        <w:rPr>
          <w:sz w:val="45"/>
        </w:rPr>
        <w:t>4</w:t>
        <w:tab/>
      </w:r>
      <w:r>
        <w:rPr>
          <w:spacing w:val="-5"/>
          <w:sz w:val="45"/>
        </w:rPr>
        <w:t>m，</w:t>
      </w:r>
      <w:r>
        <w:rPr>
          <w:sz w:val="45"/>
        </w:rPr>
        <w:t>进深不小于</w:t>
      </w:r>
      <w:r>
        <w:rPr>
          <w:spacing w:val="-113"/>
          <w:sz w:val="45"/>
        </w:rPr>
        <w:t xml:space="preserve"> </w:t>
      </w:r>
      <w:r>
        <w:rPr>
          <w:sz w:val="45"/>
        </w:rPr>
        <w:t>8</w:t>
        <w:tab/>
      </w:r>
      <w:r>
        <w:rPr>
          <w:spacing w:val="-9"/>
          <w:sz w:val="45"/>
        </w:rPr>
        <w:t>m</w:t>
      </w:r>
      <w:r>
        <w:rPr>
          <w:sz w:val="45"/>
        </w:rPr>
        <w:t>。</w:t>
      </w:r>
    </w:p>
    <w:p>
      <w:pPr>
        <w:pStyle w:val="ListParagraph"/>
        <w:numPr>
          <w:ilvl w:val="2"/>
          <w:numId w:val="5"/>
        </w:numPr>
        <w:tabs>
          <w:tab w:val="left" w:pos="1745"/>
        </w:tabs>
        <w:spacing w:before="360" w:after="0" w:line="388" w:lineRule="auto"/>
        <w:ind w:left="164" w:right="442" w:firstLine="0"/>
        <w:jc w:val="both"/>
        <w:rPr>
          <w:rFonts w:ascii="黑体" w:eastAsia="黑体" w:hint="eastAsia"/>
          <w:sz w:val="45"/>
        </w:rPr>
      </w:pPr>
      <w:r>
        <w:rPr>
          <w:spacing w:val="-7"/>
          <w:sz w:val="45"/>
        </w:rPr>
        <w:t xml:space="preserve">清洗间内应设置内墙裙，其高度不得低于 </w:t>
      </w:r>
      <w:r>
        <w:rPr>
          <w:sz w:val="45"/>
        </w:rPr>
        <w:t>1.5</w:t>
      </w:r>
      <w:r>
        <w:rPr>
          <w:spacing w:val="1"/>
          <w:sz w:val="45"/>
        </w:rPr>
        <w:t xml:space="preserve"> </w:t>
      </w:r>
      <w:r>
        <w:rPr>
          <w:spacing w:val="2"/>
          <w:sz w:val="45"/>
        </w:rPr>
        <w:t>m</w:t>
      </w:r>
      <w:r>
        <w:rPr>
          <w:spacing w:val="-3"/>
          <w:sz w:val="45"/>
        </w:rPr>
        <w:t xml:space="preserve">，应选用防水， </w:t>
      </w:r>
      <w:r>
        <w:rPr>
          <w:sz w:val="45"/>
        </w:rPr>
        <w:t>易清洗材料。清洗间所有的墙面和顶面应加作防水层后再做饰面，饰面材料应满足防水、耐腐蚀的要求。</w:t>
      </w:r>
    </w:p>
    <w:p>
      <w:pPr>
        <w:pStyle w:val="ListParagraph"/>
        <w:numPr>
          <w:ilvl w:val="2"/>
          <w:numId w:val="5"/>
        </w:numPr>
        <w:tabs>
          <w:tab w:val="left" w:pos="1745"/>
        </w:tabs>
        <w:spacing w:before="7" w:after="0" w:line="388" w:lineRule="auto"/>
        <w:ind w:left="164" w:right="478" w:firstLine="0"/>
        <w:jc w:val="both"/>
        <w:rPr>
          <w:rFonts w:ascii="黑体" w:eastAsia="黑体" w:hint="eastAsia"/>
          <w:sz w:val="45"/>
        </w:rPr>
      </w:pPr>
      <w:r>
        <w:rPr>
          <w:spacing w:val="-7"/>
          <w:sz w:val="45"/>
        </w:rPr>
        <w:t xml:space="preserve">清洗间内应设置沉淀池，深度不得低于 </w:t>
      </w:r>
      <w:r>
        <w:rPr>
          <w:sz w:val="45"/>
        </w:rPr>
        <w:t xml:space="preserve">0.5 </w:t>
      </w:r>
      <w:r>
        <w:rPr>
          <w:spacing w:val="-31"/>
          <w:sz w:val="45"/>
        </w:rPr>
        <w:t>m</w:t>
      </w:r>
      <w:r>
        <w:rPr>
          <w:spacing w:val="-2"/>
          <w:sz w:val="45"/>
        </w:rPr>
        <w:t>。清洗间内污水收</w:t>
      </w:r>
      <w:r>
        <w:rPr>
          <w:sz w:val="45"/>
        </w:rPr>
        <w:t>集层和排污截水沟的污水应全部进入沉淀池，经沉淀处理达标后排入市政污水处理系统。</w:t>
      </w:r>
    </w:p>
    <w:p>
      <w:pPr>
        <w:pStyle w:val="ListParagraph"/>
        <w:numPr>
          <w:ilvl w:val="2"/>
          <w:numId w:val="5"/>
        </w:numPr>
        <w:tabs>
          <w:tab w:val="left" w:pos="1745"/>
        </w:tabs>
        <w:spacing w:before="6" w:after="0" w:line="388" w:lineRule="auto"/>
        <w:ind w:left="164" w:right="332" w:firstLine="0"/>
        <w:jc w:val="both"/>
        <w:rPr>
          <w:rFonts w:ascii="黑体" w:eastAsia="黑体" w:hint="eastAsia"/>
          <w:sz w:val="45"/>
        </w:rPr>
      </w:pPr>
      <w:r>
        <w:rPr>
          <w:spacing w:val="-1"/>
          <w:sz w:val="45"/>
        </w:rPr>
        <w:t>清洗间外端应设置挡水门，清洗作业时，须关闭挡水门，防止污</w:t>
      </w:r>
      <w:r>
        <w:rPr>
          <w:sz w:val="45"/>
        </w:rPr>
        <w:t>水外溅。</w:t>
      </w:r>
    </w:p>
    <w:p>
      <w:pPr>
        <w:pStyle w:val="ListParagraph"/>
        <w:numPr>
          <w:ilvl w:val="2"/>
          <w:numId w:val="5"/>
        </w:numPr>
        <w:tabs>
          <w:tab w:val="left" w:pos="1767"/>
        </w:tabs>
        <w:spacing w:before="4" w:after="0" w:line="388" w:lineRule="auto"/>
        <w:ind w:left="164" w:right="762" w:firstLine="0"/>
        <w:jc w:val="both"/>
        <w:rPr>
          <w:rFonts w:ascii="黑体" w:eastAsia="黑体" w:hint="eastAsia"/>
          <w:sz w:val="45"/>
        </w:rPr>
      </w:pPr>
      <w:r>
        <w:rPr>
          <w:spacing w:val="-1"/>
          <w:sz w:val="45"/>
        </w:rPr>
        <w:t>清洗间内应设置洗车台，地面和洗车台的设计除应符合清洗设</w:t>
      </w:r>
      <w:r>
        <w:rPr>
          <w:sz w:val="45"/>
        </w:rPr>
        <w:t>备、清洗工艺的要求外，还须符合下列规定：</w:t>
      </w:r>
    </w:p>
    <w:p>
      <w:pPr>
        <w:pStyle w:val="ListParagraph"/>
        <w:numPr>
          <w:ilvl w:val="3"/>
          <w:numId w:val="5"/>
        </w:numPr>
        <w:tabs>
          <w:tab w:val="left" w:pos="1744"/>
          <w:tab w:val="left" w:pos="1745"/>
        </w:tabs>
        <w:spacing w:before="4" w:after="0" w:line="240" w:lineRule="auto"/>
        <w:ind w:left="1745" w:right="0" w:hanging="681"/>
        <w:jc w:val="left"/>
        <w:rPr>
          <w:sz w:val="45"/>
        </w:rPr>
      </w:pPr>
      <w:r>
        <w:rPr>
          <w:sz w:val="45"/>
        </w:rPr>
        <w:t>清洗间地面应有较好的防水性、防滑性和排水性。</w:t>
      </w:r>
    </w:p>
    <w:p>
      <w:pPr>
        <w:pStyle w:val="ListParagraph"/>
        <w:numPr>
          <w:ilvl w:val="3"/>
          <w:numId w:val="5"/>
        </w:numPr>
        <w:tabs>
          <w:tab w:val="left" w:pos="1748"/>
          <w:tab w:val="left" w:pos="1749"/>
          <w:tab w:val="left" w:pos="11252"/>
        </w:tabs>
        <w:spacing w:before="360" w:after="0" w:line="388" w:lineRule="auto"/>
        <w:ind w:left="164" w:right="492" w:firstLine="899"/>
        <w:jc w:val="left"/>
        <w:rPr>
          <w:sz w:val="45"/>
        </w:rPr>
      </w:pPr>
      <w:r>
        <w:rPr>
          <w:sz w:val="45"/>
        </w:rPr>
        <w:t>清洗间地面须硬化，地面内外高差不低于</w:t>
      </w:r>
      <w:r>
        <w:rPr>
          <w:spacing w:val="53"/>
          <w:sz w:val="45"/>
        </w:rPr>
        <w:t xml:space="preserve"> </w:t>
      </w:r>
      <w:r>
        <w:rPr>
          <w:sz w:val="45"/>
        </w:rPr>
        <w:t>0.05</w:t>
        <w:tab/>
      </w:r>
      <w:r>
        <w:rPr>
          <w:spacing w:val="4"/>
          <w:sz w:val="45"/>
        </w:rPr>
        <w:t>m，</w:t>
      </w:r>
      <w:r>
        <w:rPr>
          <w:sz w:val="45"/>
        </w:rPr>
        <w:t>保证污水</w:t>
      </w:r>
      <w:r>
        <w:rPr>
          <w:spacing w:val="-18"/>
          <w:sz w:val="45"/>
        </w:rPr>
        <w:t>全</w:t>
      </w:r>
      <w:r>
        <w:rPr>
          <w:sz w:val="45"/>
        </w:rPr>
        <w:t>部流入沉淀池，防止外溢。</w:t>
      </w:r>
    </w:p>
    <w:p>
      <w:pPr>
        <w:pStyle w:val="ListParagraph"/>
        <w:numPr>
          <w:ilvl w:val="3"/>
          <w:numId w:val="5"/>
        </w:numPr>
        <w:tabs>
          <w:tab w:val="left" w:pos="1744"/>
          <w:tab w:val="left" w:pos="1745"/>
          <w:tab w:val="left" w:pos="7747"/>
          <w:tab w:val="left" w:pos="11275"/>
        </w:tabs>
        <w:spacing w:before="4" w:after="0" w:line="388" w:lineRule="auto"/>
        <w:ind w:left="164" w:right="477" w:firstLine="899"/>
        <w:jc w:val="left"/>
        <w:rPr>
          <w:sz w:val="45"/>
        </w:rPr>
      </w:pPr>
      <w:r>
        <w:rPr>
          <w:sz w:val="45"/>
        </w:rPr>
        <w:t>洗车台大小设置长度不小于</w:t>
      </w:r>
      <w:r>
        <w:rPr>
          <w:spacing w:val="-73"/>
          <w:sz w:val="45"/>
        </w:rPr>
        <w:t xml:space="preserve"> </w:t>
      </w:r>
      <w:r>
        <w:rPr>
          <w:sz w:val="45"/>
        </w:rPr>
        <w:t>5</w:t>
        <w:tab/>
        <w:t>m，宽度不小于</w:t>
      </w:r>
      <w:r>
        <w:rPr>
          <w:spacing w:val="-72"/>
          <w:sz w:val="45"/>
        </w:rPr>
        <w:t xml:space="preserve"> </w:t>
      </w:r>
      <w:r>
        <w:rPr>
          <w:sz w:val="45"/>
        </w:rPr>
        <w:t>3</w:t>
        <w:tab/>
        <w:t>m。设计荷载</w:t>
      </w:r>
      <w:r>
        <w:rPr>
          <w:spacing w:val="-17"/>
          <w:sz w:val="45"/>
        </w:rPr>
        <w:t>应</w:t>
      </w:r>
      <w:r>
        <w:rPr>
          <w:sz w:val="45"/>
        </w:rPr>
        <w:t>按被洗车型确定，且不得小于汽－15</w:t>
      </w:r>
      <w:r>
        <w:rPr>
          <w:spacing w:val="-110"/>
          <w:sz w:val="45"/>
        </w:rPr>
        <w:t xml:space="preserve"> </w:t>
      </w:r>
      <w:r>
        <w:rPr>
          <w:sz w:val="45"/>
        </w:rPr>
        <w:t>级。</w:t>
      </w:r>
    </w:p>
    <w:p>
      <w:pPr>
        <w:pStyle w:val="ListParagraph"/>
        <w:numPr>
          <w:ilvl w:val="3"/>
          <w:numId w:val="5"/>
        </w:numPr>
        <w:tabs>
          <w:tab w:val="left" w:pos="1744"/>
          <w:tab w:val="left" w:pos="1745"/>
          <w:tab w:val="left" w:pos="7477"/>
        </w:tabs>
        <w:spacing w:before="4" w:after="0" w:line="388" w:lineRule="auto"/>
        <w:ind w:left="164" w:right="332" w:firstLine="899"/>
        <w:jc w:val="left"/>
        <w:rPr>
          <w:sz w:val="45"/>
        </w:rPr>
      </w:pPr>
      <w:r>
        <w:rPr>
          <w:sz w:val="45"/>
        </w:rPr>
        <w:t>洗车台须全方位采用地格栅（水篱子）透水结构，地格栅（水</w:t>
      </w:r>
      <w:r>
        <w:rPr>
          <w:spacing w:val="-17"/>
          <w:sz w:val="45"/>
        </w:rPr>
        <w:t>篱</w:t>
      </w:r>
      <w:r>
        <w:rPr>
          <w:sz w:val="45"/>
        </w:rPr>
        <w:t>子）下污水收集层深度应不小于</w:t>
      </w:r>
      <w:r>
        <w:rPr>
          <w:spacing w:val="-113"/>
          <w:sz w:val="45"/>
        </w:rPr>
        <w:t xml:space="preserve"> </w:t>
      </w:r>
      <w:r>
        <w:rPr>
          <w:sz w:val="45"/>
        </w:rPr>
        <w:t>0.1</w:t>
        <w:tab/>
      </w:r>
      <w:r>
        <w:rPr>
          <w:spacing w:val="2"/>
          <w:sz w:val="45"/>
        </w:rPr>
        <w:t>m，</w:t>
      </w:r>
      <w:r>
        <w:rPr>
          <w:sz w:val="45"/>
        </w:rPr>
        <w:t>防止积水。</w:t>
      </w:r>
    </w:p>
    <w:p>
      <w:pPr>
        <w:pStyle w:val="ListParagraph"/>
        <w:numPr>
          <w:ilvl w:val="3"/>
          <w:numId w:val="5"/>
        </w:numPr>
        <w:tabs>
          <w:tab w:val="left" w:pos="1744"/>
          <w:tab w:val="left" w:pos="1745"/>
          <w:tab w:val="left" w:pos="10404"/>
        </w:tabs>
        <w:spacing w:before="4" w:after="0" w:line="240" w:lineRule="auto"/>
        <w:ind w:left="1745" w:right="0" w:hanging="681"/>
        <w:jc w:val="left"/>
        <w:rPr>
          <w:sz w:val="45"/>
        </w:rPr>
      </w:pPr>
      <w:r>
        <w:rPr>
          <w:sz w:val="45"/>
        </w:rPr>
        <w:t>洗车台后端与清洗间最外端距离不小于</w:t>
      </w:r>
      <w:r>
        <w:rPr>
          <w:spacing w:val="-116"/>
          <w:sz w:val="45"/>
        </w:rPr>
        <w:t xml:space="preserve"> </w:t>
      </w:r>
      <w:r>
        <w:rPr>
          <w:sz w:val="45"/>
        </w:rPr>
        <w:t>1.5</w:t>
        <w:tab/>
      </w:r>
      <w:r>
        <w:rPr>
          <w:spacing w:val="2"/>
          <w:sz w:val="45"/>
        </w:rPr>
        <w:t>m，</w:t>
      </w:r>
      <w:r>
        <w:rPr>
          <w:sz w:val="45"/>
        </w:rPr>
        <w:t>防止污水外溅。</w:t>
      </w:r>
    </w:p>
    <w:p>
      <w:pPr>
        <w:spacing w:after="0" w:line="240" w:lineRule="auto"/>
        <w:jc w:val="left"/>
        <w:rPr>
          <w:sz w:val="45"/>
        </w:rPr>
      </w:pPr>
      <w:r>
        <w:rPr>
          <w:sz w:val="45"/>
        </w:rPr>
        <w:br/>
      </w:r>
      <w:r>
        <w:rPr>
          <w:sz w:val="4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https://d.book118.com/307145104105006052</w:t>
        </w:r>
      </w:hyperlink>
    </w:p>
    <w:p>
      <w:pPr>
        <w:spacing w:after="0" w:line="240" w:lineRule="auto"/>
        <w:jc w:val="left"/>
        <w:rPr>
          <w:sz w:val="45"/>
        </w:rPr>
      </w:pPr>
    </w:p>
    <w:sectPr>
      <w:pgSz w:w="17860" w:h="25260"/>
      <w:pgMar w:top="1880" w:right="1220" w:bottom="280" w:left="1960" w:header="708" w:footer="70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249495"/>
    <w:multiLevelType w:val="hybridMultilevel"/>
    <w:tmpl w:val="00000000"/>
    <w:lvl w:ilvl="0">
      <w:start w:val="7"/>
      <w:numFmt w:val="decimal"/>
      <w:lvlText w:val="%1"/>
      <w:lvlJc w:val="left"/>
      <w:pPr>
        <w:ind w:left="982" w:hanging="818"/>
        <w:jc w:val="left"/>
      </w:pPr>
      <w:rPr>
        <w:rFonts w:ascii="黑体" w:eastAsia="黑体" w:hAnsi="黑体" w:cs="黑体" w:hint="default"/>
        <w:b/>
        <w:bCs/>
        <w:w w:val="99"/>
        <w:sz w:val="54"/>
        <w:szCs w:val="54"/>
      </w:rPr>
    </w:lvl>
    <w:lvl w:ilvl="1">
      <w:start w:val="1"/>
      <w:numFmt w:val="decimal"/>
      <w:lvlText w:val="%1.%2"/>
      <w:lvlJc w:val="left"/>
      <w:pPr>
        <w:ind w:left="1367" w:hanging="1203"/>
        <w:jc w:val="left"/>
      </w:pPr>
      <w:rPr>
        <w:rFonts w:hint="default"/>
        <w:w w:val="99"/>
      </w:rPr>
    </w:lvl>
    <w:lvl w:ilvl="2">
      <w:start w:val="1"/>
      <w:numFmt w:val="decimal"/>
      <w:lvlText w:val="%1.%2.%3"/>
      <w:lvlJc w:val="left"/>
      <w:pPr>
        <w:ind w:left="164" w:hanging="1203"/>
        <w:jc w:val="left"/>
      </w:pPr>
      <w:rPr>
        <w:rFonts w:ascii="黑体" w:eastAsia="黑体" w:hAnsi="黑体" w:cs="黑体" w:hint="default"/>
        <w:w w:val="100"/>
        <w:sz w:val="45"/>
        <w:szCs w:val="45"/>
      </w:rPr>
    </w:lvl>
    <w:lvl w:ilvl="3">
      <w:start w:val="1"/>
      <w:numFmt w:val="decimal"/>
      <w:lvlText w:val="%4"/>
      <w:lvlJc w:val="left"/>
      <w:pPr>
        <w:ind w:left="1727" w:hanging="681"/>
        <w:jc w:val="left"/>
      </w:pPr>
      <w:rPr>
        <w:rFonts w:ascii="宋体" w:eastAsia="宋体" w:hAnsi="宋体" w:cs="宋体" w:hint="default"/>
        <w:w w:val="100"/>
        <w:sz w:val="45"/>
        <w:szCs w:val="45"/>
      </w:rPr>
    </w:lvl>
    <w:lvl w:ilvl="4">
      <w:start w:val="0"/>
      <w:numFmt w:val="bullet"/>
      <w:lvlText w:val="•"/>
      <w:lvlJc w:val="left"/>
      <w:pPr>
        <w:ind w:left="1720" w:hanging="681"/>
      </w:pPr>
      <w:rPr>
        <w:rFonts w:hint="default"/>
      </w:rPr>
    </w:lvl>
    <w:lvl w:ilvl="5">
      <w:start w:val="0"/>
      <w:numFmt w:val="bullet"/>
      <w:lvlText w:val="•"/>
      <w:lvlJc w:val="left"/>
      <w:pPr>
        <w:ind w:left="1740" w:hanging="681"/>
      </w:pPr>
      <w:rPr>
        <w:rFonts w:hint="default"/>
      </w:rPr>
    </w:lvl>
    <w:lvl w:ilvl="6">
      <w:start w:val="0"/>
      <w:numFmt w:val="bullet"/>
      <w:lvlText w:val="•"/>
      <w:lvlJc w:val="left"/>
      <w:pPr>
        <w:ind w:left="4327" w:hanging="681"/>
      </w:pPr>
      <w:rPr>
        <w:rFonts w:hint="default"/>
      </w:rPr>
    </w:lvl>
    <w:lvl w:ilvl="7">
      <w:start w:val="0"/>
      <w:numFmt w:val="bullet"/>
      <w:lvlText w:val="•"/>
      <w:lvlJc w:val="left"/>
      <w:pPr>
        <w:ind w:left="6915" w:hanging="681"/>
      </w:pPr>
      <w:rPr>
        <w:rFonts w:hint="default"/>
      </w:rPr>
    </w:lvl>
    <w:lvl w:ilvl="8">
      <w:start w:val="0"/>
      <w:numFmt w:val="bullet"/>
      <w:lvlText w:val="•"/>
      <w:lvlJc w:val="left"/>
      <w:pPr>
        <w:ind w:left="9503" w:hanging="681"/>
      </w:pPr>
      <w:rPr>
        <w:rFonts w:hint="default"/>
      </w:rPr>
    </w:lvl>
  </w:abstractNum>
  <w:abstractNum w:abstractNumId="1">
    <w:nsid w:val="30F7454B"/>
    <w:multiLevelType w:val="hybridMultilevel"/>
    <w:tmpl w:val="00000000"/>
    <w:lvl w:ilvl="0">
      <w:start w:val="1"/>
      <w:numFmt w:val="decimal"/>
      <w:lvlText w:val="%1"/>
      <w:lvlJc w:val="left"/>
      <w:pPr>
        <w:ind w:left="982" w:hanging="818"/>
        <w:jc w:val="left"/>
      </w:pPr>
      <w:rPr>
        <w:rFonts w:ascii="黑体" w:eastAsia="黑体" w:hAnsi="黑体" w:cs="黑体" w:hint="default"/>
        <w:b/>
        <w:bCs/>
        <w:w w:val="99"/>
        <w:sz w:val="54"/>
        <w:szCs w:val="54"/>
      </w:rPr>
    </w:lvl>
    <w:lvl w:ilvl="1">
      <w:start w:val="1"/>
      <w:numFmt w:val="decimal"/>
      <w:lvlText w:val="%1.%2"/>
      <w:lvlJc w:val="left"/>
      <w:pPr>
        <w:ind w:left="1367" w:hanging="1203"/>
        <w:jc w:val="left"/>
      </w:pPr>
      <w:rPr>
        <w:rFonts w:hint="default"/>
        <w:w w:val="99"/>
      </w:rPr>
    </w:lvl>
    <w:lvl w:ilvl="2">
      <w:start w:val="0"/>
      <w:numFmt w:val="bullet"/>
      <w:lvlText w:val="•"/>
      <w:lvlJc w:val="left"/>
      <w:pPr>
        <w:ind w:left="1300" w:hanging="1203"/>
      </w:pPr>
      <w:rPr>
        <w:rFonts w:hint="default"/>
      </w:rPr>
    </w:lvl>
    <w:lvl w:ilvl="3">
      <w:start w:val="0"/>
      <w:numFmt w:val="bullet"/>
      <w:lvlText w:val="•"/>
      <w:lvlJc w:val="left"/>
      <w:pPr>
        <w:ind w:left="1360" w:hanging="1203"/>
      </w:pPr>
      <w:rPr>
        <w:rFonts w:hint="default"/>
      </w:rPr>
    </w:lvl>
    <w:lvl w:ilvl="4">
      <w:start w:val="0"/>
      <w:numFmt w:val="bullet"/>
      <w:lvlText w:val="•"/>
      <w:lvlJc w:val="left"/>
      <w:pPr>
        <w:ind w:left="3262" w:hanging="1203"/>
      </w:pPr>
      <w:rPr>
        <w:rFonts w:hint="default"/>
      </w:rPr>
    </w:lvl>
    <w:lvl w:ilvl="5">
      <w:start w:val="0"/>
      <w:numFmt w:val="bullet"/>
      <w:lvlText w:val="•"/>
      <w:lvlJc w:val="left"/>
      <w:pPr>
        <w:ind w:left="5165" w:hanging="1203"/>
      </w:pPr>
      <w:rPr>
        <w:rFonts w:hint="default"/>
      </w:rPr>
    </w:lvl>
    <w:lvl w:ilvl="6">
      <w:start w:val="0"/>
      <w:numFmt w:val="bullet"/>
      <w:lvlText w:val="•"/>
      <w:lvlJc w:val="left"/>
      <w:pPr>
        <w:ind w:left="7068" w:hanging="1203"/>
      </w:pPr>
      <w:rPr>
        <w:rFonts w:hint="default"/>
      </w:rPr>
    </w:lvl>
    <w:lvl w:ilvl="7">
      <w:start w:val="0"/>
      <w:numFmt w:val="bullet"/>
      <w:lvlText w:val="•"/>
      <w:lvlJc w:val="left"/>
      <w:pPr>
        <w:ind w:left="8971" w:hanging="1203"/>
      </w:pPr>
      <w:rPr>
        <w:rFonts w:hint="default"/>
      </w:rPr>
    </w:lvl>
    <w:lvl w:ilvl="8">
      <w:start w:val="0"/>
      <w:numFmt w:val="bullet"/>
      <w:lvlText w:val="•"/>
      <w:lvlJc w:val="left"/>
      <w:pPr>
        <w:ind w:left="10874" w:hanging="1203"/>
      </w:pPr>
      <w:rPr>
        <w:rFonts w:hint="default"/>
      </w:rPr>
    </w:lvl>
  </w:abstractNum>
  <w:abstractNum w:abstractNumId="2">
    <w:nsid w:val="3A6F8BB2"/>
    <w:multiLevelType w:val="hybridMultilevel"/>
    <w:tmpl w:val="00000000"/>
    <w:lvl w:ilvl="0">
      <w:start w:val="2"/>
      <w:numFmt w:val="decimal"/>
      <w:lvlText w:val="%1"/>
      <w:lvlJc w:val="left"/>
      <w:pPr>
        <w:ind w:left="647" w:hanging="483"/>
        <w:jc w:val="left"/>
      </w:pPr>
      <w:rPr>
        <w:rFonts w:ascii="黑体" w:eastAsia="黑体" w:hAnsi="黑体" w:cs="黑体" w:hint="default"/>
        <w:w w:val="99"/>
        <w:sz w:val="48"/>
        <w:szCs w:val="48"/>
      </w:rPr>
    </w:lvl>
    <w:lvl w:ilvl="1">
      <w:start w:val="0"/>
      <w:numFmt w:val="bullet"/>
      <w:lvlText w:val="•"/>
      <w:lvlJc w:val="left"/>
      <w:pPr>
        <w:ind w:left="2043" w:hanging="483"/>
      </w:pPr>
      <w:rPr>
        <w:rFonts w:hint="default"/>
      </w:rPr>
    </w:lvl>
    <w:lvl w:ilvl="2">
      <w:start w:val="0"/>
      <w:numFmt w:val="bullet"/>
      <w:lvlText w:val="•"/>
      <w:lvlJc w:val="left"/>
      <w:pPr>
        <w:ind w:left="3447" w:hanging="483"/>
      </w:pPr>
      <w:rPr>
        <w:rFonts w:hint="default"/>
      </w:rPr>
    </w:lvl>
    <w:lvl w:ilvl="3">
      <w:start w:val="0"/>
      <w:numFmt w:val="bullet"/>
      <w:lvlText w:val="•"/>
      <w:lvlJc w:val="left"/>
      <w:pPr>
        <w:ind w:left="4851" w:hanging="483"/>
      </w:pPr>
      <w:rPr>
        <w:rFonts w:hint="default"/>
      </w:rPr>
    </w:lvl>
    <w:lvl w:ilvl="4">
      <w:start w:val="0"/>
      <w:numFmt w:val="bullet"/>
      <w:lvlText w:val="•"/>
      <w:lvlJc w:val="left"/>
      <w:pPr>
        <w:ind w:left="6255" w:hanging="483"/>
      </w:pPr>
      <w:rPr>
        <w:rFonts w:hint="default"/>
      </w:rPr>
    </w:lvl>
    <w:lvl w:ilvl="5">
      <w:start w:val="0"/>
      <w:numFmt w:val="bullet"/>
      <w:lvlText w:val="•"/>
      <w:lvlJc w:val="left"/>
      <w:pPr>
        <w:ind w:left="7659" w:hanging="483"/>
      </w:pPr>
      <w:rPr>
        <w:rFonts w:hint="default"/>
      </w:rPr>
    </w:lvl>
    <w:lvl w:ilvl="6">
      <w:start w:val="0"/>
      <w:numFmt w:val="bullet"/>
      <w:lvlText w:val="•"/>
      <w:lvlJc w:val="left"/>
      <w:pPr>
        <w:ind w:left="9063" w:hanging="483"/>
      </w:pPr>
      <w:rPr>
        <w:rFonts w:hint="default"/>
      </w:rPr>
    </w:lvl>
    <w:lvl w:ilvl="7">
      <w:start w:val="0"/>
      <w:numFmt w:val="bullet"/>
      <w:lvlText w:val="•"/>
      <w:lvlJc w:val="left"/>
      <w:pPr>
        <w:ind w:left="10467" w:hanging="483"/>
      </w:pPr>
      <w:rPr>
        <w:rFonts w:hint="default"/>
      </w:rPr>
    </w:lvl>
    <w:lvl w:ilvl="8">
      <w:start w:val="0"/>
      <w:numFmt w:val="bullet"/>
      <w:lvlText w:val="•"/>
      <w:lvlJc w:val="left"/>
      <w:pPr>
        <w:ind w:left="11871" w:hanging="483"/>
      </w:pPr>
      <w:rPr>
        <w:rFonts w:hint="default"/>
      </w:rPr>
    </w:lvl>
  </w:abstractNum>
  <w:abstractNum w:abstractNumId="3">
    <w:nsid w:val="5F01F78C"/>
    <w:multiLevelType w:val="hybridMultilevel"/>
    <w:tmpl w:val="00000000"/>
    <w:lvl w:ilvl="0">
      <w:start w:val="6"/>
      <w:numFmt w:val="decimal"/>
      <w:lvlText w:val="%1"/>
      <w:lvlJc w:val="left"/>
      <w:pPr>
        <w:ind w:left="647" w:hanging="483"/>
        <w:jc w:val="left"/>
      </w:pPr>
      <w:rPr>
        <w:rFonts w:ascii="黑体" w:eastAsia="黑体" w:hAnsi="黑体" w:cs="黑体" w:hint="default"/>
        <w:w w:val="99"/>
        <w:sz w:val="48"/>
        <w:szCs w:val="48"/>
      </w:rPr>
    </w:lvl>
    <w:lvl w:ilvl="1">
      <w:start w:val="0"/>
      <w:numFmt w:val="bullet"/>
      <w:lvlText w:val="•"/>
      <w:lvlJc w:val="left"/>
      <w:pPr>
        <w:ind w:left="2043" w:hanging="483"/>
      </w:pPr>
      <w:rPr>
        <w:rFonts w:hint="default"/>
      </w:rPr>
    </w:lvl>
    <w:lvl w:ilvl="2">
      <w:start w:val="0"/>
      <w:numFmt w:val="bullet"/>
      <w:lvlText w:val="•"/>
      <w:lvlJc w:val="left"/>
      <w:pPr>
        <w:ind w:left="3447" w:hanging="483"/>
      </w:pPr>
      <w:rPr>
        <w:rFonts w:hint="default"/>
      </w:rPr>
    </w:lvl>
    <w:lvl w:ilvl="3">
      <w:start w:val="0"/>
      <w:numFmt w:val="bullet"/>
      <w:lvlText w:val="•"/>
      <w:lvlJc w:val="left"/>
      <w:pPr>
        <w:ind w:left="4851" w:hanging="483"/>
      </w:pPr>
      <w:rPr>
        <w:rFonts w:hint="default"/>
      </w:rPr>
    </w:lvl>
    <w:lvl w:ilvl="4">
      <w:start w:val="0"/>
      <w:numFmt w:val="bullet"/>
      <w:lvlText w:val="•"/>
      <w:lvlJc w:val="left"/>
      <w:pPr>
        <w:ind w:left="6255" w:hanging="483"/>
      </w:pPr>
      <w:rPr>
        <w:rFonts w:hint="default"/>
      </w:rPr>
    </w:lvl>
    <w:lvl w:ilvl="5">
      <w:start w:val="0"/>
      <w:numFmt w:val="bullet"/>
      <w:lvlText w:val="•"/>
      <w:lvlJc w:val="left"/>
      <w:pPr>
        <w:ind w:left="7659" w:hanging="483"/>
      </w:pPr>
      <w:rPr>
        <w:rFonts w:hint="default"/>
      </w:rPr>
    </w:lvl>
    <w:lvl w:ilvl="6">
      <w:start w:val="0"/>
      <w:numFmt w:val="bullet"/>
      <w:lvlText w:val="•"/>
      <w:lvlJc w:val="left"/>
      <w:pPr>
        <w:ind w:left="9063" w:hanging="483"/>
      </w:pPr>
      <w:rPr>
        <w:rFonts w:hint="default"/>
      </w:rPr>
    </w:lvl>
    <w:lvl w:ilvl="7">
      <w:start w:val="0"/>
      <w:numFmt w:val="bullet"/>
      <w:lvlText w:val="•"/>
      <w:lvlJc w:val="left"/>
      <w:pPr>
        <w:ind w:left="10467" w:hanging="483"/>
      </w:pPr>
      <w:rPr>
        <w:rFonts w:hint="default"/>
      </w:rPr>
    </w:lvl>
    <w:lvl w:ilvl="8">
      <w:start w:val="0"/>
      <w:numFmt w:val="bullet"/>
      <w:lvlText w:val="•"/>
      <w:lvlJc w:val="left"/>
      <w:pPr>
        <w:ind w:left="11871" w:hanging="483"/>
      </w:pPr>
      <w:rPr>
        <w:rFonts w:hint="default"/>
      </w:rPr>
    </w:lvl>
  </w:abstractNum>
  <w:abstractNum w:abstractNumId="4">
    <w:nsid w:val="5FEB1027"/>
    <w:multiLevelType w:val="hybridMultilevel"/>
    <w:tmpl w:val="00000000"/>
    <w:lvl w:ilvl="0">
      <w:start w:val="1"/>
      <w:numFmt w:val="decimal"/>
      <w:lvlText w:val="%1"/>
      <w:lvlJc w:val="left"/>
      <w:pPr>
        <w:ind w:left="982" w:hanging="818"/>
        <w:jc w:val="left"/>
      </w:pPr>
      <w:rPr>
        <w:rFonts w:ascii="黑体" w:eastAsia="黑体" w:hAnsi="黑体" w:cs="黑体" w:hint="default"/>
        <w:b/>
        <w:bCs/>
        <w:w w:val="99"/>
        <w:sz w:val="54"/>
        <w:szCs w:val="54"/>
      </w:rPr>
    </w:lvl>
    <w:lvl w:ilvl="1">
      <w:start w:val="1"/>
      <w:numFmt w:val="decimal"/>
      <w:lvlText w:val="%1.%2"/>
      <w:lvlJc w:val="left"/>
      <w:pPr>
        <w:ind w:left="1367" w:hanging="1203"/>
        <w:jc w:val="left"/>
      </w:pPr>
      <w:rPr>
        <w:rFonts w:hint="default"/>
        <w:w w:val="99"/>
      </w:rPr>
    </w:lvl>
    <w:lvl w:ilvl="2">
      <w:start w:val="1"/>
      <w:numFmt w:val="decimal"/>
      <w:lvlText w:val="%1.%2.%3"/>
      <w:lvlJc w:val="left"/>
      <w:pPr>
        <w:ind w:left="1745" w:hanging="1581"/>
        <w:jc w:val="left"/>
      </w:pPr>
      <w:rPr>
        <w:rFonts w:hint="default"/>
        <w:w w:val="100"/>
      </w:rPr>
    </w:lvl>
    <w:lvl w:ilvl="3">
      <w:start w:val="1"/>
      <w:numFmt w:val="decimal"/>
      <w:lvlText w:val="%4"/>
      <w:lvlJc w:val="left"/>
      <w:pPr>
        <w:ind w:left="1745" w:hanging="681"/>
        <w:jc w:val="left"/>
      </w:pPr>
      <w:rPr>
        <w:rFonts w:ascii="宋体" w:eastAsia="宋体" w:hAnsi="宋体" w:cs="宋体" w:hint="default"/>
        <w:w w:val="100"/>
        <w:sz w:val="45"/>
        <w:szCs w:val="45"/>
      </w:rPr>
    </w:lvl>
    <w:lvl w:ilvl="4">
      <w:start w:val="0"/>
      <w:numFmt w:val="bullet"/>
      <w:lvlText w:val="•"/>
      <w:lvlJc w:val="left"/>
      <w:pPr>
        <w:ind w:left="1740" w:hanging="681"/>
      </w:pPr>
      <w:rPr>
        <w:rFonts w:hint="default"/>
      </w:rPr>
    </w:lvl>
    <w:lvl w:ilvl="5">
      <w:start w:val="0"/>
      <w:numFmt w:val="bullet"/>
      <w:lvlText w:val="•"/>
      <w:lvlJc w:val="left"/>
      <w:pPr>
        <w:ind w:left="3896" w:hanging="681"/>
      </w:pPr>
      <w:rPr>
        <w:rFonts w:hint="default"/>
      </w:rPr>
    </w:lvl>
    <w:lvl w:ilvl="6">
      <w:start w:val="0"/>
      <w:numFmt w:val="bullet"/>
      <w:lvlText w:val="•"/>
      <w:lvlJc w:val="left"/>
      <w:pPr>
        <w:ind w:left="6053" w:hanging="681"/>
      </w:pPr>
      <w:rPr>
        <w:rFonts w:hint="default"/>
      </w:rPr>
    </w:lvl>
    <w:lvl w:ilvl="7">
      <w:start w:val="0"/>
      <w:numFmt w:val="bullet"/>
      <w:lvlText w:val="•"/>
      <w:lvlJc w:val="left"/>
      <w:pPr>
        <w:ind w:left="8209" w:hanging="681"/>
      </w:pPr>
      <w:rPr>
        <w:rFonts w:hint="default"/>
      </w:rPr>
    </w:lvl>
    <w:lvl w:ilvl="8">
      <w:start w:val="0"/>
      <w:numFmt w:val="bullet"/>
      <w:lvlText w:val="•"/>
      <w:lvlJc w:val="left"/>
      <w:pPr>
        <w:ind w:left="10366" w:hanging="681"/>
      </w:pPr>
      <w:rPr>
        <w:rFonts w:hint="default"/>
      </w:rPr>
    </w:lvl>
  </w:abstractNum>
  <w:abstractNum w:abstractNumId="5">
    <w:nsid w:val="6A99749C"/>
    <w:multiLevelType w:val="hybridMultilevel"/>
    <w:tmpl w:val="00000000"/>
    <w:lvl w:ilvl="0">
      <w:start w:val="1"/>
      <w:numFmt w:val="decimal"/>
      <w:lvlText w:val="%1"/>
      <w:lvlJc w:val="left"/>
      <w:pPr>
        <w:ind w:left="884" w:hanging="720"/>
        <w:jc w:val="left"/>
      </w:pPr>
      <w:rPr>
        <w:rFonts w:ascii="黑体" w:eastAsia="黑体" w:hAnsi="黑体" w:cs="黑体" w:hint="default"/>
        <w:w w:val="99"/>
        <w:sz w:val="48"/>
        <w:szCs w:val="48"/>
      </w:rPr>
    </w:lvl>
    <w:lvl w:ilvl="1">
      <w:start w:val="0"/>
      <w:numFmt w:val="bullet"/>
      <w:lvlText w:val="•"/>
      <w:lvlJc w:val="left"/>
      <w:pPr>
        <w:ind w:left="2259" w:hanging="720"/>
      </w:pPr>
      <w:rPr>
        <w:rFonts w:hint="default"/>
      </w:rPr>
    </w:lvl>
    <w:lvl w:ilvl="2">
      <w:start w:val="0"/>
      <w:numFmt w:val="bullet"/>
      <w:lvlText w:val="•"/>
      <w:lvlJc w:val="left"/>
      <w:pPr>
        <w:ind w:left="3639" w:hanging="720"/>
      </w:pPr>
      <w:rPr>
        <w:rFonts w:hint="default"/>
      </w:rPr>
    </w:lvl>
    <w:lvl w:ilvl="3">
      <w:start w:val="0"/>
      <w:numFmt w:val="bullet"/>
      <w:lvlText w:val="•"/>
      <w:lvlJc w:val="left"/>
      <w:pPr>
        <w:ind w:left="5019" w:hanging="720"/>
      </w:pPr>
      <w:rPr>
        <w:rFonts w:hint="default"/>
      </w:rPr>
    </w:lvl>
    <w:lvl w:ilvl="4">
      <w:start w:val="0"/>
      <w:numFmt w:val="bullet"/>
      <w:lvlText w:val="•"/>
      <w:lvlJc w:val="left"/>
      <w:pPr>
        <w:ind w:left="6399" w:hanging="720"/>
      </w:pPr>
      <w:rPr>
        <w:rFonts w:hint="default"/>
      </w:rPr>
    </w:lvl>
    <w:lvl w:ilvl="5">
      <w:start w:val="0"/>
      <w:numFmt w:val="bullet"/>
      <w:lvlText w:val="•"/>
      <w:lvlJc w:val="left"/>
      <w:pPr>
        <w:ind w:left="7779" w:hanging="720"/>
      </w:pPr>
      <w:rPr>
        <w:rFonts w:hint="default"/>
      </w:rPr>
    </w:lvl>
    <w:lvl w:ilvl="6">
      <w:start w:val="0"/>
      <w:numFmt w:val="bullet"/>
      <w:lvlText w:val="•"/>
      <w:lvlJc w:val="left"/>
      <w:pPr>
        <w:ind w:left="9159" w:hanging="720"/>
      </w:pPr>
      <w:rPr>
        <w:rFonts w:hint="default"/>
      </w:rPr>
    </w:lvl>
    <w:lvl w:ilvl="7">
      <w:start w:val="0"/>
      <w:numFmt w:val="bullet"/>
      <w:lvlText w:val="•"/>
      <w:lvlJc w:val="left"/>
      <w:pPr>
        <w:ind w:left="10539" w:hanging="720"/>
      </w:pPr>
      <w:rPr>
        <w:rFonts w:hint="default"/>
      </w:rPr>
    </w:lvl>
    <w:lvl w:ilvl="8">
      <w:start w:val="0"/>
      <w:numFmt w:val="bullet"/>
      <w:lvlText w:val="•"/>
      <w:lvlJc w:val="left"/>
      <w:pPr>
        <w:ind w:left="11919" w:hanging="720"/>
      </w:pPr>
      <w:rPr>
        <w:rFonts w:hint="default"/>
      </w:rPr>
    </w:lvl>
  </w:abstractNum>
  <w:num w:numId="1">
    <w:abstractNumId w:val="1"/>
  </w:num>
  <w:num w:numId="2">
    <w:abstractNumId w:val="3"/>
  </w:num>
  <w:num w:numId="3">
    <w:abstractNumId w:val="2"/>
  </w:num>
  <w:num w:numId="4">
    <w:abstractNumId w:val="0"/>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982" w:hanging="818"/>
      <w:outlineLvl w:val="0"/>
    </w:pPr>
    <w:rPr>
      <w:rFonts w:ascii="黑体" w:eastAsia="黑体" w:hAnsi="黑体" w:cs="黑体"/>
      <w:b/>
      <w:bCs/>
      <w:sz w:val="54"/>
      <w:szCs w:val="54"/>
    </w:rPr>
  </w:style>
  <w:style w:type="paragraph" w:styleId="Heading2">
    <w:name w:val="heading 2"/>
    <w:basedOn w:val="Normal"/>
    <w:uiPriority w:val="1"/>
    <w:qFormat/>
    <w:pPr>
      <w:ind w:left="1367" w:hanging="1203"/>
      <w:outlineLvl w:val="1"/>
    </w:pPr>
    <w:rPr>
      <w:rFonts w:ascii="黑体" w:eastAsia="黑体" w:hAnsi="黑体" w:cs="黑体"/>
      <w:sz w:val="48"/>
      <w:szCs w:val="48"/>
    </w:rPr>
  </w:style>
  <w:style w:type="paragraph" w:styleId="Heading3">
    <w:name w:val="heading 3"/>
    <w:basedOn w:val="Normal"/>
    <w:uiPriority w:val="1"/>
    <w:qFormat/>
    <w:pPr>
      <w:spacing w:before="360"/>
      <w:ind w:left="164" w:right="501"/>
      <w:outlineLvl w:val="2"/>
    </w:pPr>
    <w:rPr>
      <w:rFonts w:ascii="宋体" w:eastAsia="宋体" w:hAnsi="宋体" w:cs="宋体"/>
      <w:b/>
      <w:bCs/>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21"/>
      <w:ind w:left="884" w:hanging="721"/>
    </w:pPr>
    <w:rPr>
      <w:rFonts w:ascii="黑体" w:eastAsia="黑体" w:hAnsi="黑体" w:cs="黑体"/>
      <w:sz w:val="48"/>
      <w:szCs w:val="48"/>
    </w:rPr>
  </w:style>
  <w:style w:type="paragraph" w:styleId="BodyText">
    <w:name w:val="Body Text"/>
    <w:basedOn w:val="Normal"/>
    <w:uiPriority w:val="1"/>
    <w:qFormat/>
    <w:rPr>
      <w:rFonts w:ascii="宋体" w:eastAsia="宋体" w:hAnsi="宋体" w:cs="宋体"/>
      <w:sz w:val="45"/>
      <w:szCs w:val="45"/>
    </w:rPr>
  </w:style>
  <w:style w:type="paragraph" w:styleId="ListParagraph">
    <w:name w:val="List Paragraph"/>
    <w:basedOn w:val="Normal"/>
    <w:uiPriority w:val="1"/>
    <w:qFormat/>
    <w:pPr>
      <w:ind w:left="164"/>
    </w:pPr>
    <w:rPr>
      <w:rFonts w:ascii="宋体" w:eastAsia="宋体" w:hAnsi="宋体" w:cs="宋体"/>
    </w:rPr>
  </w:style>
  <w:style w:type="paragraph" w:customStyle="1" w:styleId="TableParagraph">
    <w:name w:val="Table Paragraph"/>
    <w:basedOn w:val="Normal"/>
    <w:uiPriority w:val="1"/>
    <w:qFormat/>
    <w:pPr>
      <w:spacing w:before="179"/>
      <w:ind w:left="50"/>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0714510410500605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2024-02-26T22:13:23Z</dcterms:created>
  <dcterms:modified xsi:type="dcterms:W3CDTF">2024-02-26T22:13:23Z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2022-12-16T00:00:00Z</vt:filetime>
  </property>
  <property fmtid="{D5CDD505-2E9C-101B-9397-08002B2CF9AE}" pid="3" name="LastSaved">
    <vt:filetime>2024-02-26T00:00:00Z</vt:filetime>
  </property>
</Properties>
</file>