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等离子体沉积和刻蚀设备项目规划设计纲要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33" w:history="1">
        <w:r>
          <w:rPr>
            <w:rFonts w:ascii="仿宋" w:eastAsia="仿宋" w:hAnsi="仿宋" w:cs="仿宋" w:hint="eastAsia"/>
            <w:lang w:eastAsia="zh-CN"/>
          </w:rPr>
          <w:t>前言</w:t>
        </w:r>
        <w:r>
          <w:tab/>
        </w:r>
        <w:r>
          <w:fldChar w:fldCharType="begin"/>
        </w:r>
        <w:r>
          <w:instrText xml:space="preserve"> PAGEREF _Toc29733 \h </w:instrText>
        </w:r>
        <w:r>
          <w:fldChar w:fldCharType="separate"/>
        </w:r>
        <w:r>
          <w:t>3</w:t>
        </w:r>
        <w:r>
          <w:fldChar w:fldCharType="end"/>
        </w:r>
      </w:hyperlink>
    </w:p>
    <w:p>
      <w:pPr>
        <w:pStyle w:val="TOC1"/>
        <w:tabs>
          <w:tab w:val="right" w:leader="dot" w:pos="8306"/>
        </w:tabs>
      </w:pPr>
      <w:hyperlink w:anchor="_Toc8626" w:history="1">
        <w:r>
          <w:rPr>
            <w:rFonts w:ascii="仿宋" w:eastAsia="仿宋" w:hAnsi="仿宋" w:cs="仿宋" w:hint="eastAsia"/>
            <w:lang w:eastAsia="zh-CN"/>
          </w:rPr>
          <w:t>一、等离子体沉积和刻蚀设备项目土建工程</w:t>
        </w:r>
        <w:r>
          <w:tab/>
        </w:r>
        <w:r>
          <w:fldChar w:fldCharType="begin"/>
        </w:r>
        <w:r>
          <w:instrText xml:space="preserve"> PAGEREF _Toc8626 \h </w:instrText>
        </w:r>
        <w:r>
          <w:fldChar w:fldCharType="separate"/>
        </w:r>
        <w:r>
          <w:t>3</w:t>
        </w:r>
        <w:r>
          <w:fldChar w:fldCharType="end"/>
        </w:r>
      </w:hyperlink>
    </w:p>
    <w:p>
      <w:pPr>
        <w:pStyle w:val="TOC2"/>
        <w:tabs>
          <w:tab w:val="right" w:leader="dot" w:pos="8306"/>
        </w:tabs>
      </w:pPr>
      <w:hyperlink w:anchor="_Toc14876" w:history="1">
        <w:r>
          <w:rPr>
            <w:rFonts w:ascii="仿宋" w:eastAsia="仿宋" w:hAnsi="仿宋" w:cs="仿宋" w:hint="eastAsia"/>
            <w:lang w:eastAsia="zh-CN"/>
          </w:rPr>
          <w:t>(一)、建筑工程设计原则</w:t>
        </w:r>
        <w:r>
          <w:tab/>
        </w:r>
        <w:r>
          <w:fldChar w:fldCharType="begin"/>
        </w:r>
        <w:r>
          <w:instrText xml:space="preserve"> PAGEREF _Toc14876 \h </w:instrText>
        </w:r>
        <w:r>
          <w:fldChar w:fldCharType="separate"/>
        </w:r>
        <w:r>
          <w:t>3</w:t>
        </w:r>
        <w:r>
          <w:fldChar w:fldCharType="end"/>
        </w:r>
      </w:hyperlink>
    </w:p>
    <w:p>
      <w:pPr>
        <w:pStyle w:val="TOC2"/>
        <w:tabs>
          <w:tab w:val="right" w:leader="dot" w:pos="8306"/>
        </w:tabs>
      </w:pPr>
      <w:hyperlink w:anchor="_Toc19870" w:history="1">
        <w:r>
          <w:rPr>
            <w:rFonts w:ascii="仿宋" w:eastAsia="仿宋" w:hAnsi="仿宋" w:cs="仿宋" w:hint="eastAsia"/>
            <w:lang w:eastAsia="zh-CN"/>
          </w:rPr>
          <w:t>(二)、土建工程设计年限及安全等级</w:t>
        </w:r>
        <w:r>
          <w:tab/>
        </w:r>
        <w:r>
          <w:fldChar w:fldCharType="begin"/>
        </w:r>
        <w:r>
          <w:instrText xml:space="preserve"> PAGEREF _Toc19870 \h </w:instrText>
        </w:r>
        <w:r>
          <w:fldChar w:fldCharType="separate"/>
        </w:r>
        <w:r>
          <w:t>4</w:t>
        </w:r>
        <w:r>
          <w:fldChar w:fldCharType="end"/>
        </w:r>
      </w:hyperlink>
    </w:p>
    <w:p>
      <w:pPr>
        <w:pStyle w:val="TOC2"/>
        <w:tabs>
          <w:tab w:val="right" w:leader="dot" w:pos="8306"/>
        </w:tabs>
      </w:pPr>
      <w:hyperlink w:anchor="_Toc32002" w:history="1">
        <w:r>
          <w:rPr>
            <w:rFonts w:ascii="仿宋" w:eastAsia="仿宋" w:hAnsi="仿宋" w:cs="仿宋" w:hint="eastAsia"/>
            <w:lang w:eastAsia="zh-CN"/>
          </w:rPr>
          <w:t>(三)、建筑工程设计总体要求</w:t>
        </w:r>
        <w:r>
          <w:tab/>
        </w:r>
        <w:r>
          <w:fldChar w:fldCharType="begin"/>
        </w:r>
        <w:r>
          <w:instrText xml:space="preserve"> PAGEREF _Toc32002 \h </w:instrText>
        </w:r>
        <w:r>
          <w:fldChar w:fldCharType="separate"/>
        </w:r>
        <w:r>
          <w:t>5</w:t>
        </w:r>
        <w:r>
          <w:fldChar w:fldCharType="end"/>
        </w:r>
      </w:hyperlink>
    </w:p>
    <w:p>
      <w:pPr>
        <w:pStyle w:val="TOC2"/>
        <w:tabs>
          <w:tab w:val="right" w:leader="dot" w:pos="8306"/>
        </w:tabs>
      </w:pPr>
      <w:hyperlink w:anchor="_Toc28812" w:history="1">
        <w:r>
          <w:rPr>
            <w:rFonts w:ascii="仿宋" w:eastAsia="仿宋" w:hAnsi="仿宋" w:cs="仿宋" w:hint="eastAsia"/>
            <w:lang w:eastAsia="zh-CN"/>
          </w:rPr>
          <w:t>(四)、土建工程建设指标</w:t>
        </w:r>
        <w:r>
          <w:tab/>
        </w:r>
        <w:r>
          <w:fldChar w:fldCharType="begin"/>
        </w:r>
        <w:r>
          <w:instrText xml:space="preserve"> PAGEREF _Toc28812 \h </w:instrText>
        </w:r>
        <w:r>
          <w:fldChar w:fldCharType="separate"/>
        </w:r>
        <w:r>
          <w:t>6</w:t>
        </w:r>
        <w:r>
          <w:fldChar w:fldCharType="end"/>
        </w:r>
      </w:hyperlink>
    </w:p>
    <w:p>
      <w:pPr>
        <w:pStyle w:val="TOC1"/>
        <w:tabs>
          <w:tab w:val="right" w:leader="dot" w:pos="8306"/>
        </w:tabs>
      </w:pPr>
      <w:hyperlink w:anchor="_Toc4737" w:history="1">
        <w:r>
          <w:rPr>
            <w:rFonts w:ascii="仿宋" w:eastAsia="仿宋" w:hAnsi="仿宋" w:cs="仿宋" w:hint="eastAsia"/>
            <w:lang w:eastAsia="zh-CN"/>
          </w:rPr>
          <w:t>二、等离子体沉积和刻蚀设备项目选址可行性分析</w:t>
        </w:r>
        <w:r>
          <w:tab/>
        </w:r>
        <w:r>
          <w:fldChar w:fldCharType="begin"/>
        </w:r>
        <w:r>
          <w:instrText xml:space="preserve"> PAGEREF _Toc4737 \h </w:instrText>
        </w:r>
        <w:r>
          <w:fldChar w:fldCharType="separate"/>
        </w:r>
        <w:r>
          <w:t>6</w:t>
        </w:r>
        <w:r>
          <w:fldChar w:fldCharType="end"/>
        </w:r>
      </w:hyperlink>
    </w:p>
    <w:p>
      <w:pPr>
        <w:pStyle w:val="TOC2"/>
        <w:tabs>
          <w:tab w:val="right" w:leader="dot" w:pos="8306"/>
        </w:tabs>
      </w:pPr>
      <w:hyperlink w:anchor="_Toc29147" w:history="1">
        <w:r>
          <w:rPr>
            <w:rFonts w:ascii="仿宋" w:eastAsia="仿宋" w:hAnsi="仿宋" w:cs="仿宋" w:hint="eastAsia"/>
            <w:lang w:eastAsia="zh-CN"/>
          </w:rPr>
          <w:t>(一)、等离子体沉积和刻蚀设备项目选址</w:t>
        </w:r>
        <w:r>
          <w:tab/>
        </w:r>
        <w:r>
          <w:fldChar w:fldCharType="begin"/>
        </w:r>
        <w:r>
          <w:instrText xml:space="preserve"> PAGEREF _Toc29147 \h </w:instrText>
        </w:r>
        <w:r>
          <w:fldChar w:fldCharType="separate"/>
        </w:r>
        <w:r>
          <w:t>6</w:t>
        </w:r>
        <w:r>
          <w:fldChar w:fldCharType="end"/>
        </w:r>
      </w:hyperlink>
    </w:p>
    <w:p>
      <w:pPr>
        <w:pStyle w:val="TOC2"/>
        <w:tabs>
          <w:tab w:val="right" w:leader="dot" w:pos="8306"/>
        </w:tabs>
      </w:pPr>
      <w:hyperlink w:anchor="_Toc4941" w:history="1">
        <w:r>
          <w:rPr>
            <w:rFonts w:ascii="仿宋" w:eastAsia="仿宋" w:hAnsi="仿宋" w:cs="仿宋" w:hint="eastAsia"/>
            <w:lang w:eastAsia="zh-CN"/>
          </w:rPr>
          <w:t>(二)、用地控制指标</w:t>
        </w:r>
        <w:r>
          <w:tab/>
        </w:r>
        <w:r>
          <w:fldChar w:fldCharType="begin"/>
        </w:r>
        <w:r>
          <w:instrText xml:space="preserve"> PAGEREF _Toc4941 \h </w:instrText>
        </w:r>
        <w:r>
          <w:fldChar w:fldCharType="separate"/>
        </w:r>
        <w:r>
          <w:t>7</w:t>
        </w:r>
        <w:r>
          <w:fldChar w:fldCharType="end"/>
        </w:r>
      </w:hyperlink>
    </w:p>
    <w:p>
      <w:pPr>
        <w:pStyle w:val="TOC2"/>
        <w:tabs>
          <w:tab w:val="right" w:leader="dot" w:pos="8306"/>
        </w:tabs>
      </w:pPr>
      <w:hyperlink w:anchor="_Toc739" w:history="1">
        <w:r>
          <w:rPr>
            <w:rFonts w:ascii="仿宋" w:eastAsia="仿宋" w:hAnsi="仿宋" w:cs="仿宋" w:hint="eastAsia"/>
            <w:lang w:eastAsia="zh-CN"/>
          </w:rPr>
          <w:t>(三)、节约用地措施</w:t>
        </w:r>
        <w:r>
          <w:tab/>
        </w:r>
        <w:r>
          <w:fldChar w:fldCharType="begin"/>
        </w:r>
        <w:r>
          <w:instrText xml:space="preserve"> PAGEREF _Toc739 \h </w:instrText>
        </w:r>
        <w:r>
          <w:fldChar w:fldCharType="separate"/>
        </w:r>
        <w:r>
          <w:t>9</w:t>
        </w:r>
        <w:r>
          <w:fldChar w:fldCharType="end"/>
        </w:r>
      </w:hyperlink>
    </w:p>
    <w:p>
      <w:pPr>
        <w:pStyle w:val="TOC2"/>
        <w:tabs>
          <w:tab w:val="right" w:leader="dot" w:pos="8306"/>
        </w:tabs>
      </w:pPr>
      <w:hyperlink w:anchor="_Toc16656" w:history="1">
        <w:r>
          <w:rPr>
            <w:rFonts w:ascii="仿宋" w:eastAsia="仿宋" w:hAnsi="仿宋" w:cs="仿宋" w:hint="eastAsia"/>
            <w:lang w:eastAsia="zh-CN"/>
          </w:rPr>
          <w:t>(四)、总图布置方案</w:t>
        </w:r>
        <w:r>
          <w:tab/>
        </w:r>
        <w:r>
          <w:fldChar w:fldCharType="begin"/>
        </w:r>
        <w:r>
          <w:instrText xml:space="preserve"> PAGEREF _Toc16656 \h </w:instrText>
        </w:r>
        <w:r>
          <w:fldChar w:fldCharType="separate"/>
        </w:r>
        <w:r>
          <w:t>10</w:t>
        </w:r>
        <w:r>
          <w:fldChar w:fldCharType="end"/>
        </w:r>
      </w:hyperlink>
    </w:p>
    <w:p>
      <w:pPr>
        <w:pStyle w:val="TOC2"/>
        <w:tabs>
          <w:tab w:val="right" w:leader="dot" w:pos="8306"/>
        </w:tabs>
      </w:pPr>
      <w:hyperlink w:anchor="_Toc1448" w:history="1">
        <w:r>
          <w:rPr>
            <w:rFonts w:ascii="仿宋" w:eastAsia="仿宋" w:hAnsi="仿宋" w:cs="仿宋" w:hint="eastAsia"/>
            <w:lang w:eastAsia="zh-CN"/>
          </w:rPr>
          <w:t>(五)、选址综合评价</w:t>
        </w:r>
        <w:r>
          <w:tab/>
        </w:r>
        <w:r>
          <w:fldChar w:fldCharType="begin"/>
        </w:r>
        <w:r>
          <w:instrText xml:space="preserve"> PAGEREF _Toc1448 \h </w:instrText>
        </w:r>
        <w:r>
          <w:fldChar w:fldCharType="separate"/>
        </w:r>
        <w:r>
          <w:t>11</w:t>
        </w:r>
        <w:r>
          <w:fldChar w:fldCharType="end"/>
        </w:r>
      </w:hyperlink>
    </w:p>
    <w:p>
      <w:pPr>
        <w:pStyle w:val="TOC1"/>
        <w:tabs>
          <w:tab w:val="right" w:leader="dot" w:pos="8306"/>
        </w:tabs>
      </w:pPr>
      <w:hyperlink w:anchor="_Toc2231" w:history="1">
        <w:r>
          <w:rPr>
            <w:rFonts w:ascii="仿宋" w:eastAsia="仿宋" w:hAnsi="仿宋" w:cs="仿宋" w:hint="eastAsia"/>
            <w:lang w:eastAsia="zh-CN"/>
          </w:rPr>
          <w:t>三、等离子体沉积和刻蚀设备项目建设单位说明</w:t>
        </w:r>
        <w:r>
          <w:tab/>
        </w:r>
        <w:r>
          <w:fldChar w:fldCharType="begin"/>
        </w:r>
        <w:r>
          <w:instrText xml:space="preserve"> PAGEREF _Toc2231 \h </w:instrText>
        </w:r>
        <w:r>
          <w:fldChar w:fldCharType="separate"/>
        </w:r>
        <w:r>
          <w:t>12</w:t>
        </w:r>
        <w:r>
          <w:fldChar w:fldCharType="end"/>
        </w:r>
      </w:hyperlink>
    </w:p>
    <w:p>
      <w:pPr>
        <w:pStyle w:val="TOC2"/>
        <w:tabs>
          <w:tab w:val="right" w:leader="dot" w:pos="8306"/>
        </w:tabs>
      </w:pPr>
      <w:hyperlink w:anchor="_Toc25205" w:history="1">
        <w:r>
          <w:rPr>
            <w:rFonts w:ascii="仿宋" w:eastAsia="仿宋" w:hAnsi="仿宋" w:cs="仿宋" w:hint="eastAsia"/>
            <w:lang w:eastAsia="zh-CN"/>
          </w:rPr>
          <w:t>(一)、等离子体沉积和刻蚀设备项目承办单位基本情况</w:t>
        </w:r>
        <w:r>
          <w:tab/>
        </w:r>
        <w:r>
          <w:fldChar w:fldCharType="begin"/>
        </w:r>
        <w:r>
          <w:instrText xml:space="preserve"> PAGEREF _Toc25205 \h </w:instrText>
        </w:r>
        <w:r>
          <w:fldChar w:fldCharType="separate"/>
        </w:r>
        <w:r>
          <w:t>12</w:t>
        </w:r>
        <w:r>
          <w:fldChar w:fldCharType="end"/>
        </w:r>
      </w:hyperlink>
    </w:p>
    <w:p>
      <w:pPr>
        <w:pStyle w:val="TOC2"/>
        <w:tabs>
          <w:tab w:val="right" w:leader="dot" w:pos="8306"/>
        </w:tabs>
      </w:pPr>
      <w:hyperlink w:anchor="_Toc27688" w:history="1">
        <w:r>
          <w:rPr>
            <w:rFonts w:ascii="仿宋" w:eastAsia="仿宋" w:hAnsi="仿宋" w:cs="仿宋" w:hint="eastAsia"/>
            <w:lang w:eastAsia="zh-CN"/>
          </w:rPr>
          <w:t>(二)、公司经济效益分析</w:t>
        </w:r>
        <w:r>
          <w:tab/>
        </w:r>
        <w:r>
          <w:fldChar w:fldCharType="begin"/>
        </w:r>
        <w:r>
          <w:instrText xml:space="preserve"> PAGEREF _Toc27688 \h </w:instrText>
        </w:r>
        <w:r>
          <w:fldChar w:fldCharType="separate"/>
        </w:r>
        <w:r>
          <w:t>13</w:t>
        </w:r>
        <w:r>
          <w:fldChar w:fldCharType="end"/>
        </w:r>
      </w:hyperlink>
    </w:p>
    <w:p>
      <w:pPr>
        <w:pStyle w:val="TOC1"/>
        <w:tabs>
          <w:tab w:val="right" w:leader="dot" w:pos="8306"/>
        </w:tabs>
      </w:pPr>
      <w:hyperlink w:anchor="_Toc2876" w:history="1">
        <w:r>
          <w:rPr>
            <w:rFonts w:ascii="仿宋" w:eastAsia="仿宋" w:hAnsi="仿宋" w:cs="仿宋" w:hint="eastAsia"/>
            <w:lang w:eastAsia="zh-CN"/>
          </w:rPr>
          <w:t>四、产品规划分析</w:t>
        </w:r>
        <w:r>
          <w:tab/>
        </w:r>
        <w:r>
          <w:fldChar w:fldCharType="begin"/>
        </w:r>
        <w:r>
          <w:instrText xml:space="preserve"> PAGEREF _Toc2876 \h </w:instrText>
        </w:r>
        <w:r>
          <w:fldChar w:fldCharType="separate"/>
        </w:r>
        <w:r>
          <w:t>14</w:t>
        </w:r>
        <w:r>
          <w:fldChar w:fldCharType="end"/>
        </w:r>
      </w:hyperlink>
    </w:p>
    <w:p>
      <w:pPr>
        <w:pStyle w:val="TOC2"/>
        <w:tabs>
          <w:tab w:val="right" w:leader="dot" w:pos="8306"/>
        </w:tabs>
      </w:pPr>
      <w:hyperlink w:anchor="_Toc13992" w:history="1">
        <w:r>
          <w:rPr>
            <w:rFonts w:ascii="仿宋" w:eastAsia="仿宋" w:hAnsi="仿宋" w:cs="仿宋" w:hint="eastAsia"/>
            <w:lang w:eastAsia="zh-CN"/>
          </w:rPr>
          <w:t>(一)、产品规划</w:t>
        </w:r>
        <w:r>
          <w:tab/>
        </w:r>
        <w:r>
          <w:fldChar w:fldCharType="begin"/>
        </w:r>
        <w:r>
          <w:instrText xml:space="preserve"> PAGEREF _Toc13992 \h </w:instrText>
        </w:r>
        <w:r>
          <w:fldChar w:fldCharType="separate"/>
        </w:r>
        <w:r>
          <w:t>14</w:t>
        </w:r>
        <w:r>
          <w:fldChar w:fldCharType="end"/>
        </w:r>
      </w:hyperlink>
    </w:p>
    <w:p>
      <w:pPr>
        <w:pStyle w:val="TOC2"/>
        <w:tabs>
          <w:tab w:val="right" w:leader="dot" w:pos="8306"/>
        </w:tabs>
      </w:pPr>
      <w:hyperlink w:anchor="_Toc8927" w:history="1">
        <w:r>
          <w:rPr>
            <w:rFonts w:ascii="仿宋" w:eastAsia="仿宋" w:hAnsi="仿宋" w:cs="仿宋" w:hint="eastAsia"/>
            <w:lang w:eastAsia="zh-CN"/>
          </w:rPr>
          <w:t>(二)、建设规模</w:t>
        </w:r>
        <w:r>
          <w:tab/>
        </w:r>
        <w:r>
          <w:fldChar w:fldCharType="begin"/>
        </w:r>
        <w:r>
          <w:instrText xml:space="preserve"> PAGEREF _Toc8927 \h </w:instrText>
        </w:r>
        <w:r>
          <w:fldChar w:fldCharType="separate"/>
        </w:r>
        <w:r>
          <w:t>15</w:t>
        </w:r>
        <w:r>
          <w:fldChar w:fldCharType="end"/>
        </w:r>
      </w:hyperlink>
    </w:p>
    <w:p>
      <w:pPr>
        <w:pStyle w:val="TOC1"/>
        <w:tabs>
          <w:tab w:val="right" w:leader="dot" w:pos="8306"/>
        </w:tabs>
      </w:pPr>
      <w:hyperlink w:anchor="_Toc14716" w:history="1">
        <w:r>
          <w:rPr>
            <w:rFonts w:ascii="仿宋" w:eastAsia="仿宋" w:hAnsi="仿宋" w:cs="仿宋" w:hint="eastAsia"/>
            <w:lang w:eastAsia="zh-CN"/>
          </w:rPr>
          <w:t>五、等离子体沉积和刻蚀设备项目危机管理</w:t>
        </w:r>
        <w:r>
          <w:tab/>
        </w:r>
        <w:r>
          <w:fldChar w:fldCharType="begin"/>
        </w:r>
        <w:r>
          <w:instrText xml:space="preserve"> PAGEREF _Toc14716 \h </w:instrText>
        </w:r>
        <w:r>
          <w:fldChar w:fldCharType="separate"/>
        </w:r>
        <w:r>
          <w:t>16</w:t>
        </w:r>
        <w:r>
          <w:fldChar w:fldCharType="end"/>
        </w:r>
      </w:hyperlink>
    </w:p>
    <w:p>
      <w:pPr>
        <w:pStyle w:val="TOC2"/>
        <w:tabs>
          <w:tab w:val="right" w:leader="dot" w:pos="8306"/>
        </w:tabs>
      </w:pPr>
      <w:hyperlink w:anchor="_Toc12238" w:history="1">
        <w:r>
          <w:rPr>
            <w:rFonts w:ascii="仿宋" w:eastAsia="仿宋" w:hAnsi="仿宋" w:cs="仿宋" w:hint="eastAsia"/>
            <w:lang w:eastAsia="zh-CN"/>
          </w:rPr>
          <w:t>(一)、危机预警与识别</w:t>
        </w:r>
        <w:r>
          <w:tab/>
        </w:r>
        <w:r>
          <w:fldChar w:fldCharType="begin"/>
        </w:r>
        <w:r>
          <w:instrText xml:space="preserve"> PAGEREF _Toc12238 \h </w:instrText>
        </w:r>
        <w:r>
          <w:fldChar w:fldCharType="separate"/>
        </w:r>
        <w:r>
          <w:t>16</w:t>
        </w:r>
        <w:r>
          <w:fldChar w:fldCharType="end"/>
        </w:r>
      </w:hyperlink>
    </w:p>
    <w:p>
      <w:pPr>
        <w:pStyle w:val="TOC2"/>
        <w:tabs>
          <w:tab w:val="right" w:leader="dot" w:pos="8306"/>
        </w:tabs>
      </w:pPr>
      <w:hyperlink w:anchor="_Toc31371" w:history="1">
        <w:r>
          <w:rPr>
            <w:rFonts w:ascii="仿宋" w:eastAsia="仿宋" w:hAnsi="仿宋" w:cs="仿宋" w:hint="eastAsia"/>
            <w:lang w:eastAsia="zh-CN"/>
          </w:rPr>
          <w:t>(二)、危机应对与恢复</w:t>
        </w:r>
        <w:r>
          <w:tab/>
        </w:r>
        <w:r>
          <w:fldChar w:fldCharType="begin"/>
        </w:r>
        <w:r>
          <w:instrText xml:space="preserve"> PAGEREF _Toc31371 \h </w:instrText>
        </w:r>
        <w:r>
          <w:fldChar w:fldCharType="separate"/>
        </w:r>
        <w:r>
          <w:t>17</w:t>
        </w:r>
        <w:r>
          <w:fldChar w:fldCharType="end"/>
        </w:r>
      </w:hyperlink>
    </w:p>
    <w:p>
      <w:pPr>
        <w:pStyle w:val="TOC1"/>
        <w:tabs>
          <w:tab w:val="right" w:leader="dot" w:pos="8306"/>
        </w:tabs>
      </w:pPr>
      <w:hyperlink w:anchor="_Toc15527" w:history="1">
        <w:r>
          <w:rPr>
            <w:rFonts w:ascii="仿宋" w:eastAsia="仿宋" w:hAnsi="仿宋" w:cs="仿宋" w:hint="eastAsia"/>
            <w:lang w:eastAsia="zh-CN"/>
          </w:rPr>
          <w:t>六、市场分析、调研</w:t>
        </w:r>
        <w:r>
          <w:tab/>
        </w:r>
        <w:r>
          <w:fldChar w:fldCharType="begin"/>
        </w:r>
        <w:r>
          <w:instrText xml:space="preserve"> PAGEREF _Toc15527 \h </w:instrText>
        </w:r>
        <w:r>
          <w:fldChar w:fldCharType="separate"/>
        </w:r>
        <w:r>
          <w:t>19</w:t>
        </w:r>
        <w:r>
          <w:fldChar w:fldCharType="end"/>
        </w:r>
      </w:hyperlink>
    </w:p>
    <w:p>
      <w:pPr>
        <w:pStyle w:val="TOC2"/>
        <w:tabs>
          <w:tab w:val="right" w:leader="dot" w:pos="8306"/>
        </w:tabs>
      </w:pPr>
      <w:hyperlink w:anchor="_Toc19721" w:history="1">
        <w:r>
          <w:rPr>
            <w:rFonts w:ascii="仿宋" w:eastAsia="仿宋" w:hAnsi="仿宋" w:cs="仿宋" w:hint="eastAsia"/>
            <w:lang w:eastAsia="zh-CN"/>
          </w:rPr>
          <w:t>(一)、等离子体沉积和刻蚀设备行业分析</w:t>
        </w:r>
        <w:r>
          <w:tab/>
        </w:r>
        <w:r>
          <w:fldChar w:fldCharType="begin"/>
        </w:r>
        <w:r>
          <w:instrText xml:space="preserve"> PAGEREF _Toc19721 \h </w:instrText>
        </w:r>
        <w:r>
          <w:fldChar w:fldCharType="separate"/>
        </w:r>
        <w:r>
          <w:t>19</w:t>
        </w:r>
        <w:r>
          <w:fldChar w:fldCharType="end"/>
        </w:r>
      </w:hyperlink>
    </w:p>
    <w:p>
      <w:pPr>
        <w:pStyle w:val="TOC2"/>
        <w:tabs>
          <w:tab w:val="right" w:leader="dot" w:pos="8306"/>
        </w:tabs>
      </w:pPr>
      <w:hyperlink w:anchor="_Toc7861" w:history="1">
        <w:r>
          <w:rPr>
            <w:rFonts w:ascii="仿宋" w:eastAsia="仿宋" w:hAnsi="仿宋" w:cs="仿宋" w:hint="eastAsia"/>
            <w:lang w:eastAsia="zh-CN"/>
          </w:rPr>
          <w:t>(二)、等离子体沉积和刻蚀设备市场分析预测</w:t>
        </w:r>
        <w:r>
          <w:tab/>
        </w:r>
        <w:r>
          <w:fldChar w:fldCharType="begin"/>
        </w:r>
        <w:r>
          <w:instrText xml:space="preserve"> PAGEREF _Toc7861 \h </w:instrText>
        </w:r>
        <w:r>
          <w:fldChar w:fldCharType="separate"/>
        </w:r>
        <w:r>
          <w:t>20</w:t>
        </w:r>
        <w:r>
          <w:fldChar w:fldCharType="end"/>
        </w:r>
      </w:hyperlink>
    </w:p>
    <w:p>
      <w:pPr>
        <w:pStyle w:val="TOC1"/>
        <w:tabs>
          <w:tab w:val="right" w:leader="dot" w:pos="8306"/>
        </w:tabs>
      </w:pPr>
      <w:hyperlink w:anchor="_Toc19565" w:history="1">
        <w:r>
          <w:rPr>
            <w:rFonts w:ascii="仿宋" w:eastAsia="仿宋" w:hAnsi="仿宋" w:cs="仿宋" w:hint="eastAsia"/>
            <w:lang w:eastAsia="zh-CN"/>
          </w:rPr>
          <w:t>七、等离子体沉积和刻蚀设备项目人力资源培养与发展</w:t>
        </w:r>
        <w:r>
          <w:tab/>
        </w:r>
        <w:r>
          <w:fldChar w:fldCharType="begin"/>
        </w:r>
        <w:r>
          <w:instrText xml:space="preserve"> PAGEREF _Toc19565 \h </w:instrText>
        </w:r>
        <w:r>
          <w:fldChar w:fldCharType="separate"/>
        </w:r>
        <w:r>
          <w:t>20</w:t>
        </w:r>
        <w:r>
          <w:fldChar w:fldCharType="end"/>
        </w:r>
      </w:hyperlink>
    </w:p>
    <w:p>
      <w:pPr>
        <w:pStyle w:val="TOC2"/>
        <w:tabs>
          <w:tab w:val="right" w:leader="dot" w:pos="8306"/>
        </w:tabs>
      </w:pPr>
      <w:hyperlink w:anchor="_Toc6527" w:history="1">
        <w:r>
          <w:rPr>
            <w:rFonts w:ascii="仿宋" w:eastAsia="仿宋" w:hAnsi="仿宋" w:cs="仿宋" w:hint="eastAsia"/>
            <w:lang w:eastAsia="zh-CN"/>
          </w:rPr>
          <w:t>(一)、人才需求与规划</w:t>
        </w:r>
        <w:r>
          <w:tab/>
        </w:r>
        <w:r>
          <w:fldChar w:fldCharType="begin"/>
        </w:r>
        <w:r>
          <w:instrText xml:space="preserve"> PAGEREF _Toc6527 \h </w:instrText>
        </w:r>
        <w:r>
          <w:fldChar w:fldCharType="separate"/>
        </w:r>
        <w:r>
          <w:t>20</w:t>
        </w:r>
        <w:r>
          <w:fldChar w:fldCharType="end"/>
        </w:r>
      </w:hyperlink>
    </w:p>
    <w:p>
      <w:pPr>
        <w:pStyle w:val="TOC2"/>
        <w:tabs>
          <w:tab w:val="right" w:leader="dot" w:pos="8306"/>
        </w:tabs>
      </w:pPr>
      <w:hyperlink w:anchor="_Toc13387" w:history="1">
        <w:r>
          <w:rPr>
            <w:rFonts w:ascii="仿宋" w:eastAsia="仿宋" w:hAnsi="仿宋" w:cs="仿宋" w:hint="eastAsia"/>
            <w:lang w:eastAsia="zh-CN"/>
          </w:rPr>
          <w:t>(二)、培训与发展计划</w:t>
        </w:r>
        <w:r>
          <w:tab/>
        </w:r>
        <w:r>
          <w:fldChar w:fldCharType="begin"/>
        </w:r>
        <w:r>
          <w:instrText xml:space="preserve"> PAGEREF _Toc13387 \h </w:instrText>
        </w:r>
        <w:r>
          <w:fldChar w:fldCharType="separate"/>
        </w:r>
        <w:r>
          <w:t>21</w:t>
        </w:r>
        <w:r>
          <w:fldChar w:fldCharType="end"/>
        </w:r>
      </w:hyperlink>
    </w:p>
    <w:p>
      <w:pPr>
        <w:pStyle w:val="TOC1"/>
        <w:tabs>
          <w:tab w:val="right" w:leader="dot" w:pos="8306"/>
        </w:tabs>
      </w:pPr>
      <w:hyperlink w:anchor="_Toc4046" w:history="1">
        <w:r>
          <w:rPr>
            <w:rFonts w:ascii="仿宋" w:eastAsia="仿宋" w:hAnsi="仿宋" w:cs="仿宋" w:hint="eastAsia"/>
            <w:lang w:eastAsia="zh-CN"/>
          </w:rPr>
          <w:t>八、生产安全保护</w:t>
        </w:r>
        <w:r>
          <w:tab/>
        </w:r>
        <w:r>
          <w:fldChar w:fldCharType="begin"/>
        </w:r>
        <w:r>
          <w:instrText xml:space="preserve"> PAGEREF _Toc4046 \h </w:instrText>
        </w:r>
        <w:r>
          <w:fldChar w:fldCharType="separate"/>
        </w:r>
        <w:r>
          <w:t>22</w:t>
        </w:r>
        <w:r>
          <w:fldChar w:fldCharType="end"/>
        </w:r>
      </w:hyperlink>
    </w:p>
    <w:p>
      <w:pPr>
        <w:pStyle w:val="TOC2"/>
        <w:tabs>
          <w:tab w:val="right" w:leader="dot" w:pos="8306"/>
        </w:tabs>
      </w:pPr>
      <w:hyperlink w:anchor="_Toc9158" w:history="1">
        <w:r>
          <w:rPr>
            <w:rFonts w:ascii="仿宋" w:eastAsia="仿宋" w:hAnsi="仿宋" w:cs="仿宋" w:hint="eastAsia"/>
            <w:lang w:eastAsia="zh-CN"/>
          </w:rPr>
          <w:t>(一)、消防安全</w:t>
        </w:r>
        <w:r>
          <w:tab/>
        </w:r>
        <w:r>
          <w:fldChar w:fldCharType="begin"/>
        </w:r>
        <w:r>
          <w:instrText xml:space="preserve"> PAGEREF _Toc9158 \h </w:instrText>
        </w:r>
        <w:r>
          <w:fldChar w:fldCharType="separate"/>
        </w:r>
        <w:r>
          <w:t>22</w:t>
        </w:r>
        <w:r>
          <w:fldChar w:fldCharType="end"/>
        </w:r>
      </w:hyperlink>
    </w:p>
    <w:p>
      <w:pPr>
        <w:pStyle w:val="TOC2"/>
        <w:tabs>
          <w:tab w:val="right" w:leader="dot" w:pos="8306"/>
        </w:tabs>
      </w:pPr>
      <w:hyperlink w:anchor="_Toc13768" w:history="1">
        <w:r>
          <w:rPr>
            <w:rFonts w:ascii="仿宋" w:eastAsia="仿宋" w:hAnsi="仿宋" w:cs="仿宋" w:hint="eastAsia"/>
            <w:lang w:eastAsia="zh-CN"/>
          </w:rPr>
          <w:t>(二)、防火防爆总图布置措施</w:t>
        </w:r>
        <w:r>
          <w:tab/>
        </w:r>
        <w:r>
          <w:fldChar w:fldCharType="begin"/>
        </w:r>
        <w:r>
          <w:instrText xml:space="preserve"> PAGEREF _Toc13768 \h </w:instrText>
        </w:r>
        <w:r>
          <w:fldChar w:fldCharType="separate"/>
        </w:r>
        <w:r>
          <w:t>23</w:t>
        </w:r>
        <w:r>
          <w:fldChar w:fldCharType="end"/>
        </w:r>
      </w:hyperlink>
    </w:p>
    <w:p>
      <w:pPr>
        <w:pStyle w:val="TOC2"/>
        <w:tabs>
          <w:tab w:val="right" w:leader="dot" w:pos="8306"/>
        </w:tabs>
      </w:pPr>
      <w:hyperlink w:anchor="_Toc4528" w:history="1">
        <w:r>
          <w:rPr>
            <w:rFonts w:ascii="仿宋" w:eastAsia="仿宋" w:hAnsi="仿宋" w:cs="仿宋" w:hint="eastAsia"/>
            <w:lang w:eastAsia="zh-CN"/>
          </w:rPr>
          <w:t>(三)、自然灾害防范措施</w:t>
        </w:r>
        <w:r>
          <w:tab/>
        </w:r>
        <w:r>
          <w:fldChar w:fldCharType="begin"/>
        </w:r>
        <w:r>
          <w:instrText xml:space="preserve"> PAGEREF _Toc4528 \h </w:instrText>
        </w:r>
        <w:r>
          <w:fldChar w:fldCharType="separate"/>
        </w:r>
        <w:r>
          <w:t>24</w:t>
        </w:r>
        <w:r>
          <w:fldChar w:fldCharType="end"/>
        </w:r>
      </w:hyperlink>
    </w:p>
    <w:p>
      <w:pPr>
        <w:pStyle w:val="TOC2"/>
        <w:tabs>
          <w:tab w:val="right" w:leader="dot" w:pos="8306"/>
        </w:tabs>
      </w:pPr>
      <w:hyperlink w:anchor="_Toc5406" w:history="1">
        <w:r>
          <w:rPr>
            <w:rFonts w:ascii="仿宋" w:eastAsia="仿宋" w:hAnsi="仿宋" w:cs="仿宋" w:hint="eastAsia"/>
            <w:lang w:eastAsia="zh-CN"/>
          </w:rPr>
          <w:t>(四)、安全色及安全标志使用要求</w:t>
        </w:r>
        <w:r>
          <w:tab/>
        </w:r>
        <w:r>
          <w:fldChar w:fldCharType="begin"/>
        </w:r>
        <w:r>
          <w:instrText xml:space="preserve"> PAGEREF _Toc5406 \h </w:instrText>
        </w:r>
        <w:r>
          <w:fldChar w:fldCharType="separate"/>
        </w:r>
        <w:r>
          <w:t>26</w:t>
        </w:r>
        <w:r>
          <w:fldChar w:fldCharType="end"/>
        </w:r>
      </w:hyperlink>
    </w:p>
    <w:p>
      <w:pPr>
        <w:pStyle w:val="TOC2"/>
        <w:tabs>
          <w:tab w:val="right" w:leader="dot" w:pos="8306"/>
        </w:tabs>
      </w:pPr>
      <w:hyperlink w:anchor="_Toc7830" w:history="1">
        <w:r>
          <w:rPr>
            <w:rFonts w:ascii="仿宋" w:eastAsia="仿宋" w:hAnsi="仿宋" w:cs="仿宋" w:hint="eastAsia"/>
            <w:lang w:eastAsia="zh-CN"/>
          </w:rPr>
          <w:t>(五)、防尘防毒措施</w:t>
        </w:r>
        <w:r>
          <w:tab/>
        </w:r>
        <w:r>
          <w:fldChar w:fldCharType="begin"/>
        </w:r>
        <w:r>
          <w:instrText xml:space="preserve"> PAGEREF _Toc7830 \h </w:instrText>
        </w:r>
        <w:r>
          <w:fldChar w:fldCharType="separate"/>
        </w:r>
        <w:r>
          <w:t>27</w:t>
        </w:r>
        <w:r>
          <w:fldChar w:fldCharType="end"/>
        </w:r>
      </w:hyperlink>
    </w:p>
    <w:p>
      <w:pPr>
        <w:pStyle w:val="TOC2"/>
        <w:tabs>
          <w:tab w:val="right" w:leader="dot" w:pos="8306"/>
        </w:tabs>
      </w:pPr>
      <w:hyperlink w:anchor="_Toc31574" w:history="1">
        <w:r>
          <w:rPr>
            <w:rFonts w:ascii="仿宋" w:eastAsia="仿宋" w:hAnsi="仿宋" w:cs="仿宋" w:hint="eastAsia"/>
            <w:lang w:eastAsia="zh-CN"/>
          </w:rPr>
          <w:t>(六)、防静电、触电防护及防雷措施</w:t>
        </w:r>
        <w:r>
          <w:tab/>
        </w:r>
        <w:r>
          <w:fldChar w:fldCharType="begin"/>
        </w:r>
        <w:r>
          <w:instrText xml:space="preserve"> PAGEREF _Toc31574 \h </w:instrText>
        </w:r>
        <w:r>
          <w:fldChar w:fldCharType="separate"/>
        </w:r>
        <w:r>
          <w:t>28</w:t>
        </w:r>
        <w:r>
          <w:fldChar w:fldCharType="end"/>
        </w:r>
      </w:hyperlink>
    </w:p>
    <w:p>
      <w:pPr>
        <w:pStyle w:val="TOC2"/>
        <w:tabs>
          <w:tab w:val="right" w:leader="dot" w:pos="8306"/>
        </w:tabs>
      </w:pPr>
      <w:hyperlink w:anchor="_Toc7245" w:history="1">
        <w:r>
          <w:rPr>
            <w:rFonts w:ascii="仿宋" w:eastAsia="仿宋" w:hAnsi="仿宋" w:cs="仿宋" w:hint="eastAsia"/>
            <w:lang w:eastAsia="zh-CN"/>
          </w:rPr>
          <w:t>(七)、机械设备安全保障措施</w:t>
        </w:r>
        <w:r>
          <w:tab/>
        </w:r>
        <w:r>
          <w:fldChar w:fldCharType="begin"/>
        </w:r>
        <w:r>
          <w:instrText xml:space="preserve"> PAGEREF _Toc7245 \h </w:instrText>
        </w:r>
        <w:r>
          <w:fldChar w:fldCharType="separate"/>
        </w:r>
        <w:r>
          <w:t>29</w:t>
        </w:r>
        <w:r>
          <w:fldChar w:fldCharType="end"/>
        </w:r>
      </w:hyperlink>
    </w:p>
    <w:p>
      <w:pPr>
        <w:pStyle w:val="TOC1"/>
        <w:tabs>
          <w:tab w:val="right" w:leader="dot" w:pos="8306"/>
        </w:tabs>
      </w:pPr>
      <w:hyperlink w:anchor="_Toc27576" w:history="1">
        <w:r>
          <w:rPr>
            <w:rFonts w:ascii="仿宋" w:eastAsia="仿宋" w:hAnsi="仿宋" w:cs="仿宋" w:hint="eastAsia"/>
            <w:lang w:eastAsia="zh-CN"/>
          </w:rPr>
          <w:t>九、等离子体沉积和刻蚀设备项目人力资源管理</w:t>
        </w:r>
        <w:r>
          <w:tab/>
        </w:r>
        <w:r>
          <w:fldChar w:fldCharType="begin"/>
        </w:r>
        <w:r>
          <w:instrText xml:space="preserve"> PAGEREF _Toc27576 \h </w:instrText>
        </w:r>
        <w:r>
          <w:fldChar w:fldCharType="separate"/>
        </w:r>
        <w:r>
          <w:t>31</w:t>
        </w:r>
        <w:r>
          <w:fldChar w:fldCharType="end"/>
        </w:r>
      </w:hyperlink>
    </w:p>
    <w:p>
      <w:pPr>
        <w:pStyle w:val="TOC2"/>
        <w:tabs>
          <w:tab w:val="right" w:leader="dot" w:pos="8306"/>
        </w:tabs>
      </w:pPr>
      <w:hyperlink w:anchor="_Toc7860" w:history="1">
        <w:r>
          <w:rPr>
            <w:rFonts w:ascii="仿宋" w:eastAsia="仿宋" w:hAnsi="仿宋" w:cs="仿宋" w:hint="eastAsia"/>
            <w:lang w:eastAsia="zh-CN"/>
          </w:rPr>
          <w:t>(一)、建立健全的预算管理制度</w:t>
        </w:r>
        <w:r>
          <w:tab/>
        </w:r>
        <w:r>
          <w:fldChar w:fldCharType="begin"/>
        </w:r>
        <w:r>
          <w:instrText xml:space="preserve"> PAGEREF _Toc7860 \h </w:instrText>
        </w:r>
        <w:r>
          <w:fldChar w:fldCharType="separate"/>
        </w:r>
        <w:r>
          <w:t>31</w:t>
        </w:r>
        <w:r>
          <w:fldChar w:fldCharType="end"/>
        </w:r>
      </w:hyperlink>
    </w:p>
    <w:p>
      <w:pPr>
        <w:pStyle w:val="TOC2"/>
        <w:tabs>
          <w:tab w:val="right" w:leader="dot" w:pos="8306"/>
        </w:tabs>
      </w:pPr>
      <w:hyperlink w:anchor="_Toc14707" w:history="1">
        <w:r>
          <w:rPr>
            <w:rFonts w:ascii="仿宋" w:eastAsia="仿宋" w:hAnsi="仿宋" w:cs="仿宋" w:hint="eastAsia"/>
            <w:lang w:eastAsia="zh-CN"/>
          </w:rPr>
          <w:t>(二)、加强资金流动监控</w:t>
        </w:r>
        <w:r>
          <w:tab/>
        </w:r>
        <w:r>
          <w:fldChar w:fldCharType="begin"/>
        </w:r>
        <w:r>
          <w:instrText xml:space="preserve"> PAGEREF _Toc14707 \h </w:instrText>
        </w:r>
        <w:r>
          <w:fldChar w:fldCharType="separate"/>
        </w:r>
        <w:r>
          <w:t>33</w:t>
        </w:r>
        <w:r>
          <w:fldChar w:fldCharType="end"/>
        </w:r>
      </w:hyperlink>
    </w:p>
    <w:p>
      <w:pPr>
        <w:pStyle w:val="TOC2"/>
        <w:tabs>
          <w:tab w:val="right" w:leader="dot" w:pos="8306"/>
        </w:tabs>
      </w:pPr>
      <w:hyperlink w:anchor="_Toc18383" w:history="1">
        <w:r>
          <w:rPr>
            <w:rFonts w:ascii="仿宋" w:eastAsia="仿宋" w:hAnsi="仿宋" w:cs="仿宋" w:hint="eastAsia"/>
            <w:lang w:eastAsia="zh-CN"/>
          </w:rPr>
          <w:t>(三)、制定完善的风险控制机制</w:t>
        </w:r>
        <w:r>
          <w:tab/>
        </w:r>
        <w:r>
          <w:fldChar w:fldCharType="begin"/>
        </w:r>
        <w:r>
          <w:instrText xml:space="preserve"> PAGEREF _Toc18383 \h </w:instrText>
        </w:r>
        <w:r>
          <w:fldChar w:fldCharType="separate"/>
        </w:r>
        <w:r>
          <w:t>34</w:t>
        </w:r>
        <w:r>
          <w:fldChar w:fldCharType="end"/>
        </w:r>
      </w:hyperlink>
    </w:p>
    <w:p>
      <w:pPr>
        <w:pStyle w:val="TOC2"/>
        <w:tabs>
          <w:tab w:val="right" w:leader="dot" w:pos="8306"/>
        </w:tabs>
      </w:pPr>
      <w:hyperlink w:anchor="_Toc21473" w:history="1">
        <w:r>
          <w:rPr>
            <w:rFonts w:ascii="仿宋" w:eastAsia="仿宋" w:hAnsi="仿宋" w:cs="仿宋" w:hint="eastAsia"/>
            <w:lang w:eastAsia="zh-CN"/>
          </w:rPr>
          <w:t>(四)、优化成本管理</w:t>
        </w:r>
        <w:r>
          <w:tab/>
        </w:r>
        <w:r>
          <w:fldChar w:fldCharType="begin"/>
        </w:r>
        <w:r>
          <w:instrText xml:space="preserve"> PAGEREF _Toc21473 \h </w:instrText>
        </w:r>
        <w:r>
          <w:fldChar w:fldCharType="separate"/>
        </w:r>
        <w:r>
          <w:t>35</w:t>
        </w:r>
        <w:r>
          <w:fldChar w:fldCharType="end"/>
        </w:r>
      </w:hyperlink>
    </w:p>
    <w:p>
      <w:pPr>
        <w:pStyle w:val="TOC1"/>
        <w:tabs>
          <w:tab w:val="right" w:leader="dot" w:pos="8306"/>
        </w:tabs>
      </w:pPr>
      <w:hyperlink w:anchor="_Toc20835" w:history="1">
        <w:r>
          <w:rPr>
            <w:rFonts w:ascii="仿宋" w:eastAsia="仿宋" w:hAnsi="仿宋" w:cs="仿宋" w:hint="eastAsia"/>
            <w:lang w:eastAsia="zh-CN"/>
          </w:rPr>
          <w:t>十、等离子体沉积和刻蚀设备项目社会影响</w:t>
        </w:r>
        <w:r>
          <w:tab/>
        </w:r>
        <w:r>
          <w:fldChar w:fldCharType="begin"/>
        </w:r>
        <w:r>
          <w:instrText xml:space="preserve"> PAGEREF _Toc20835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02" w:history="1">
        <w:r>
          <w:rPr>
            <w:rFonts w:ascii="仿宋" w:eastAsia="仿宋" w:hAnsi="仿宋" w:cs="仿宋" w:hint="eastAsia"/>
            <w:lang w:eastAsia="zh-CN"/>
          </w:rPr>
          <w:t>(一)、社会责任与义务</w:t>
        </w:r>
        <w:r>
          <w:tab/>
        </w:r>
        <w:r>
          <w:fldChar w:fldCharType="begin"/>
        </w:r>
        <w:r>
          <w:instrText xml:space="preserve"> PAGEREF _Toc24102 \h </w:instrText>
        </w:r>
        <w:r>
          <w:fldChar w:fldCharType="separate"/>
        </w:r>
        <w:r>
          <w:t>37</w:t>
        </w:r>
        <w:r>
          <w:fldChar w:fldCharType="end"/>
        </w:r>
      </w:hyperlink>
    </w:p>
    <w:p>
      <w:pPr>
        <w:pStyle w:val="TOC2"/>
        <w:tabs>
          <w:tab w:val="right" w:leader="dot" w:pos="8306"/>
        </w:tabs>
      </w:pPr>
      <w:hyperlink w:anchor="_Toc10421" w:history="1">
        <w:r>
          <w:rPr>
            <w:rFonts w:ascii="仿宋" w:eastAsia="仿宋" w:hAnsi="仿宋" w:cs="仿宋" w:hint="eastAsia"/>
            <w:lang w:eastAsia="zh-CN"/>
          </w:rPr>
          <w:t>(二)、社会参与与沟通</w:t>
        </w:r>
        <w:r>
          <w:tab/>
        </w:r>
        <w:r>
          <w:fldChar w:fldCharType="begin"/>
        </w:r>
        <w:r>
          <w:instrText xml:space="preserve"> PAGEREF _Toc10421 \h </w:instrText>
        </w:r>
        <w:r>
          <w:fldChar w:fldCharType="separate"/>
        </w:r>
        <w:r>
          <w:t>38</w:t>
        </w:r>
        <w:r>
          <w:fldChar w:fldCharType="end"/>
        </w:r>
      </w:hyperlink>
    </w:p>
    <w:p>
      <w:pPr>
        <w:pStyle w:val="TOC1"/>
        <w:tabs>
          <w:tab w:val="right" w:leader="dot" w:pos="8306"/>
        </w:tabs>
      </w:pPr>
      <w:hyperlink w:anchor="_Toc13427" w:history="1">
        <w:r>
          <w:rPr>
            <w:rFonts w:ascii="仿宋" w:eastAsia="仿宋" w:hAnsi="仿宋" w:cs="仿宋" w:hint="eastAsia"/>
            <w:lang w:eastAsia="zh-CN"/>
          </w:rPr>
          <w:t>十一、等离子体沉积和刻蚀设备项目技术管理</w:t>
        </w:r>
        <w:r>
          <w:tab/>
        </w:r>
        <w:r>
          <w:fldChar w:fldCharType="begin"/>
        </w:r>
        <w:r>
          <w:instrText xml:space="preserve"> PAGEREF _Toc13427 \h </w:instrText>
        </w:r>
        <w:r>
          <w:fldChar w:fldCharType="separate"/>
        </w:r>
        <w:r>
          <w:t>39</w:t>
        </w:r>
        <w:r>
          <w:fldChar w:fldCharType="end"/>
        </w:r>
      </w:hyperlink>
    </w:p>
    <w:p>
      <w:pPr>
        <w:pStyle w:val="TOC2"/>
        <w:tabs>
          <w:tab w:val="right" w:leader="dot" w:pos="8306"/>
        </w:tabs>
      </w:pPr>
      <w:hyperlink w:anchor="_Toc21799" w:history="1">
        <w:r>
          <w:rPr>
            <w:rFonts w:ascii="仿宋" w:eastAsia="仿宋" w:hAnsi="仿宋" w:cs="仿宋" w:hint="eastAsia"/>
            <w:lang w:eastAsia="zh-CN"/>
          </w:rPr>
          <w:t>(一)、技术方案选用方向</w:t>
        </w:r>
        <w:r>
          <w:tab/>
        </w:r>
        <w:r>
          <w:fldChar w:fldCharType="begin"/>
        </w:r>
        <w:r>
          <w:instrText xml:space="preserve"> PAGEREF _Toc21799 \h </w:instrText>
        </w:r>
        <w:r>
          <w:fldChar w:fldCharType="separate"/>
        </w:r>
        <w:r>
          <w:t>39</w:t>
        </w:r>
        <w:r>
          <w:fldChar w:fldCharType="end"/>
        </w:r>
      </w:hyperlink>
    </w:p>
    <w:p>
      <w:pPr>
        <w:pStyle w:val="TOC2"/>
        <w:tabs>
          <w:tab w:val="right" w:leader="dot" w:pos="8306"/>
        </w:tabs>
      </w:pPr>
      <w:hyperlink w:anchor="_Toc21685" w:history="1">
        <w:r>
          <w:rPr>
            <w:rFonts w:ascii="仿宋" w:eastAsia="仿宋" w:hAnsi="仿宋" w:cs="仿宋" w:hint="eastAsia"/>
            <w:lang w:eastAsia="zh-CN"/>
          </w:rPr>
          <w:t>(二)、工艺技术方案选用原则</w:t>
        </w:r>
        <w:r>
          <w:tab/>
        </w:r>
        <w:r>
          <w:fldChar w:fldCharType="begin"/>
        </w:r>
        <w:r>
          <w:instrText xml:space="preserve"> PAGEREF _Toc21685 \h </w:instrText>
        </w:r>
        <w:r>
          <w:fldChar w:fldCharType="separate"/>
        </w:r>
        <w:r>
          <w:t>41</w:t>
        </w:r>
        <w:r>
          <w:fldChar w:fldCharType="end"/>
        </w:r>
      </w:hyperlink>
    </w:p>
    <w:p>
      <w:pPr>
        <w:pStyle w:val="TOC2"/>
        <w:tabs>
          <w:tab w:val="right" w:leader="dot" w:pos="8306"/>
        </w:tabs>
      </w:pPr>
      <w:hyperlink w:anchor="_Toc26813" w:history="1">
        <w:r>
          <w:rPr>
            <w:rFonts w:ascii="仿宋" w:eastAsia="仿宋" w:hAnsi="仿宋" w:cs="仿宋" w:hint="eastAsia"/>
            <w:lang w:eastAsia="zh-CN"/>
          </w:rPr>
          <w:t>(三)、工艺技术方案要求</w:t>
        </w:r>
        <w:r>
          <w:tab/>
        </w:r>
        <w:r>
          <w:fldChar w:fldCharType="begin"/>
        </w:r>
        <w:r>
          <w:instrText xml:space="preserve"> PAGEREF _Toc26813 \h </w:instrText>
        </w:r>
        <w:r>
          <w:fldChar w:fldCharType="separate"/>
        </w:r>
        <w:r>
          <w:t>43</w:t>
        </w:r>
        <w:r>
          <w:fldChar w:fldCharType="end"/>
        </w:r>
      </w:hyperlink>
    </w:p>
    <w:p>
      <w:pPr>
        <w:pStyle w:val="TOC1"/>
        <w:tabs>
          <w:tab w:val="right" w:leader="dot" w:pos="8306"/>
        </w:tabs>
      </w:pPr>
      <w:hyperlink w:anchor="_Toc3455" w:history="1">
        <w:r>
          <w:rPr>
            <w:rFonts w:ascii="仿宋" w:eastAsia="仿宋" w:hAnsi="仿宋" w:cs="仿宋" w:hint="eastAsia"/>
            <w:lang w:eastAsia="zh-CN"/>
          </w:rPr>
          <w:t>十二、等离子体沉积和刻蚀设备项目创新与研发</w:t>
        </w:r>
        <w:r>
          <w:tab/>
        </w:r>
        <w:r>
          <w:fldChar w:fldCharType="begin"/>
        </w:r>
        <w:r>
          <w:instrText xml:space="preserve"> PAGEREF _Toc3455 \h </w:instrText>
        </w:r>
        <w:r>
          <w:fldChar w:fldCharType="separate"/>
        </w:r>
        <w:r>
          <w:t>45</w:t>
        </w:r>
        <w:r>
          <w:fldChar w:fldCharType="end"/>
        </w:r>
      </w:hyperlink>
    </w:p>
    <w:p>
      <w:pPr>
        <w:pStyle w:val="TOC2"/>
        <w:tabs>
          <w:tab w:val="right" w:leader="dot" w:pos="8306"/>
        </w:tabs>
      </w:pPr>
      <w:hyperlink w:anchor="_Toc29143" w:history="1">
        <w:r>
          <w:rPr>
            <w:rFonts w:ascii="仿宋" w:eastAsia="仿宋" w:hAnsi="仿宋" w:cs="仿宋" w:hint="eastAsia"/>
            <w:lang w:eastAsia="zh-CN"/>
          </w:rPr>
          <w:t>(一)、创新策略与方向</w:t>
        </w:r>
        <w:r>
          <w:tab/>
        </w:r>
        <w:r>
          <w:fldChar w:fldCharType="begin"/>
        </w:r>
        <w:r>
          <w:instrText xml:space="preserve"> PAGEREF _Toc29143 \h </w:instrText>
        </w:r>
        <w:r>
          <w:fldChar w:fldCharType="separate"/>
        </w:r>
        <w:r>
          <w:t>45</w:t>
        </w:r>
        <w:r>
          <w:fldChar w:fldCharType="end"/>
        </w:r>
      </w:hyperlink>
    </w:p>
    <w:p>
      <w:pPr>
        <w:pStyle w:val="TOC2"/>
        <w:tabs>
          <w:tab w:val="right" w:leader="dot" w:pos="8306"/>
        </w:tabs>
      </w:pPr>
      <w:hyperlink w:anchor="_Toc11624" w:history="1">
        <w:r>
          <w:rPr>
            <w:rFonts w:ascii="仿宋" w:eastAsia="仿宋" w:hAnsi="仿宋" w:cs="仿宋" w:hint="eastAsia"/>
            <w:lang w:eastAsia="zh-CN"/>
          </w:rPr>
          <w:t>(二)、研发规划与投入</w:t>
        </w:r>
        <w:r>
          <w:tab/>
        </w:r>
        <w:r>
          <w:fldChar w:fldCharType="begin"/>
        </w:r>
        <w:r>
          <w:instrText xml:space="preserve"> PAGEREF _Toc11624 \h </w:instrText>
        </w:r>
        <w:r>
          <w:fldChar w:fldCharType="separate"/>
        </w:r>
        <w:r>
          <w:t>46</w:t>
        </w:r>
        <w:r>
          <w:fldChar w:fldCharType="end"/>
        </w:r>
      </w:hyperlink>
    </w:p>
    <w:p>
      <w:pPr>
        <w:pStyle w:val="TOC1"/>
        <w:tabs>
          <w:tab w:val="right" w:leader="dot" w:pos="8306"/>
        </w:tabs>
      </w:pPr>
      <w:hyperlink w:anchor="_Toc24476" w:history="1">
        <w:r>
          <w:rPr>
            <w:rFonts w:ascii="仿宋" w:eastAsia="仿宋" w:hAnsi="仿宋" w:cs="仿宋" w:hint="eastAsia"/>
            <w:lang w:eastAsia="zh-CN"/>
          </w:rPr>
          <w:t>十三、营销与推广策略</w:t>
        </w:r>
        <w:r>
          <w:tab/>
        </w:r>
        <w:r>
          <w:fldChar w:fldCharType="begin"/>
        </w:r>
        <w:r>
          <w:instrText xml:space="preserve"> PAGEREF _Toc24476 \h </w:instrText>
        </w:r>
        <w:r>
          <w:fldChar w:fldCharType="separate"/>
        </w:r>
        <w:r>
          <w:t>48</w:t>
        </w:r>
        <w:r>
          <w:fldChar w:fldCharType="end"/>
        </w:r>
      </w:hyperlink>
    </w:p>
    <w:p>
      <w:pPr>
        <w:pStyle w:val="TOC2"/>
        <w:tabs>
          <w:tab w:val="right" w:leader="dot" w:pos="8306"/>
        </w:tabs>
      </w:pPr>
      <w:hyperlink w:anchor="_Toc32310" w:history="1">
        <w:r>
          <w:rPr>
            <w:rFonts w:ascii="仿宋" w:eastAsia="仿宋" w:hAnsi="仿宋" w:cs="仿宋" w:hint="eastAsia"/>
            <w:lang w:eastAsia="zh-CN"/>
          </w:rPr>
          <w:t>(一)、产品/服务定位与特点</w:t>
        </w:r>
        <w:r>
          <w:tab/>
        </w:r>
        <w:r>
          <w:fldChar w:fldCharType="begin"/>
        </w:r>
        <w:r>
          <w:instrText xml:space="preserve"> PAGEREF _Toc32310 \h </w:instrText>
        </w:r>
        <w:r>
          <w:fldChar w:fldCharType="separate"/>
        </w:r>
        <w:r>
          <w:t>48</w:t>
        </w:r>
        <w:r>
          <w:fldChar w:fldCharType="end"/>
        </w:r>
      </w:hyperlink>
    </w:p>
    <w:p>
      <w:pPr>
        <w:pStyle w:val="TOC2"/>
        <w:tabs>
          <w:tab w:val="right" w:leader="dot" w:pos="8306"/>
        </w:tabs>
      </w:pPr>
      <w:hyperlink w:anchor="_Toc5874" w:history="1">
        <w:r>
          <w:rPr>
            <w:rFonts w:ascii="仿宋" w:eastAsia="仿宋" w:hAnsi="仿宋" w:cs="仿宋" w:hint="eastAsia"/>
            <w:lang w:eastAsia="zh-CN"/>
          </w:rPr>
          <w:t>(二)、市场定位与竞争分析</w:t>
        </w:r>
        <w:r>
          <w:tab/>
        </w:r>
        <w:r>
          <w:fldChar w:fldCharType="begin"/>
        </w:r>
        <w:r>
          <w:instrText xml:space="preserve"> PAGEREF _Toc5874 \h </w:instrText>
        </w:r>
        <w:r>
          <w:fldChar w:fldCharType="separate"/>
        </w:r>
        <w:r>
          <w:t>50</w:t>
        </w:r>
        <w:r>
          <w:fldChar w:fldCharType="end"/>
        </w:r>
      </w:hyperlink>
    </w:p>
    <w:p>
      <w:pPr>
        <w:pStyle w:val="TOC2"/>
        <w:tabs>
          <w:tab w:val="right" w:leader="dot" w:pos="8306"/>
        </w:tabs>
      </w:pPr>
      <w:hyperlink w:anchor="_Toc29328" w:history="1">
        <w:r>
          <w:rPr>
            <w:rFonts w:ascii="仿宋" w:eastAsia="仿宋" w:hAnsi="仿宋" w:cs="仿宋" w:hint="eastAsia"/>
            <w:lang w:eastAsia="zh-CN"/>
          </w:rPr>
          <w:t>(三)、营销渠道与策略</w:t>
        </w:r>
        <w:r>
          <w:tab/>
        </w:r>
        <w:r>
          <w:fldChar w:fldCharType="begin"/>
        </w:r>
        <w:r>
          <w:instrText xml:space="preserve"> PAGEREF _Toc29328 \h </w:instrText>
        </w:r>
        <w:r>
          <w:fldChar w:fldCharType="separate"/>
        </w:r>
        <w:r>
          <w:t>51</w:t>
        </w:r>
        <w:r>
          <w:fldChar w:fldCharType="end"/>
        </w:r>
      </w:hyperlink>
    </w:p>
    <w:p>
      <w:pPr>
        <w:pStyle w:val="TOC2"/>
        <w:tabs>
          <w:tab w:val="right" w:leader="dot" w:pos="8306"/>
        </w:tabs>
      </w:pPr>
      <w:hyperlink w:anchor="_Toc9202" w:history="1">
        <w:r>
          <w:rPr>
            <w:rFonts w:ascii="仿宋" w:eastAsia="仿宋" w:hAnsi="仿宋" w:cs="仿宋" w:hint="eastAsia"/>
            <w:lang w:eastAsia="zh-CN"/>
          </w:rPr>
          <w:t>(四)、推广与宣传活动</w:t>
        </w:r>
        <w:r>
          <w:tab/>
        </w:r>
        <w:r>
          <w:fldChar w:fldCharType="begin"/>
        </w:r>
        <w:r>
          <w:instrText xml:space="preserve"> PAGEREF _Toc9202 \h </w:instrText>
        </w:r>
        <w:r>
          <w:fldChar w:fldCharType="separate"/>
        </w:r>
        <w:r>
          <w:t>52</w:t>
        </w:r>
        <w:r>
          <w:fldChar w:fldCharType="end"/>
        </w:r>
      </w:hyperlink>
    </w:p>
    <w:p>
      <w:pPr>
        <w:pStyle w:val="TOC1"/>
        <w:tabs>
          <w:tab w:val="right" w:leader="dot" w:pos="8306"/>
        </w:tabs>
      </w:pPr>
      <w:hyperlink w:anchor="_Toc25098" w:history="1">
        <w:r>
          <w:rPr>
            <w:rFonts w:ascii="仿宋" w:eastAsia="仿宋" w:hAnsi="仿宋" w:cs="仿宋" w:hint="eastAsia"/>
            <w:lang w:eastAsia="zh-CN"/>
          </w:rPr>
          <w:t>十四、供应链管理</w:t>
        </w:r>
        <w:r>
          <w:tab/>
        </w:r>
        <w:r>
          <w:fldChar w:fldCharType="begin"/>
        </w:r>
        <w:r>
          <w:instrText xml:space="preserve"> PAGEREF _Toc25098 \h </w:instrText>
        </w:r>
        <w:r>
          <w:fldChar w:fldCharType="separate"/>
        </w:r>
        <w:r>
          <w:t>57</w:t>
        </w:r>
        <w:r>
          <w:fldChar w:fldCharType="end"/>
        </w:r>
      </w:hyperlink>
    </w:p>
    <w:p>
      <w:pPr>
        <w:pStyle w:val="TOC2"/>
        <w:tabs>
          <w:tab w:val="right" w:leader="dot" w:pos="8306"/>
        </w:tabs>
      </w:pPr>
      <w:hyperlink w:anchor="_Toc5174" w:history="1">
        <w:r>
          <w:rPr>
            <w:rFonts w:ascii="仿宋" w:eastAsia="仿宋" w:hAnsi="仿宋" w:cs="仿宋" w:hint="eastAsia"/>
            <w:lang w:eastAsia="zh-CN"/>
          </w:rPr>
          <w:t>(一)、供应链战略规划</w:t>
        </w:r>
        <w:r>
          <w:tab/>
        </w:r>
        <w:r>
          <w:fldChar w:fldCharType="begin"/>
        </w:r>
        <w:r>
          <w:instrText xml:space="preserve"> PAGEREF _Toc5174 \h </w:instrText>
        </w:r>
        <w:r>
          <w:fldChar w:fldCharType="separate"/>
        </w:r>
        <w:r>
          <w:t>57</w:t>
        </w:r>
        <w:r>
          <w:fldChar w:fldCharType="end"/>
        </w:r>
      </w:hyperlink>
    </w:p>
    <w:p>
      <w:pPr>
        <w:pStyle w:val="TOC2"/>
        <w:tabs>
          <w:tab w:val="right" w:leader="dot" w:pos="8306"/>
        </w:tabs>
      </w:pPr>
      <w:hyperlink w:anchor="_Toc20168" w:history="1">
        <w:r>
          <w:rPr>
            <w:rFonts w:ascii="仿宋" w:eastAsia="仿宋" w:hAnsi="仿宋" w:cs="仿宋" w:hint="eastAsia"/>
            <w:lang w:eastAsia="zh-CN"/>
          </w:rPr>
          <w:t>(二)、供应商选择与合作</w:t>
        </w:r>
        <w:r>
          <w:tab/>
        </w:r>
        <w:r>
          <w:fldChar w:fldCharType="begin"/>
        </w:r>
        <w:r>
          <w:instrText xml:space="preserve"> PAGEREF _Toc20168 \h </w:instrText>
        </w:r>
        <w:r>
          <w:fldChar w:fldCharType="separate"/>
        </w:r>
        <w:r>
          <w:t>59</w:t>
        </w:r>
        <w:r>
          <w:fldChar w:fldCharType="end"/>
        </w:r>
      </w:hyperlink>
    </w:p>
    <w:p>
      <w:pPr>
        <w:pStyle w:val="TOC2"/>
        <w:tabs>
          <w:tab w:val="right" w:leader="dot" w:pos="8306"/>
        </w:tabs>
      </w:pPr>
      <w:hyperlink w:anchor="_Toc10365" w:history="1">
        <w:r>
          <w:rPr>
            <w:rFonts w:ascii="仿宋" w:eastAsia="仿宋" w:hAnsi="仿宋" w:cs="仿宋" w:hint="eastAsia"/>
            <w:lang w:eastAsia="zh-CN"/>
          </w:rPr>
          <w:t>(三)、物流与库存管理</w:t>
        </w:r>
        <w:r>
          <w:tab/>
        </w:r>
        <w:r>
          <w:fldChar w:fldCharType="begin"/>
        </w:r>
        <w:r>
          <w:instrText xml:space="preserve"> PAGEREF _Toc10365 \h </w:instrText>
        </w:r>
        <w:r>
          <w:fldChar w:fldCharType="separate"/>
        </w:r>
        <w:r>
          <w:t>60</w:t>
        </w:r>
        <w:r>
          <w:fldChar w:fldCharType="end"/>
        </w:r>
      </w:hyperlink>
    </w:p>
    <w:p>
      <w:pPr>
        <w:pStyle w:val="TOC1"/>
        <w:tabs>
          <w:tab w:val="right" w:leader="dot" w:pos="8306"/>
        </w:tabs>
      </w:pPr>
      <w:hyperlink w:anchor="_Toc18704" w:history="1">
        <w:r>
          <w:rPr>
            <w:rFonts w:ascii="仿宋" w:eastAsia="仿宋" w:hAnsi="仿宋" w:cs="仿宋" w:hint="eastAsia"/>
            <w:lang w:eastAsia="zh-CN"/>
          </w:rPr>
          <w:t>十五、等离子体沉积和刻蚀设备项目实施时间节点</w:t>
        </w:r>
        <w:r>
          <w:tab/>
        </w:r>
        <w:r>
          <w:fldChar w:fldCharType="begin"/>
        </w:r>
        <w:r>
          <w:instrText xml:space="preserve"> PAGEREF _Toc18704 \h </w:instrText>
        </w:r>
        <w:r>
          <w:fldChar w:fldCharType="separate"/>
        </w:r>
        <w:r>
          <w:t>62</w:t>
        </w:r>
        <w:r>
          <w:fldChar w:fldCharType="end"/>
        </w:r>
      </w:hyperlink>
    </w:p>
    <w:p>
      <w:pPr>
        <w:pStyle w:val="TOC2"/>
        <w:tabs>
          <w:tab w:val="right" w:leader="dot" w:pos="8306"/>
        </w:tabs>
      </w:pPr>
      <w:hyperlink w:anchor="_Toc16495" w:history="1">
        <w:r>
          <w:rPr>
            <w:rFonts w:ascii="仿宋" w:eastAsia="仿宋" w:hAnsi="仿宋" w:cs="仿宋" w:hint="eastAsia"/>
            <w:lang w:eastAsia="zh-CN"/>
          </w:rPr>
          <w:t>(一)、等离子体沉积和刻蚀设备项目启动阶段时间节点</w:t>
        </w:r>
        <w:r>
          <w:tab/>
        </w:r>
        <w:r>
          <w:fldChar w:fldCharType="begin"/>
        </w:r>
        <w:r>
          <w:instrText xml:space="preserve"> PAGEREF _Toc16495 \h </w:instrText>
        </w:r>
        <w:r>
          <w:fldChar w:fldCharType="separate"/>
        </w:r>
        <w:r>
          <w:t>62</w:t>
        </w:r>
        <w:r>
          <w:fldChar w:fldCharType="end"/>
        </w:r>
      </w:hyperlink>
    </w:p>
    <w:p>
      <w:pPr>
        <w:pStyle w:val="TOC2"/>
        <w:tabs>
          <w:tab w:val="right" w:leader="dot" w:pos="8306"/>
        </w:tabs>
      </w:pPr>
      <w:hyperlink w:anchor="_Toc26747" w:history="1">
        <w:r>
          <w:rPr>
            <w:rFonts w:ascii="仿宋" w:eastAsia="仿宋" w:hAnsi="仿宋" w:cs="仿宋" w:hint="eastAsia"/>
            <w:lang w:eastAsia="zh-CN"/>
          </w:rPr>
          <w:t>(二)、等离子体沉积和刻蚀设备项目执行阶段时间节点</w:t>
        </w:r>
        <w:r>
          <w:tab/>
        </w:r>
        <w:r>
          <w:fldChar w:fldCharType="begin"/>
        </w:r>
        <w:r>
          <w:instrText xml:space="preserve"> PAGEREF _Toc26747 \h </w:instrText>
        </w:r>
        <w:r>
          <w:fldChar w:fldCharType="separate"/>
        </w:r>
        <w:r>
          <w:t>63</w:t>
        </w:r>
        <w:r>
          <w:fldChar w:fldCharType="end"/>
        </w:r>
      </w:hyperlink>
    </w:p>
    <w:p>
      <w:pPr>
        <w:pStyle w:val="TOC2"/>
        <w:tabs>
          <w:tab w:val="right" w:leader="dot" w:pos="8306"/>
        </w:tabs>
      </w:pPr>
      <w:hyperlink w:anchor="_Toc14733" w:history="1">
        <w:r>
          <w:rPr>
            <w:rFonts w:ascii="仿宋" w:eastAsia="仿宋" w:hAnsi="仿宋" w:cs="仿宋" w:hint="eastAsia"/>
            <w:lang w:eastAsia="zh-CN"/>
          </w:rPr>
          <w:t>(三)、等离子体沉积和刻蚀设备项目完成阶段时间节点</w:t>
        </w:r>
        <w:r>
          <w:tab/>
        </w:r>
        <w:r>
          <w:fldChar w:fldCharType="begin"/>
        </w:r>
        <w:r>
          <w:instrText xml:space="preserve"> PAGEREF _Toc14733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626"/>
      <w:r>
        <w:rPr>
          <w:rFonts w:ascii="仿宋" w:eastAsia="仿宋" w:hAnsi="仿宋" w:cs="仿宋" w:hint="eastAsia"/>
          <w:sz w:val="28"/>
          <w:lang w:eastAsia="zh-CN"/>
        </w:rPr>
        <w:t>一、等离子体沉积和刻蚀设备项目土建工程</w:t>
      </w:r>
      <w:bookmarkEnd w:id="2"/>
    </w:p>
    <w:p>
      <w:pPr>
        <w:pStyle w:val="Heading2"/>
        <w:rPr>
          <w:rFonts w:ascii="仿宋" w:eastAsia="仿宋" w:hAnsi="仿宋" w:cs="仿宋" w:hint="eastAsia"/>
          <w:lang w:eastAsia="zh-CN"/>
        </w:rPr>
      </w:pPr>
      <w:bookmarkStart w:id="3" w:name="_Toc1487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在等离子体沉积和刻蚀设备项目的建筑工程设计中，我们将秉承一系列重要的设计原则，以确保等离子体沉积和刻蚀设备项目建筑在功能、美观、可持续性等方面达到最佳效果。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首要原则是确保建筑的功能性得到最大化的发挥。我们将充分理解等离子体沉积和刻蚀设备项目的实际需求，合理布局各个功能区域，保证建筑在满足业务需求的同时，提供高效的工作环境。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在建筑设计中，我们将综合考虑建设和运营成本。通过精细的经济效益分析，确保设计方案在高效利用资源的同时，对等离子体沉积和刻蚀设备项目的长期盈利能力有积极的贡献。</w:t>
      </w:r>
    </w:p>
    <w:p>
      <w:pPr>
        <w:pStyle w:val="Heading2"/>
        <w:ind w:firstLine="560" w:firstLineChars="200"/>
        <w:rPr>
          <w:rFonts w:ascii="仿宋" w:eastAsia="仿宋" w:hAnsi="仿宋" w:cs="仿宋" w:hint="eastAsia"/>
          <w:sz w:val="28"/>
          <w:lang w:eastAsia="zh-CN"/>
        </w:rPr>
      </w:pPr>
      <w:bookmarkStart w:id="4" w:name="_Toc1987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等离子体沉积和刻蚀设备项目的土建工程设计中，我们将精准设定设计年限，结合等离子体沉积和刻蚀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等离子体沉积和刻蚀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200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等离子体沉积和刻蚀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等离子体沉积和刻蚀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等离子体沉积和刻蚀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881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本期工程等离子体沉积和刻蚀设备项目预计总建筑面积XXX平方米，其中：计容建筑面积XXX平方米，计划建筑工程投资XX万元，占等离子体沉积和刻蚀设备项目总投资的XX%。</w:t>
      </w:r>
    </w:p>
    <w:p>
      <w:pPr>
        <w:pStyle w:val="Heading1"/>
        <w:ind w:firstLine="560" w:firstLineChars="200"/>
        <w:rPr>
          <w:rFonts w:ascii="仿宋" w:eastAsia="仿宋" w:hAnsi="仿宋" w:cs="仿宋" w:hint="eastAsia"/>
          <w:sz w:val="28"/>
          <w:lang w:eastAsia="zh-CN"/>
        </w:rPr>
      </w:pPr>
      <w:bookmarkStart w:id="7" w:name="_Toc4737"/>
      <w:r>
        <w:rPr>
          <w:rFonts w:ascii="仿宋" w:eastAsia="仿宋" w:hAnsi="仿宋" w:cs="仿宋" w:hint="eastAsia"/>
          <w:sz w:val="28"/>
          <w:lang w:eastAsia="zh-CN"/>
        </w:rPr>
        <w:t>二、等离子体沉积和刻蚀设备项目选址可行性分析</w:t>
      </w:r>
      <w:bookmarkEnd w:id="7"/>
    </w:p>
    <w:p>
      <w:pPr>
        <w:pStyle w:val="Heading2"/>
        <w:rPr>
          <w:rFonts w:ascii="仿宋" w:eastAsia="仿宋" w:hAnsi="仿宋" w:cs="仿宋" w:hint="eastAsia"/>
          <w:lang w:eastAsia="zh-CN"/>
        </w:rPr>
      </w:pPr>
      <w:bookmarkStart w:id="8" w:name="_Toc29147"/>
      <w:r>
        <w:rPr>
          <w:rFonts w:ascii="仿宋" w:eastAsia="仿宋" w:hAnsi="仿宋" w:cs="仿宋" w:hint="eastAsia"/>
          <w:lang w:eastAsia="zh-CN"/>
        </w:rPr>
        <w:t>(一)、等离子体沉积和刻蚀设备项目选址</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该等离子体沉积和刻蚀设备项目选址位于XX省XX市XX区XXX街道</w:t>
      </w:r>
    </w:p>
    <w:p>
      <w:pPr>
        <w:pStyle w:val="Heading2"/>
        <w:ind w:firstLine="560" w:firstLineChars="200"/>
        <w:rPr>
          <w:rFonts w:ascii="仿宋" w:eastAsia="仿宋" w:hAnsi="仿宋" w:cs="仿宋" w:hint="eastAsia"/>
          <w:sz w:val="28"/>
          <w:lang w:eastAsia="zh-CN"/>
        </w:rPr>
      </w:pPr>
      <w:bookmarkStart w:id="9" w:name="_Toc4941"/>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等离子体沉积和刻蚀设备项目的征地面积将根据等离子体沉积和刻蚀设备项目的实际规模和需求进行精确规划。具体面积XXX平方米，旨在确保等离子体沉积和刻蚀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净用地面积是在征地面积基础上去除不可利用面积后的实际可开发用地。具体面积XXX平方米，考虑到环保、交通、安全等多方面因素，以确保等离子体沉积和刻蚀设备项目在整体利用效率上达到最优。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等离子体沉积和刻蚀设备项目计划建设的建筑总规模具体面积XXX平方米。这一规模的确定综合考虑了等离子体沉积和刻蚀设备项目的性质、规模，以及城市规划的相关要求，确保建筑布局与周边环境协调一致。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绿地率是等离子体沉积和刻蚀设备项目用地中被规划为绿地的比例。具体面积XXX平方米，旨在通过合理规划绿地，改善等离子体沉积和刻蚀设备项目周边环境，提升居民生活质量，并符合城市整体绿化规划。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容积率是用地上可以建设的建筑总体积与用地面积之比。具体面积XXX，通过合理的容积率规划，确保等离子体沉积和刻蚀设备项目建筑规模与周边环境和谐共生。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等离子体沉积和刻蚀设备项目选址与当地城市规划相一致，具体面积XXX平方米。通过与城市规划部门深入沟通，确保等离子体沉积和刻蚀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等离子体沉积和刻蚀设备项目选址符合当地产业政策，具体面积XXX平方米。这包括等离子体沉积和刻蚀设备项目对当地经济的促进作用，以及对相关产业的带动效应，确保等离子体沉积和刻蚀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等离子体沉积和刻蚀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确保等离子体沉积和刻蚀设备项目选址具备必要的公共设施配套，具体面积XXX平方米。这包括交通便利性、教育、医疗等基础设施，以提高居民生活品质，使得等离子体沉积和刻蚀设备项目选址更具吸引力。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考虑用地总体要求对当地社会稳定性的影响，具体面积XXX平方米。通过深入了解当地社区反馈，确保等离子体沉积和刻蚀设备项目的选址和建设过程对当地社会和谐稳定产生积极作用。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等离子体沉积和刻蚀设备项目选址不仅符合法规和规划，还在实际操作中具有可行性。这一全面规划将为等离子体沉积和刻蚀设备项目的成功实施提供坚实的基础，确保等离子体沉积和刻蚀设备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739"/>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等离子体沉积和刻蚀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等离子体沉积和刻蚀设备项目的设备规划和空间设计中，我们将采取灵活设备布局的措施。设备布局将根据实际需求进行灵活设计，避免不必要的浪费。通过合理规划设备摆放位置，我们将提高设备的利用率，减少设备间距，以确保等离子体沉积和刻蚀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等离子体沉积和刻蚀设备项目内部引入共享设施的概念，例如共享会议室、办公区等。通过这种方式，我们可以减少对资源的重复建设，提高资源共享效率，从而减小等离子体沉积和刻蚀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16656"/>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等离子体沉积和刻蚀设备项目的总图布置中，我们将不同功能区域进行明确的规划，以最大程度满足等离子体沉积和刻蚀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1448"/>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等离子体沉积和刻蚀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等离子体沉积和刻蚀设备项目对环境的影响是综合评价的重要因素之一。我们将详细考虑选址周边的自然环境、生态保护区、水源地等情况，确保等离子体沉积和刻蚀设备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等离子体沉积和刻蚀设备项目所在地的相关政策，确保等离子体沉积和刻蚀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考虑到社会稳定性对企业运营的重要性，我们将评估选址地区的社会安全情况、劳工关系、社区反馈等方面，以确保等离子体沉积和刻蚀设备项目的建设和运营不会受到社会稳定性的负面影响。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最后，我们将综合考虑用地成本，包括土地购置费用、土地开发成本等。通过对用地成本的详细评估，我们能够做出更为精确的经济效益分析，为等离子体沉积和刻蚀设备项目的投资决策提供有力支持。</w:t>
      </w:r>
    </w:p>
    <w:p>
      <w:pPr>
        <w:pStyle w:val="Heading1"/>
        <w:ind w:firstLine="560" w:firstLineChars="200"/>
        <w:rPr>
          <w:rFonts w:ascii="仿宋" w:eastAsia="仿宋" w:hAnsi="仿宋" w:cs="仿宋" w:hint="eastAsia"/>
          <w:sz w:val="28"/>
          <w:lang w:eastAsia="zh-CN"/>
        </w:rPr>
      </w:pPr>
      <w:bookmarkStart w:id="13" w:name="_Toc2231"/>
      <w:r>
        <w:rPr>
          <w:rFonts w:ascii="仿宋" w:eastAsia="仿宋" w:hAnsi="仿宋" w:cs="仿宋" w:hint="eastAsia"/>
          <w:sz w:val="28"/>
          <w:lang w:eastAsia="zh-CN"/>
        </w:rPr>
        <w:t>三、等离子体沉积和刻蚀设备项目建设单位说明</w:t>
      </w:r>
      <w:bookmarkEnd w:id="13"/>
    </w:p>
    <w:p>
      <w:pPr>
        <w:pStyle w:val="Heading2"/>
        <w:rPr>
          <w:rFonts w:ascii="仿宋" w:eastAsia="仿宋" w:hAnsi="仿宋" w:cs="仿宋" w:hint="eastAsia"/>
          <w:lang w:eastAsia="zh-CN"/>
        </w:rPr>
      </w:pPr>
      <w:bookmarkStart w:id="14" w:name="_Toc25205"/>
      <w:r>
        <w:rPr>
          <w:rFonts w:ascii="仿宋" w:eastAsia="仿宋" w:hAnsi="仿宋" w:cs="仿宋" w:hint="eastAsia"/>
          <w:lang w:eastAsia="zh-CN"/>
        </w:rPr>
        <w:t>(一)、等离子体沉积和刻蚀设备项目承办单位基本情况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7688"/>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等离子体沉积和刻蚀设备项目承办单位的XXXX，我们着眼于实现可持续的经济效益。通过技术创新和解决方案的提供，公司预计在等离子体沉积和刻蚀设备项目执行期间将获得可观的收入增长。这一收入来源主要包括等离子体沉积和刻蚀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同时，我们注重成本控制和效率提升，以确保等离子体沉积和刻蚀设备项目的可持续盈利。透过精细的管理和资源优化，公司期望实现等离子体沉积和刻蚀设备项目利润最大化。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等离子体沉积和刻蚀设备项目实施进行全面的投资评估，包括等离子体沉积和刻蚀设备项目启动阶段的资金投入和后续运营成本。通过对等离子体沉积和刻蚀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等离子体沉积和刻蚀设备项目实施过程中具备足够的资金流动性，公司将进行详尽的现金流分析。这包括资金需求的合理预测、等离子体沉积和刻蚀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876"/>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13992"/>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等离子体沉积和刻蚀设备项目的主要产品是XXXX，预计年产值为XXX万元。这一产品在市场中占据着重要的地位，其广泛的应用范围使得该等离子体沉积和刻蚀设备项目的市场前景非常广阔。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等离子体沉积和刻蚀设备项目的xxx产品作为重要的原材料之一，将在多个领域发挥关键作用。其在建筑、交通、能源等方面的广泛应用将为整个产业链提供强大的支持，形成产业协同效应。等离子体沉积和刻蚀设备项目的年产值XXX万XXX万XXX万万元不仅反映了其在市场上的巨大潜力，更预示着它对国民经济的积极贡献。这种关联度高、涉及面广的产业关系，使得该等离子体沉积和刻蚀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8927"/>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总征地面积为XXXX平方米，相当于约XX.XX亩，其中净用地面积为XXXX平方米，红线范围内相当于约XX.XX亩。这一用地规模充分考虑了等离子体沉积和刻蚀设备项目的建设需求，保障了等离子体沉积和刻蚀设备项目在合适的空间内得以充分发展。等离子体沉积和刻蚀设备项目规划的总建筑面积为XXXX平方米，其中主体工程建设占XXXX平方米，计容建筑面积达XXXX平方米。预计建筑工程的投资将达到XXXX万元，为等离子体沉积和刻蚀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计划购置的设备共计XXXX台（套），设备购置费用为XXXX万元。这一设备购置计划充分考虑到等离子体沉积和刻蚀设备项目的生产需求和技术要求，确保了等离子体沉积和刻蚀设备项目在生产运营中具备先进的技术装备和高效的生产能力。设备的合理配置将为等离子体沉积和刻蚀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计划总投资为XXXX万元，预计年实现营业收入为XXXX万元。这一产能规模的设定旨在确保等离子体沉积和刻蚀设备项目能够在投资与回报之间取得平衡，实现长期可持续的发展。等离子体沉积和刻蚀设备项目的总投资充分考虑到各个方面的需求，包括用地建设、设备购置等多个环节，以确保等离子体沉积和刻蚀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4716"/>
      <w:r>
        <w:rPr>
          <w:rFonts w:ascii="仿宋" w:eastAsia="仿宋" w:hAnsi="仿宋" w:cs="仿宋" w:hint="eastAsia"/>
          <w:sz w:val="28"/>
          <w:lang w:eastAsia="zh-CN"/>
        </w:rPr>
        <w:t>五、等离子体沉积和刻蚀设备项目危机管理</w:t>
      </w:r>
      <w:bookmarkEnd w:id="19"/>
    </w:p>
    <w:p>
      <w:pPr>
        <w:pStyle w:val="Heading2"/>
        <w:rPr>
          <w:rFonts w:ascii="仿宋" w:eastAsia="仿宋" w:hAnsi="仿宋" w:cs="仿宋" w:hint="eastAsia"/>
          <w:lang w:eastAsia="zh-CN"/>
        </w:rPr>
      </w:pPr>
      <w:bookmarkStart w:id="20" w:name="_Toc12238"/>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等离子体沉积和刻蚀设备项目危机管理中，危机预警与识别是确保等离子体沉积和刻蚀设备项目稳健运行的核心步骤。通过建立全面的监测机制，等离子体沉积和刻蚀设备项目团队旨在及时发现和理解潜在的风险和危机因素，以便采取及时的预防和应对措施，确保等离子体沉积和刻蚀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等离子体沉积和刻蚀设备项目团队全面分析了整个等离子体沉积和刻蚀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等离子体沉积和刻蚀设备项目团队着重于明确定义等离子体沉积和刻蚀设备项目进展中的关键节点和相关指标，以便迅速察觉潜在问题。通过建立预警系统，团队能够更早地发现可能导致危机的迹象，并及时采取必要的行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https://d.book118.com/307150005150006043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BB3D0B"/>
    <w:rsid w:val="7EBB3D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7150005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2024-02-17T19:34:00Z</dcterms:created>
  <dcterms:modified xsi:type="dcterms:W3CDTF">2024-02-17T19:34:35Z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83349C5924FF4D4490335393489DB958_11</vt:lpwstr>
  </property>
  <property fmtid="{D5CDD505-2E9C-101B-9397-08002B2CF9AE}" pid="3" name="KSOProductBuildVer">
    <vt:lpwstr>2052-12.1.0.16250</vt:lpwstr>
  </property>
</Properties>
</file>