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2024年惯性玩具行业分析报告及未来五到十年行业发展趋势报告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1218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_Toc1218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31656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_Toc31656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909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_Toc21909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370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_Toc6370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934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_Toc29934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443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_Toc25443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418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_Toc29418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348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_Toc19348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221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_Toc9221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158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_Toc19158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2682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_Toc32682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790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_Toc30790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0569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_Toc20569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480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_Toc11480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722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_Toc10722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009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_Toc31009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383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_Toc32383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3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_Toc639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76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_Toc12769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080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_Toc19080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735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_Toc16735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5076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_Toc15076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844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_Toc4844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827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_Toc24827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567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_Toc18567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614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_Toc24614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267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_Toc9267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692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_Toc5692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437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_Toc10437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506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_Toc3506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924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_Toc17924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104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产业未来发展前景</w:t>
        </w:r>
        <w:r>
          <w:tab/>
        </w:r>
        <w:r>
          <w:fldChar w:fldCharType="begin"/>
        </w:r>
        <w:r>
          <w:instrText xml:space="preserve"> PAGEREF _Toc29104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852" w:history="1">
        <w:r>
          <w:rPr>
            <w:rFonts w:eastAsia="微软雅黑" w:hint="eastAsia"/>
            <w:snapToGrid/>
            <w:lang w:val="en-US" w:eastAsia="zh-CN"/>
          </w:rPr>
          <w:t>(一)、我国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行业市场规模前景预测</w:t>
        </w:r>
        <w:r>
          <w:tab/>
        </w:r>
        <w:r>
          <w:fldChar w:fldCharType="begin"/>
        </w:r>
        <w:r>
          <w:instrText xml:space="preserve"> PAGEREF _Toc4852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10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行业进入大规模推广应用阶</w:t>
        </w:r>
        <w:r>
          <w:tab/>
        </w:r>
        <w:r>
          <w:fldChar w:fldCharType="begin"/>
        </w:r>
        <w:r>
          <w:instrText xml:space="preserve"> PAGEREF _Toc7105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8479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行业的市场增长点</w:t>
        </w:r>
        <w:r>
          <w:tab/>
        </w:r>
        <w:r>
          <w:fldChar w:fldCharType="begin"/>
        </w:r>
        <w:r>
          <w:instrText xml:space="preserve"> PAGEREF _Toc28479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487" w:history="1">
        <w:r>
          <w:rPr>
            <w:rFonts w:eastAsia="微软雅黑" w:hint="eastAsia"/>
            <w:snapToGrid/>
            <w:lang w:val="en-US" w:eastAsia="zh-CN"/>
          </w:rPr>
          <w:t>(四)、细分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行业产品将具有最大优势</w:t>
        </w:r>
        <w:r>
          <w:tab/>
        </w:r>
        <w:r>
          <w:fldChar w:fldCharType="begin"/>
        </w:r>
        <w:r>
          <w:instrText xml:space="preserve"> PAGEREF _Toc20487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926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行业与互联网等行业融合发展机遇</w:t>
        </w:r>
        <w:r>
          <w:tab/>
        </w:r>
        <w:r>
          <w:fldChar w:fldCharType="begin"/>
        </w:r>
        <w:r>
          <w:instrText xml:space="preserve"> PAGEREF _Toc27926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250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行业人才培养市场广阔，国际合作前景广阔</w:t>
        </w:r>
        <w:r>
          <w:tab/>
        </w:r>
        <w:r>
          <w:fldChar w:fldCharType="begin"/>
        </w:r>
        <w:r>
          <w:instrText xml:space="preserve"> PAGEREF _Toc9250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042" w:history="1">
        <w:r>
          <w:rPr>
            <w:rFonts w:eastAsia="微软雅黑" w:hint="eastAsia"/>
            <w:snapToGrid/>
            <w:lang w:val="en-US" w:eastAsia="zh-CN"/>
          </w:rPr>
          <w:t>(七)、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行业发展需要突破创新瓶颈</w:t>
        </w:r>
        <w:r>
          <w:tab/>
        </w:r>
        <w:r>
          <w:fldChar w:fldCharType="begin"/>
        </w:r>
        <w:r>
          <w:instrText xml:space="preserve"> PAGEREF _Toc12042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1808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行业企业战略实施要点</w:t>
        </w:r>
        <w:r>
          <w:tab/>
        </w:r>
        <w:r>
          <w:fldChar w:fldCharType="begin"/>
        </w:r>
        <w:r>
          <w:instrText xml:space="preserve"> PAGEREF _Toc11808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19" w:history="1">
        <w:r>
          <w:rPr>
            <w:rFonts w:eastAsia="微软雅黑" w:hint="eastAsia"/>
            <w:snapToGrid/>
            <w:lang w:val="en-US" w:eastAsia="en-US"/>
          </w:rPr>
          <w:t>(一)、打造自主品牌</w:t>
        </w:r>
        <w:r>
          <w:tab/>
        </w:r>
        <w:r>
          <w:fldChar w:fldCharType="begin"/>
        </w:r>
        <w:r>
          <w:instrText xml:space="preserve"> PAGEREF _Toc419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465" w:history="1">
        <w:r>
          <w:rPr>
            <w:rFonts w:eastAsia="微软雅黑" w:hint="eastAsia"/>
            <w:snapToGrid/>
            <w:lang w:val="en-US" w:eastAsia="zh-CN"/>
          </w:rPr>
          <w:t>(二)、重塑企业价值链</w:t>
        </w:r>
        <w:r>
          <w:tab/>
        </w:r>
        <w:r>
          <w:fldChar w:fldCharType="begin"/>
        </w:r>
        <w:r>
          <w:instrText xml:space="preserve"> PAGEREF _Toc17465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0405" w:history="1">
        <w:r>
          <w:rPr>
            <w:rFonts w:eastAsia="微软雅黑" w:hint="eastAsia"/>
            <w:snapToGrid/>
            <w:lang w:val="en-US" w:eastAsia="zh-CN"/>
          </w:rPr>
          <w:t>1、规范研发设计流程</w:t>
        </w:r>
        <w:r>
          <w:tab/>
        </w:r>
        <w:r>
          <w:fldChar w:fldCharType="begin"/>
        </w:r>
        <w:r>
          <w:instrText xml:space="preserve"> PAGEREF _Toc30405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950" w:history="1">
        <w:r>
          <w:rPr>
            <w:rFonts w:eastAsia="微软雅黑" w:hint="eastAsia"/>
            <w:snapToGrid/>
            <w:lang w:val="en-US" w:eastAsia="zh-CN"/>
          </w:rPr>
          <w:t>2、优化生产制造</w:t>
        </w:r>
        <w:r>
          <w:tab/>
        </w:r>
        <w:r>
          <w:fldChar w:fldCharType="begin"/>
        </w:r>
        <w:r>
          <w:instrText xml:space="preserve"> PAGEREF _Toc6950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625" w:history="1">
        <w:r>
          <w:rPr>
            <w:rFonts w:eastAsia="微软雅黑" w:hint="eastAsia"/>
            <w:snapToGrid/>
            <w:lang w:val="en-US" w:eastAsia="zh-CN"/>
          </w:rPr>
          <w:t>(三)、重视市场营销</w:t>
        </w:r>
        <w:r>
          <w:tab/>
        </w:r>
        <w:r>
          <w:fldChar w:fldCharType="begin"/>
        </w:r>
        <w:r>
          <w:instrText xml:space="preserve"> PAGEREF _Toc14625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456" w:history="1">
        <w:r>
          <w:rPr>
            <w:rFonts w:eastAsia="微软雅黑" w:hint="eastAsia"/>
            <w:snapToGrid/>
            <w:lang w:val="en-US" w:eastAsia="zh-CN"/>
          </w:rPr>
          <w:t>(四)、整合线上线下平台</w:t>
        </w:r>
        <w:r>
          <w:tab/>
        </w:r>
        <w:r>
          <w:fldChar w:fldCharType="begin"/>
        </w:r>
        <w:r>
          <w:instrText xml:space="preserve"> PAGEREF _Toc16456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449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行业发展趋势</w:t>
        </w:r>
        <w:r>
          <w:tab/>
        </w:r>
        <w:r>
          <w:fldChar w:fldCharType="begin"/>
        </w:r>
        <w:r>
          <w:instrText xml:space="preserve"> PAGEREF _Toc16449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632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_Toc5632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597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_Toc4597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62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_Toc27629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4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_Toc25644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016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_Toc23016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065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_Toc19065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724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_Toc31724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520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_Toc13520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153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_Toc24153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06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_Toc29006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519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_Toc9519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542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_Toc12542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631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_Toc3631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468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_Toc20468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531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_Toc11531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412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_Toc25412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242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_Toc31242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495" w:history="1">
        <w:r>
          <w:rPr>
            <w:rFonts w:eastAsia="微软雅黑" w:hint="eastAsia"/>
            <w:snapToGrid/>
            <w:lang w:val="en-US" w:eastAsia="zh-CN"/>
          </w:rPr>
          <w:t>(十一)、供给不足,产业化程</w:t>
        </w:r>
        <w:r>
          <w:rPr>
            <w:rFonts w:eastAsia="微软雅黑" w:hint="eastAsia"/>
            <w:snapToGrid/>
            <w:lang w:val="en-US" w:eastAsia="zh-CN"/>
          </w:rPr>
          <w:t>度较低</w:t>
        </w:r>
        <w:r>
          <w:tab/>
        </w:r>
        <w:r>
          <w:fldChar w:fldCharType="begin"/>
        </w:r>
        <w:r>
          <w:instrText xml:space="preserve"> PAGEREF _Toc25495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65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_Toc20165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742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_Toc16742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47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_Toc2547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72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惯性玩具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_Toc22572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741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惯性玩具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_Toc6741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https://d.book118.com/307161134105006026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307161134105006026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