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0" w:beforeLines="0" w:after="0" w:afterLines="0" w:line="240" w:lineRule="auto"/>
        <w:ind w:left="0" w:right="0" w:firstLine="0" w:leftChars="0" w:rightChars="0" w:firstLineChars="0"/>
        <w:jc w:val="center"/>
        <w:rPr>
          <w:rFonts w:ascii="幼圆" w:eastAsia="幼圆" w:hAnsi="幼圆" w:cs="幼圆" w:hint="eastAsia"/>
          <w:b/>
          <w:bCs/>
          <w:sz w:val="30"/>
          <w:szCs w:val="30"/>
        </w:rPr>
      </w:pPr>
      <w:bookmarkStart w:id="0" w:name="_Toc69200248"/>
      <w:bookmarkStart w:id="1" w:name="_Toc67389923"/>
      <w:bookmarkStart w:id="2" w:name="_Toc66736787"/>
      <w:bookmarkStart w:id="3" w:name="_Toc67390726"/>
      <w:bookmarkStart w:id="4" w:name="_Toc68584232"/>
      <w:bookmarkStart w:id="5" w:name="_Toc70010880"/>
      <w:bookmarkStart w:id="6" w:name="_Toc66736128"/>
      <w:bookmarkStart w:id="7" w:name="_Toc67390246"/>
      <w:bookmarkStart w:id="8" w:name="_Toc69200343"/>
      <w:bookmarkStart w:id="9" w:name="_Toc68075436"/>
      <w:bookmarkStart w:id="10" w:name="_Toc70010727"/>
      <w:bookmarkStart w:id="11" w:name="_Toc66737200"/>
      <w:bookmarkStart w:id="12" w:name="_Toc67390601"/>
      <w:bookmarkStart w:id="13" w:name="_Toc11179"/>
      <w:bookmarkStart w:id="14" w:name="_Toc66734959"/>
      <w:r>
        <w:rPr>
          <w:rFonts w:ascii="幼圆" w:eastAsia="幼圆" w:hAnsi="幼圆" w:cs="幼圆" w:hint="eastAsia"/>
          <w:b/>
          <w:bCs/>
          <w:sz w:val="24"/>
        </w:rPr>
        <w:t>基于eva的</w:t>
      </w:r>
      <w:r>
        <w:rPr>
          <w:rFonts w:ascii="幼圆" w:eastAsia="幼圆" w:hAnsi="幼圆" w:cs="幼圆" w:hint="eastAsia"/>
          <w:b/>
          <w:bCs/>
          <w:sz w:val="24"/>
          <w:lang w:eastAsia="zh-CN"/>
        </w:rPr>
        <w:t>桂林西麦食品</w:t>
      </w:r>
      <w:r>
        <w:rPr>
          <w:rFonts w:ascii="幼圆" w:eastAsia="幼圆" w:hAnsi="幼圆" w:cs="幼圆" w:hint="eastAsia"/>
          <w:b/>
          <w:bCs/>
          <w:sz w:val="24"/>
        </w:rPr>
        <w:t>企业绩效评价研究</w:t>
      </w:r>
    </w:p>
    <w:p>
      <w:pPr>
        <w:spacing w:before="0" w:beforeLines="0" w:after="0" w:afterLines="0" w:line="240" w:lineRule="auto"/>
        <w:ind w:left="0" w:right="0" w:firstLine="0" w:leftChars="0" w:rightChars="0" w:firstLineChars="0"/>
        <w:jc w:val="center"/>
        <w:rPr>
          <w:rFonts w:ascii="幼圆" w:eastAsia="幼圆" w:hAnsi="幼圆" w:cs="幼圆" w:hint="eastAsia"/>
          <w:sz w:val="30"/>
          <w:szCs w:val="30"/>
        </w:rPr>
      </w:pPr>
    </w:p>
    <w:p>
      <w:pPr>
        <w:pStyle w:val="TOC1"/>
        <w:tabs>
          <w:tab w:val="right" w:leader="dot" w:pos="8508"/>
        </w:tabs>
        <w:spacing w:line="360" w:lineRule="auto"/>
        <w:rPr>
          <w:rFonts w:ascii="幼圆" w:eastAsia="幼圆" w:hAnsi="幼圆" w:cs="幼圆" w:hint="eastAsia"/>
          <w:sz w:val="24"/>
          <w:szCs w:val="24"/>
        </w:rPr>
      </w:pP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TOC \o "1-3" \h \u </w:instrText>
      </w:r>
      <w:r>
        <w:rPr>
          <w:rFonts w:ascii="幼圆" w:eastAsia="幼圆" w:hAnsi="幼圆" w:cs="幼圆" w:hint="eastAsia"/>
          <w:sz w:val="24"/>
          <w:szCs w:val="24"/>
        </w:rPr>
        <w:fldChar w:fldCharType="separate"/>
      </w:r>
      <w:hyperlink w:anchor="_Toc22712" w:history="1">
        <w:r>
          <w:rPr>
            <w:rFonts w:ascii="幼圆" w:eastAsia="幼圆" w:hAnsi="幼圆" w:cs="幼圆" w:hint="eastAsia"/>
            <w:bCs/>
            <w:sz w:val="24"/>
            <w:szCs w:val="32"/>
            <w:lang w:val="zh-CN" w:eastAsia="zh-CN" w:bidi="zh-CN"/>
          </w:rPr>
          <w:t>1 绪  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_Toc22712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tabs>
          <w:tab w:val="right" w:leader="dot" w:pos="8508"/>
        </w:tabs>
        <w:spacing w:line="360" w:lineRule="auto"/>
        <w:rPr>
          <w:rFonts w:ascii="幼圆" w:eastAsia="幼圆" w:hAnsi="幼圆" w:cs="幼圆" w:hint="eastAsia"/>
          <w:sz w:val="24"/>
          <w:szCs w:val="24"/>
        </w:rPr>
      </w:pPr>
      <w:hyperlink w:anchor="_Toc28846" w:history="1">
        <w:r>
          <w:rPr>
            <w:rFonts w:ascii="幼圆" w:eastAsia="幼圆" w:hAnsi="幼圆" w:cs="幼圆" w:hint="eastAsia"/>
            <w:sz w:val="24"/>
            <w:szCs w:val="24"/>
          </w:rPr>
          <w:t>1.1 研究背景及意义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_Toc28846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3"/>
        <w:tabs>
          <w:tab w:val="right" w:leader="dot" w:pos="8508"/>
        </w:tabs>
        <w:spacing w:line="360" w:lineRule="auto"/>
        <w:rPr>
          <w:rFonts w:ascii="幼圆" w:eastAsia="幼圆" w:hAnsi="幼圆" w:cs="幼圆" w:hint="eastAsia"/>
          <w:sz w:val="24"/>
          <w:szCs w:val="24"/>
        </w:rPr>
      </w:pPr>
      <w:hyperlink w:anchor="_Toc5953" w:history="1">
        <w:r>
          <w:rPr>
            <w:rFonts w:ascii="幼圆" w:eastAsia="幼圆" w:hAnsi="幼圆" w:cs="幼圆" w:hint="eastAsia"/>
            <w:bCs/>
            <w:sz w:val="24"/>
            <w:szCs w:val="28"/>
            <w:lang w:val="zh-CN" w:eastAsia="zh-CN" w:bidi="zh-CN"/>
          </w:rPr>
          <w:t>1.1.1 研究背景</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_Toc5953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3"/>
        <w:tabs>
          <w:tab w:val="right" w:leader="dot" w:pos="8508"/>
        </w:tabs>
        <w:spacing w:line="360" w:lineRule="auto"/>
        <w:rPr>
          <w:rFonts w:ascii="幼圆" w:eastAsia="幼圆" w:hAnsi="幼圆" w:cs="幼圆" w:hint="eastAsia"/>
          <w:sz w:val="24"/>
          <w:szCs w:val="24"/>
        </w:rPr>
      </w:pPr>
      <w:hyperlink w:anchor="_Toc22357" w:history="1">
        <w:r>
          <w:rPr>
            <w:rFonts w:ascii="幼圆" w:eastAsia="幼圆" w:hAnsi="幼圆" w:cs="幼圆" w:hint="eastAsia"/>
            <w:bCs/>
            <w:sz w:val="24"/>
            <w:szCs w:val="28"/>
            <w:lang w:val="zh-CN" w:eastAsia="zh-CN" w:bidi="zh-CN"/>
          </w:rPr>
          <w:t>1.1.2 研究意义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_Toc22357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tabs>
          <w:tab w:val="right" w:leader="dot" w:pos="8508"/>
        </w:tabs>
        <w:spacing w:line="360" w:lineRule="auto"/>
        <w:rPr>
          <w:rFonts w:ascii="幼圆" w:eastAsia="幼圆" w:hAnsi="幼圆" w:cs="幼圆" w:hint="eastAsia"/>
          <w:sz w:val="24"/>
          <w:szCs w:val="24"/>
        </w:rPr>
      </w:pPr>
      <w:hyperlink w:anchor="_Toc15905" w:history="1">
        <w:r>
          <w:rPr>
            <w:rFonts w:ascii="幼圆" w:eastAsia="幼圆" w:hAnsi="幼圆" w:cs="幼圆" w:hint="eastAsia"/>
            <w:sz w:val="24"/>
            <w:szCs w:val="24"/>
          </w:rPr>
          <w:t>1.2 国内外研究现状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_Toc15905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3"/>
        <w:tabs>
          <w:tab w:val="right" w:leader="dot" w:pos="8508"/>
        </w:tabs>
        <w:spacing w:line="360" w:lineRule="auto"/>
        <w:rPr>
          <w:rFonts w:ascii="幼圆" w:eastAsia="幼圆" w:hAnsi="幼圆" w:cs="幼圆" w:hint="eastAsia"/>
          <w:sz w:val="24"/>
          <w:szCs w:val="24"/>
        </w:rPr>
      </w:pPr>
      <w:hyperlink w:anchor="_Toc3416" w:history="1">
        <w:r>
          <w:rPr>
            <w:rFonts w:ascii="幼圆" w:eastAsia="幼圆" w:hAnsi="幼圆" w:cs="幼圆" w:hint="eastAsia"/>
            <w:bCs/>
            <w:sz w:val="24"/>
            <w:szCs w:val="28"/>
            <w:lang w:val="zh-CN" w:eastAsia="zh-CN" w:bidi="zh-CN"/>
          </w:rPr>
          <w:t>1.2.1 国外研究现状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_Toc3416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3"/>
        <w:tabs>
          <w:tab w:val="right" w:leader="dot" w:pos="8508"/>
        </w:tabs>
        <w:spacing w:line="360" w:lineRule="auto"/>
        <w:rPr>
          <w:rFonts w:ascii="幼圆" w:eastAsia="幼圆" w:hAnsi="幼圆" w:cs="幼圆" w:hint="eastAsia"/>
          <w:sz w:val="24"/>
          <w:szCs w:val="24"/>
        </w:rPr>
      </w:pPr>
      <w:hyperlink w:anchor="_Toc27340" w:history="1">
        <w:r>
          <w:rPr>
            <w:rFonts w:ascii="幼圆" w:eastAsia="幼圆" w:hAnsi="幼圆" w:cs="幼圆" w:hint="eastAsia"/>
            <w:bCs/>
            <w:sz w:val="24"/>
            <w:szCs w:val="28"/>
            <w:lang w:val="zh-CN" w:eastAsia="zh-CN" w:bidi="zh-CN"/>
          </w:rPr>
          <w:t>1.2.2 国内研究现状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_Toc27340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3"/>
        <w:tabs>
          <w:tab w:val="right" w:leader="dot" w:pos="8508"/>
        </w:tabs>
        <w:spacing w:line="360" w:lineRule="auto"/>
        <w:rPr>
          <w:rFonts w:ascii="幼圆" w:eastAsia="幼圆" w:hAnsi="幼圆" w:cs="幼圆" w:hint="eastAsia"/>
          <w:sz w:val="24"/>
          <w:szCs w:val="24"/>
        </w:rPr>
      </w:pPr>
      <w:hyperlink w:anchor="_Toc12117" w:history="1">
        <w:r>
          <w:rPr>
            <w:rFonts w:ascii="幼圆" w:eastAsia="幼圆" w:hAnsi="幼圆" w:cs="幼圆" w:hint="eastAsia"/>
            <w:bCs/>
            <w:sz w:val="24"/>
            <w:szCs w:val="28"/>
            <w:lang w:val="zh-CN" w:eastAsia="zh-CN" w:bidi="zh-CN"/>
          </w:rPr>
          <w:t>1.2.3 文献述评</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_Toc12117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2"/>
        <w:tabs>
          <w:tab w:val="right" w:leader="dot" w:pos="8508"/>
        </w:tabs>
        <w:spacing w:line="360" w:lineRule="auto"/>
        <w:rPr>
          <w:rFonts w:ascii="幼圆" w:eastAsia="幼圆" w:hAnsi="幼圆" w:cs="幼圆" w:hint="eastAsia"/>
          <w:sz w:val="24"/>
          <w:szCs w:val="24"/>
        </w:rPr>
      </w:pPr>
      <w:hyperlink w:anchor="_Toc20610" w:history="1">
        <w:r>
          <w:rPr>
            <w:rFonts w:ascii="幼圆" w:eastAsia="幼圆" w:hAnsi="幼圆" w:cs="幼圆" w:hint="eastAsia"/>
            <w:sz w:val="24"/>
            <w:szCs w:val="24"/>
          </w:rPr>
          <w:t>1.3 研究内容和框架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_Toc20610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3"/>
        <w:tabs>
          <w:tab w:val="right" w:leader="dot" w:pos="8508"/>
        </w:tabs>
        <w:spacing w:line="360" w:lineRule="auto"/>
        <w:rPr>
          <w:rFonts w:ascii="幼圆" w:eastAsia="幼圆" w:hAnsi="幼圆" w:cs="幼圆" w:hint="eastAsia"/>
          <w:sz w:val="24"/>
          <w:szCs w:val="24"/>
        </w:rPr>
      </w:pPr>
      <w:hyperlink w:anchor="_Toc20561" w:history="1">
        <w:r>
          <w:rPr>
            <w:rFonts w:ascii="幼圆" w:eastAsia="幼圆" w:hAnsi="幼圆" w:cs="幼圆" w:hint="eastAsia"/>
            <w:bCs/>
            <w:sz w:val="24"/>
            <w:szCs w:val="28"/>
            <w:lang w:val="zh-CN" w:eastAsia="zh-CN" w:bidi="zh-CN"/>
          </w:rPr>
          <w:t>1.3.1 研究内容</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_Toc20561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3"/>
        <w:tabs>
          <w:tab w:val="right" w:leader="dot" w:pos="8508"/>
        </w:tabs>
        <w:spacing w:line="360" w:lineRule="auto"/>
        <w:rPr>
          <w:rFonts w:ascii="幼圆" w:eastAsia="幼圆" w:hAnsi="幼圆" w:cs="幼圆" w:hint="eastAsia"/>
          <w:sz w:val="24"/>
          <w:szCs w:val="24"/>
        </w:rPr>
      </w:pPr>
      <w:hyperlink w:anchor="_Toc22478" w:history="1">
        <w:r>
          <w:rPr>
            <w:rFonts w:ascii="幼圆" w:eastAsia="幼圆" w:hAnsi="幼圆" w:cs="幼圆" w:hint="eastAsia"/>
            <w:bCs/>
            <w:sz w:val="24"/>
            <w:szCs w:val="28"/>
            <w:lang w:val="zh-CN" w:eastAsia="zh-CN" w:bidi="zh-CN"/>
          </w:rPr>
          <w:t>1.3.2 研究框架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_Toc22478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2"/>
        <w:tabs>
          <w:tab w:val="right" w:leader="dot" w:pos="8508"/>
        </w:tabs>
        <w:spacing w:line="360" w:lineRule="auto"/>
        <w:rPr>
          <w:rFonts w:ascii="幼圆" w:eastAsia="幼圆" w:hAnsi="幼圆" w:cs="幼圆" w:hint="eastAsia"/>
          <w:sz w:val="24"/>
          <w:szCs w:val="24"/>
        </w:rPr>
      </w:pPr>
      <w:hyperlink w:anchor="_Toc22985" w:history="1">
        <w:r>
          <w:rPr>
            <w:rFonts w:ascii="幼圆" w:eastAsia="幼圆" w:hAnsi="幼圆" w:cs="幼圆" w:hint="eastAsia"/>
            <w:sz w:val="24"/>
            <w:szCs w:val="24"/>
          </w:rPr>
          <w:t>1.4 研究方法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_Toc22985 \h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1"/>
        <w:tabs>
          <w:tab w:val="right" w:leader="dot" w:pos="8508"/>
        </w:tabs>
        <w:spacing w:line="360" w:lineRule="auto"/>
        <w:rPr>
          <w:rFonts w:ascii="幼圆" w:eastAsia="幼圆" w:hAnsi="幼圆" w:cs="幼圆" w:hint="eastAsia"/>
          <w:sz w:val="24"/>
          <w:szCs w:val="24"/>
        </w:rPr>
      </w:pPr>
      <w:hyperlink w:anchor="_Toc17134" w:history="1">
        <w:r>
          <w:rPr>
            <w:rFonts w:ascii="幼圆" w:eastAsia="幼圆" w:hAnsi="幼圆" w:cs="幼圆" w:hint="eastAsia"/>
            <w:bCs/>
            <w:sz w:val="24"/>
            <w:szCs w:val="28"/>
            <w:lang w:val="zh-CN" w:eastAsia="zh-CN" w:bidi="zh-CN"/>
          </w:rPr>
          <w:t>2 相关概念与理论基础</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_Toc17134 \h </w:instrText>
        </w:r>
        <w:r>
          <w:rPr>
            <w:rFonts w:ascii="幼圆" w:eastAsia="幼圆" w:hAnsi="幼圆" w:cs="幼圆" w:hint="eastAsia"/>
            <w:sz w:val="24"/>
            <w:szCs w:val="24"/>
          </w:rPr>
          <w:fldChar w:fldCharType="separate"/>
        </w:r>
        <w:r>
          <w:rPr>
            <w:rFonts w:ascii="幼圆" w:eastAsia="幼圆" w:hAnsi="幼圆" w:cs="幼圆" w:hint="eastAsia"/>
            <w:sz w:val="24"/>
            <w:szCs w:val="24"/>
          </w:rPr>
          <w:t>7</w:t>
        </w:r>
        <w:r>
          <w:rPr>
            <w:rFonts w:ascii="幼圆" w:eastAsia="幼圆" w:hAnsi="幼圆" w:cs="幼圆" w:hint="eastAsia"/>
            <w:sz w:val="24"/>
            <w:szCs w:val="24"/>
          </w:rPr>
          <w:fldChar w:fldCharType="end"/>
        </w:r>
      </w:hyperlink>
    </w:p>
    <w:p>
      <w:pPr>
        <w:pStyle w:val="TOC2"/>
        <w:tabs>
          <w:tab w:val="right" w:leader="dot" w:pos="8508"/>
        </w:tabs>
        <w:spacing w:line="360" w:lineRule="auto"/>
        <w:rPr>
          <w:rFonts w:ascii="幼圆" w:eastAsia="幼圆" w:hAnsi="幼圆" w:cs="幼圆" w:hint="eastAsia"/>
          <w:sz w:val="24"/>
          <w:szCs w:val="24"/>
        </w:rPr>
      </w:pPr>
      <w:hyperlink w:anchor="_Toc20718" w:history="1">
        <w:r>
          <w:rPr>
            <w:rFonts w:ascii="幼圆" w:eastAsia="幼圆" w:hAnsi="幼圆" w:cs="幼圆" w:hint="eastAsia"/>
            <w:sz w:val="24"/>
            <w:szCs w:val="24"/>
          </w:rPr>
          <w:t>2.1 相关概念</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_Toc20718 \h </w:instrText>
        </w:r>
        <w:r>
          <w:rPr>
            <w:rFonts w:ascii="幼圆" w:eastAsia="幼圆" w:hAnsi="幼圆" w:cs="幼圆" w:hint="eastAsia"/>
            <w:sz w:val="24"/>
            <w:szCs w:val="24"/>
          </w:rPr>
          <w:fldChar w:fldCharType="separate"/>
        </w:r>
        <w:r>
          <w:rPr>
            <w:rFonts w:ascii="幼圆" w:eastAsia="幼圆" w:hAnsi="幼圆" w:cs="幼圆" w:hint="eastAsia"/>
            <w:sz w:val="24"/>
            <w:szCs w:val="24"/>
          </w:rPr>
          <w:t>7</w:t>
        </w:r>
        <w:r>
          <w:rPr>
            <w:rFonts w:ascii="幼圆" w:eastAsia="幼圆" w:hAnsi="幼圆" w:cs="幼圆" w:hint="eastAsia"/>
            <w:sz w:val="24"/>
            <w:szCs w:val="24"/>
          </w:rPr>
          <w:fldChar w:fldCharType="end"/>
        </w:r>
      </w:hyperlink>
    </w:p>
    <w:p>
      <w:pPr>
        <w:pStyle w:val="TOC3"/>
        <w:tabs>
          <w:tab w:val="right" w:leader="dot" w:pos="8508"/>
        </w:tabs>
        <w:spacing w:line="360" w:lineRule="auto"/>
        <w:rPr>
          <w:rFonts w:ascii="幼圆" w:eastAsia="幼圆" w:hAnsi="幼圆" w:cs="幼圆" w:hint="eastAsia"/>
          <w:sz w:val="24"/>
          <w:szCs w:val="24"/>
        </w:rPr>
      </w:pPr>
      <w:hyperlink w:anchor="_Toc18067" w:history="1">
        <w:r>
          <w:rPr>
            <w:rFonts w:ascii="幼圆" w:eastAsia="幼圆" w:hAnsi="幼圆" w:cs="幼圆" w:hint="eastAsia"/>
            <w:bCs/>
            <w:sz w:val="24"/>
            <w:szCs w:val="28"/>
            <w:lang w:val="zh-CN" w:eastAsia="zh-CN" w:bidi="zh-CN"/>
          </w:rPr>
          <w:t>2.1.1 绩效评价</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_Toc18067 \h </w:instrText>
        </w:r>
        <w:r>
          <w:rPr>
            <w:rFonts w:ascii="幼圆" w:eastAsia="幼圆" w:hAnsi="幼圆" w:cs="幼圆" w:hint="eastAsia"/>
            <w:sz w:val="24"/>
            <w:szCs w:val="24"/>
          </w:rPr>
          <w:fldChar w:fldCharType="separate"/>
        </w:r>
        <w:r>
          <w:rPr>
            <w:rFonts w:ascii="幼圆" w:eastAsia="幼圆" w:hAnsi="幼圆" w:cs="幼圆" w:hint="eastAsia"/>
            <w:sz w:val="24"/>
            <w:szCs w:val="24"/>
          </w:rPr>
          <w:t>7</w:t>
        </w:r>
        <w:r>
          <w:rPr>
            <w:rFonts w:ascii="幼圆" w:eastAsia="幼圆" w:hAnsi="幼圆" w:cs="幼圆" w:hint="eastAsia"/>
            <w:sz w:val="24"/>
            <w:szCs w:val="24"/>
          </w:rPr>
          <w:fldChar w:fldCharType="end"/>
        </w:r>
      </w:hyperlink>
    </w:p>
    <w:p>
      <w:pPr>
        <w:pStyle w:val="TOC3"/>
        <w:tabs>
          <w:tab w:val="right" w:leader="dot" w:pos="8508"/>
        </w:tabs>
        <w:spacing w:line="360" w:lineRule="auto"/>
        <w:rPr>
          <w:rFonts w:ascii="幼圆" w:eastAsia="幼圆" w:hAnsi="幼圆" w:cs="幼圆" w:hint="eastAsia"/>
          <w:sz w:val="24"/>
          <w:szCs w:val="24"/>
        </w:rPr>
      </w:pPr>
      <w:hyperlink w:anchor="_Toc21221" w:history="1">
        <w:r>
          <w:rPr>
            <w:rFonts w:ascii="幼圆" w:eastAsia="幼圆" w:hAnsi="幼圆" w:cs="幼圆" w:hint="eastAsia"/>
            <w:bCs/>
            <w:sz w:val="24"/>
            <w:szCs w:val="28"/>
            <w:lang w:val="zh-CN" w:eastAsia="zh-CN" w:bidi="zh-CN"/>
          </w:rPr>
          <w:t>2.1.2 EVA绩效评价</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_Toc21221 \h </w:instrText>
        </w:r>
        <w:r>
          <w:rPr>
            <w:rFonts w:ascii="幼圆" w:eastAsia="幼圆" w:hAnsi="幼圆" w:cs="幼圆" w:hint="eastAsia"/>
            <w:sz w:val="24"/>
            <w:szCs w:val="24"/>
          </w:rPr>
          <w:fldChar w:fldCharType="separate"/>
        </w:r>
        <w:r>
          <w:rPr>
            <w:rFonts w:ascii="幼圆" w:eastAsia="幼圆" w:hAnsi="幼圆" w:cs="幼圆" w:hint="eastAsia"/>
            <w:sz w:val="24"/>
            <w:szCs w:val="24"/>
          </w:rPr>
          <w:t>7</w:t>
        </w:r>
        <w:r>
          <w:rPr>
            <w:rFonts w:ascii="幼圆" w:eastAsia="幼圆" w:hAnsi="幼圆" w:cs="幼圆" w:hint="eastAsia"/>
            <w:sz w:val="24"/>
            <w:szCs w:val="24"/>
          </w:rPr>
          <w:fldChar w:fldCharType="end"/>
        </w:r>
      </w:hyperlink>
    </w:p>
    <w:p>
      <w:pPr>
        <w:pStyle w:val="TOC3"/>
        <w:tabs>
          <w:tab w:val="right" w:leader="dot" w:pos="8508"/>
        </w:tabs>
        <w:spacing w:line="360" w:lineRule="auto"/>
        <w:rPr>
          <w:rFonts w:ascii="幼圆" w:eastAsia="幼圆" w:hAnsi="幼圆" w:cs="幼圆" w:hint="eastAsia"/>
          <w:sz w:val="24"/>
          <w:szCs w:val="24"/>
        </w:rPr>
      </w:pPr>
      <w:hyperlink w:anchor="_Toc16799" w:history="1">
        <w:r>
          <w:rPr>
            <w:rFonts w:ascii="幼圆" w:eastAsia="幼圆" w:hAnsi="幼圆" w:cs="幼圆" w:hint="eastAsia"/>
            <w:sz w:val="24"/>
            <w:szCs w:val="28"/>
          </w:rPr>
          <w:t>论文具体研究框架如图1所示：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_Toc16799 \h </w:instrText>
        </w:r>
        <w:r>
          <w:rPr>
            <w:rFonts w:ascii="幼圆" w:eastAsia="幼圆" w:hAnsi="幼圆" w:cs="幼圆" w:hint="eastAsia"/>
            <w:sz w:val="24"/>
            <w:szCs w:val="24"/>
          </w:rPr>
          <w:fldChar w:fldCharType="separate"/>
        </w:r>
        <w:r>
          <w:rPr>
            <w:rFonts w:ascii="幼圆" w:eastAsia="幼圆" w:hAnsi="幼圆" w:cs="幼圆" w:hint="eastAsia"/>
            <w:sz w:val="24"/>
            <w:szCs w:val="24"/>
          </w:rPr>
          <w:t>8</w:t>
        </w:r>
        <w:r>
          <w:rPr>
            <w:rFonts w:ascii="幼圆" w:eastAsia="幼圆" w:hAnsi="幼圆" w:cs="幼圆" w:hint="eastAsia"/>
            <w:sz w:val="24"/>
            <w:szCs w:val="24"/>
          </w:rPr>
          <w:fldChar w:fldCharType="end"/>
        </w:r>
      </w:hyperlink>
    </w:p>
    <w:p>
      <w:pPr>
        <w:pStyle w:val="TOC2"/>
        <w:tabs>
          <w:tab w:val="right" w:leader="dot" w:pos="8508"/>
        </w:tabs>
        <w:spacing w:line="360" w:lineRule="auto"/>
        <w:rPr>
          <w:rFonts w:ascii="幼圆" w:eastAsia="幼圆" w:hAnsi="幼圆" w:cs="幼圆" w:hint="eastAsia"/>
          <w:sz w:val="24"/>
          <w:szCs w:val="24"/>
        </w:rPr>
      </w:pPr>
      <w:hyperlink w:anchor="_Toc26642" w:history="1">
        <w:r>
          <w:rPr>
            <w:rFonts w:ascii="幼圆" w:eastAsia="幼圆" w:hAnsi="幼圆" w:cs="幼圆" w:hint="eastAsia"/>
            <w:sz w:val="24"/>
            <w:szCs w:val="24"/>
          </w:rPr>
          <w:t>2.2 理论基础</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_Toc26642 \h </w:instrText>
        </w:r>
        <w:r>
          <w:rPr>
            <w:rFonts w:ascii="幼圆" w:eastAsia="幼圆" w:hAnsi="幼圆" w:cs="幼圆" w:hint="eastAsia"/>
            <w:sz w:val="24"/>
            <w:szCs w:val="24"/>
          </w:rPr>
          <w:fldChar w:fldCharType="separate"/>
        </w:r>
        <w:r>
          <w:rPr>
            <w:rFonts w:ascii="幼圆" w:eastAsia="幼圆" w:hAnsi="幼圆" w:cs="幼圆" w:hint="eastAsia"/>
            <w:sz w:val="24"/>
            <w:szCs w:val="24"/>
          </w:rPr>
          <w:t>8</w:t>
        </w:r>
        <w:r>
          <w:rPr>
            <w:rFonts w:ascii="幼圆" w:eastAsia="幼圆" w:hAnsi="幼圆" w:cs="幼圆" w:hint="eastAsia"/>
            <w:sz w:val="24"/>
            <w:szCs w:val="24"/>
          </w:rPr>
          <w:fldChar w:fldCharType="end"/>
        </w:r>
      </w:hyperlink>
    </w:p>
    <w:p>
      <w:pPr>
        <w:pStyle w:val="TOC3"/>
        <w:tabs>
          <w:tab w:val="right" w:leader="dot" w:pos="8508"/>
        </w:tabs>
        <w:spacing w:line="360" w:lineRule="auto"/>
        <w:rPr>
          <w:rFonts w:ascii="幼圆" w:eastAsia="幼圆" w:hAnsi="幼圆" w:cs="幼圆" w:hint="eastAsia"/>
          <w:sz w:val="24"/>
          <w:szCs w:val="24"/>
        </w:rPr>
      </w:pPr>
      <w:hyperlink w:anchor="_Toc21445" w:history="1">
        <w:r>
          <w:rPr>
            <w:rFonts w:ascii="幼圆" w:eastAsia="幼圆" w:hAnsi="幼圆" w:cs="幼圆" w:hint="eastAsia"/>
            <w:bCs/>
            <w:sz w:val="24"/>
            <w:szCs w:val="28"/>
            <w:lang w:val="zh-CN" w:eastAsia="zh-CN" w:bidi="zh-CN"/>
          </w:rPr>
          <w:t>2.2.1 剩余收益</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_Toc21445 \h </w:instrText>
        </w:r>
        <w:r>
          <w:rPr>
            <w:rFonts w:ascii="幼圆" w:eastAsia="幼圆" w:hAnsi="幼圆" w:cs="幼圆" w:hint="eastAsia"/>
            <w:sz w:val="24"/>
            <w:szCs w:val="24"/>
          </w:rPr>
          <w:fldChar w:fldCharType="separate"/>
        </w:r>
        <w:r>
          <w:rPr>
            <w:rFonts w:ascii="幼圆" w:eastAsia="幼圆" w:hAnsi="幼圆" w:cs="幼圆" w:hint="eastAsia"/>
            <w:sz w:val="24"/>
            <w:szCs w:val="24"/>
          </w:rPr>
          <w:t>8</w:t>
        </w:r>
        <w:r>
          <w:rPr>
            <w:rFonts w:ascii="幼圆" w:eastAsia="幼圆" w:hAnsi="幼圆" w:cs="幼圆" w:hint="eastAsia"/>
            <w:sz w:val="24"/>
            <w:szCs w:val="24"/>
          </w:rPr>
          <w:fldChar w:fldCharType="end"/>
        </w:r>
      </w:hyperlink>
    </w:p>
    <w:p>
      <w:pPr>
        <w:pStyle w:val="TOC3"/>
        <w:tabs>
          <w:tab w:val="right" w:leader="dot" w:pos="8508"/>
        </w:tabs>
        <w:spacing w:line="360" w:lineRule="auto"/>
        <w:rPr>
          <w:rFonts w:ascii="幼圆" w:eastAsia="幼圆" w:hAnsi="幼圆" w:cs="幼圆" w:hint="eastAsia"/>
          <w:sz w:val="24"/>
          <w:szCs w:val="24"/>
        </w:rPr>
      </w:pPr>
      <w:hyperlink w:anchor="_Toc3765" w:history="1">
        <w:r>
          <w:rPr>
            <w:rFonts w:ascii="幼圆" w:eastAsia="幼圆" w:hAnsi="幼圆" w:cs="幼圆" w:hint="eastAsia"/>
            <w:bCs/>
            <w:sz w:val="24"/>
            <w:szCs w:val="28"/>
            <w:lang w:val="zh-CN" w:eastAsia="zh-CN" w:bidi="zh-CN"/>
          </w:rPr>
          <w:t>2.2.2 委托代理理论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_Toc3765 \h </w:instrText>
        </w:r>
        <w:r>
          <w:rPr>
            <w:rFonts w:ascii="幼圆" w:eastAsia="幼圆" w:hAnsi="幼圆" w:cs="幼圆" w:hint="eastAsia"/>
            <w:sz w:val="24"/>
            <w:szCs w:val="24"/>
          </w:rPr>
          <w:fldChar w:fldCharType="separate"/>
        </w:r>
        <w:r>
          <w:rPr>
            <w:rFonts w:ascii="幼圆" w:eastAsia="幼圆" w:hAnsi="幼圆" w:cs="幼圆" w:hint="eastAsia"/>
            <w:sz w:val="24"/>
            <w:szCs w:val="24"/>
          </w:rPr>
          <w:t>8</w:t>
        </w:r>
        <w:r>
          <w:rPr>
            <w:rFonts w:ascii="幼圆" w:eastAsia="幼圆" w:hAnsi="幼圆" w:cs="幼圆" w:hint="eastAsia"/>
            <w:sz w:val="24"/>
            <w:szCs w:val="24"/>
          </w:rPr>
          <w:fldChar w:fldCharType="end"/>
        </w:r>
      </w:hyperlink>
    </w:p>
    <w:p>
      <w:pPr>
        <w:pStyle w:val="TOC1"/>
        <w:tabs>
          <w:tab w:val="right" w:leader="dot" w:pos="8508"/>
        </w:tabs>
        <w:spacing w:line="360" w:lineRule="auto"/>
        <w:rPr>
          <w:rFonts w:ascii="幼圆" w:eastAsia="幼圆" w:hAnsi="幼圆" w:cs="幼圆" w:hint="eastAsia"/>
          <w:sz w:val="24"/>
          <w:szCs w:val="24"/>
        </w:rPr>
      </w:pPr>
      <w:hyperlink w:anchor="_Toc21050" w:history="1">
        <w:r>
          <w:rPr>
            <w:rFonts w:ascii="幼圆" w:eastAsia="幼圆" w:hAnsi="幼圆" w:cs="幼圆" w:hint="eastAsia"/>
            <w:bCs/>
            <w:sz w:val="24"/>
            <w:szCs w:val="28"/>
            <w:lang w:val="zh-CN" w:eastAsia="zh-CN" w:bidi="zh-CN"/>
          </w:rPr>
          <w:t>3 EVA绩效评价在桂林西麦食品中的应用</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_Toc21050 \h </w:instrText>
        </w:r>
        <w:r>
          <w:rPr>
            <w:rFonts w:ascii="幼圆" w:eastAsia="幼圆" w:hAnsi="幼圆" w:cs="幼圆" w:hint="eastAsia"/>
            <w:sz w:val="24"/>
            <w:szCs w:val="24"/>
          </w:rPr>
          <w:fldChar w:fldCharType="separate"/>
        </w:r>
        <w:r>
          <w:rPr>
            <w:rFonts w:ascii="幼圆" w:eastAsia="幼圆" w:hAnsi="幼圆" w:cs="幼圆" w:hint="eastAsia"/>
            <w:sz w:val="24"/>
            <w:szCs w:val="24"/>
          </w:rPr>
          <w:t>10</w:t>
        </w:r>
        <w:r>
          <w:rPr>
            <w:rFonts w:ascii="幼圆" w:eastAsia="幼圆" w:hAnsi="幼圆" w:cs="幼圆" w:hint="eastAsia"/>
            <w:sz w:val="24"/>
            <w:szCs w:val="24"/>
          </w:rPr>
          <w:fldChar w:fldCharType="end"/>
        </w:r>
      </w:hyperlink>
    </w:p>
    <w:p>
      <w:pPr>
        <w:pStyle w:val="TOC2"/>
        <w:tabs>
          <w:tab w:val="right" w:leader="dot" w:pos="8508"/>
        </w:tabs>
        <w:spacing w:line="360" w:lineRule="auto"/>
        <w:rPr>
          <w:rFonts w:ascii="幼圆" w:eastAsia="幼圆" w:hAnsi="幼圆" w:cs="幼圆" w:hint="eastAsia"/>
          <w:sz w:val="24"/>
          <w:szCs w:val="24"/>
        </w:rPr>
      </w:pPr>
      <w:hyperlink w:anchor="_Toc8028" w:history="1">
        <w:r>
          <w:rPr>
            <w:rFonts w:ascii="幼圆" w:eastAsia="幼圆" w:hAnsi="幼圆" w:cs="幼圆" w:hint="eastAsia"/>
            <w:sz w:val="24"/>
            <w:szCs w:val="24"/>
          </w:rPr>
          <w:t xml:space="preserve">3.1 </w:t>
        </w:r>
        <w:r>
          <w:rPr>
            <w:rFonts w:ascii="幼圆" w:eastAsia="幼圆" w:hAnsi="幼圆" w:cs="幼圆" w:hint="eastAsia"/>
            <w:sz w:val="24"/>
            <w:szCs w:val="24"/>
            <w:lang w:eastAsia="zh-CN"/>
          </w:rPr>
          <w:t>桂林西麦食品</w:t>
        </w:r>
        <w:r>
          <w:rPr>
            <w:rFonts w:ascii="幼圆" w:eastAsia="幼圆" w:hAnsi="幼圆" w:cs="幼圆" w:hint="eastAsia"/>
            <w:sz w:val="24"/>
            <w:szCs w:val="24"/>
          </w:rPr>
          <w:t>公司简介</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_Toc8028 \h </w:instrText>
        </w:r>
        <w:r>
          <w:rPr>
            <w:rFonts w:ascii="幼圆" w:eastAsia="幼圆" w:hAnsi="幼圆" w:cs="幼圆" w:hint="eastAsia"/>
            <w:sz w:val="24"/>
            <w:szCs w:val="24"/>
          </w:rPr>
          <w:fldChar w:fldCharType="separate"/>
        </w:r>
        <w:r>
          <w:rPr>
            <w:rFonts w:ascii="幼圆" w:eastAsia="幼圆" w:hAnsi="幼圆" w:cs="幼圆" w:hint="eastAsia"/>
            <w:sz w:val="24"/>
            <w:szCs w:val="24"/>
          </w:rPr>
          <w:t>10</w:t>
        </w:r>
        <w:r>
          <w:rPr>
            <w:rFonts w:ascii="幼圆" w:eastAsia="幼圆" w:hAnsi="幼圆" w:cs="幼圆" w:hint="eastAsia"/>
            <w:sz w:val="24"/>
            <w:szCs w:val="24"/>
          </w:rPr>
          <w:fldChar w:fldCharType="end"/>
        </w:r>
      </w:hyperlink>
    </w:p>
    <w:p>
      <w:pPr>
        <w:pStyle w:val="TOC2"/>
        <w:tabs>
          <w:tab w:val="right" w:leader="dot" w:pos="8508"/>
        </w:tabs>
        <w:spacing w:line="360" w:lineRule="auto"/>
        <w:rPr>
          <w:rFonts w:ascii="幼圆" w:eastAsia="幼圆" w:hAnsi="幼圆" w:cs="幼圆" w:hint="eastAsia"/>
          <w:sz w:val="24"/>
          <w:szCs w:val="24"/>
        </w:rPr>
      </w:pPr>
      <w:hyperlink w:anchor="_Toc21205" w:history="1">
        <w:r>
          <w:rPr>
            <w:rFonts w:ascii="幼圆" w:eastAsia="幼圆" w:hAnsi="幼圆" w:cs="幼圆" w:hint="eastAsia"/>
            <w:sz w:val="24"/>
            <w:szCs w:val="24"/>
          </w:rPr>
          <w:t xml:space="preserve">3.2 </w:t>
        </w:r>
        <w:r>
          <w:rPr>
            <w:rFonts w:ascii="幼圆" w:eastAsia="幼圆" w:hAnsi="幼圆" w:cs="幼圆" w:hint="eastAsia"/>
            <w:sz w:val="24"/>
            <w:szCs w:val="24"/>
            <w:lang w:eastAsia="zh-CN"/>
          </w:rPr>
          <w:t>桂林西麦食品</w:t>
        </w:r>
        <w:r>
          <w:rPr>
            <w:rFonts w:ascii="幼圆" w:eastAsia="幼圆" w:hAnsi="幼圆" w:cs="幼圆" w:hint="eastAsia"/>
            <w:sz w:val="24"/>
            <w:szCs w:val="24"/>
          </w:rPr>
          <w:t>EVA绩效评价的可行性分析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_Toc21205 \h </w:instrText>
        </w:r>
        <w:r>
          <w:rPr>
            <w:rFonts w:ascii="幼圆" w:eastAsia="幼圆" w:hAnsi="幼圆" w:cs="幼圆" w:hint="eastAsia"/>
            <w:sz w:val="24"/>
            <w:szCs w:val="24"/>
          </w:rPr>
          <w:fldChar w:fldCharType="separate"/>
        </w:r>
        <w:r>
          <w:rPr>
            <w:rFonts w:ascii="幼圆" w:eastAsia="幼圆" w:hAnsi="幼圆" w:cs="幼圆" w:hint="eastAsia"/>
            <w:sz w:val="24"/>
            <w:szCs w:val="24"/>
          </w:rPr>
          <w:t>10</w:t>
        </w:r>
        <w:r>
          <w:rPr>
            <w:rFonts w:ascii="幼圆" w:eastAsia="幼圆" w:hAnsi="幼圆" w:cs="幼圆" w:hint="eastAsia"/>
            <w:sz w:val="24"/>
            <w:szCs w:val="24"/>
          </w:rPr>
          <w:fldChar w:fldCharType="end"/>
        </w:r>
      </w:hyperlink>
    </w:p>
    <w:p>
      <w:pPr>
        <w:pStyle w:val="TOC3"/>
        <w:tabs>
          <w:tab w:val="right" w:leader="dot" w:pos="8508"/>
        </w:tabs>
        <w:spacing w:line="360" w:lineRule="auto"/>
        <w:rPr>
          <w:rFonts w:ascii="幼圆" w:eastAsia="幼圆" w:hAnsi="幼圆" w:cs="幼圆" w:hint="eastAsia"/>
          <w:sz w:val="24"/>
          <w:szCs w:val="24"/>
        </w:rPr>
      </w:pPr>
      <w:hyperlink w:anchor="_Toc505" w:history="1">
        <w:r>
          <w:rPr>
            <w:rFonts w:ascii="幼圆" w:eastAsia="幼圆" w:hAnsi="幼圆" w:cs="幼圆" w:hint="eastAsia"/>
            <w:bCs/>
            <w:sz w:val="24"/>
            <w:szCs w:val="28"/>
            <w:lang w:val="zh-CN" w:eastAsia="zh-CN" w:bidi="zh-CN"/>
          </w:rPr>
          <w:t>3.2.1 EVA绩效评价方法介绍</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_Toc505 \h </w:instrText>
        </w:r>
        <w:r>
          <w:rPr>
            <w:rFonts w:ascii="幼圆" w:eastAsia="幼圆" w:hAnsi="幼圆" w:cs="幼圆" w:hint="eastAsia"/>
            <w:sz w:val="24"/>
            <w:szCs w:val="24"/>
          </w:rPr>
          <w:fldChar w:fldCharType="separate"/>
        </w:r>
        <w:r>
          <w:rPr>
            <w:rFonts w:ascii="幼圆" w:eastAsia="幼圆" w:hAnsi="幼圆" w:cs="幼圆" w:hint="eastAsia"/>
            <w:sz w:val="24"/>
            <w:szCs w:val="24"/>
          </w:rPr>
          <w:t>10</w:t>
        </w:r>
        <w:r>
          <w:rPr>
            <w:rFonts w:ascii="幼圆" w:eastAsia="幼圆" w:hAnsi="幼圆" w:cs="幼圆" w:hint="eastAsia"/>
            <w:sz w:val="24"/>
            <w:szCs w:val="24"/>
          </w:rPr>
          <w:fldChar w:fldCharType="end"/>
        </w:r>
      </w:hyperlink>
    </w:p>
    <w:p>
      <w:pPr>
        <w:pStyle w:val="TOC3"/>
        <w:tabs>
          <w:tab w:val="right" w:leader="dot" w:pos="8508"/>
        </w:tabs>
        <w:spacing w:line="360" w:lineRule="auto"/>
        <w:rPr>
          <w:rFonts w:ascii="幼圆" w:eastAsia="幼圆" w:hAnsi="幼圆" w:cs="幼圆" w:hint="eastAsia"/>
          <w:sz w:val="24"/>
          <w:szCs w:val="24"/>
        </w:rPr>
      </w:pPr>
      <w:hyperlink w:anchor="_Toc2387" w:history="1">
        <w:r>
          <w:rPr>
            <w:rFonts w:ascii="幼圆" w:eastAsia="幼圆" w:hAnsi="幼圆" w:cs="幼圆" w:hint="eastAsia"/>
            <w:bCs/>
            <w:sz w:val="24"/>
            <w:szCs w:val="28"/>
            <w:lang w:val="zh-CN" w:eastAsia="zh-CN" w:bidi="zh-CN"/>
          </w:rPr>
          <w:t>3.2.2 EVA在桂林西麦食品绩效评价中的适用性</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_Toc2387 \h </w:instrText>
        </w:r>
        <w:r>
          <w:rPr>
            <w:rFonts w:ascii="幼圆" w:eastAsia="幼圆" w:hAnsi="幼圆" w:cs="幼圆" w:hint="eastAsia"/>
            <w:sz w:val="24"/>
            <w:szCs w:val="24"/>
          </w:rPr>
          <w:fldChar w:fldCharType="separate"/>
        </w:r>
        <w:r>
          <w:rPr>
            <w:rFonts w:ascii="幼圆" w:eastAsia="幼圆" w:hAnsi="幼圆" w:cs="幼圆" w:hint="eastAsia"/>
            <w:sz w:val="24"/>
            <w:szCs w:val="24"/>
          </w:rPr>
          <w:t>10</w:t>
        </w:r>
        <w:r>
          <w:rPr>
            <w:rFonts w:ascii="幼圆" w:eastAsia="幼圆" w:hAnsi="幼圆" w:cs="幼圆" w:hint="eastAsia"/>
            <w:sz w:val="24"/>
            <w:szCs w:val="24"/>
          </w:rPr>
          <w:fldChar w:fldCharType="end"/>
        </w:r>
      </w:hyperlink>
    </w:p>
    <w:p>
      <w:pPr>
        <w:pStyle w:val="TOC2"/>
        <w:tabs>
          <w:tab w:val="right" w:leader="dot" w:pos="8508"/>
        </w:tabs>
        <w:spacing w:line="360" w:lineRule="auto"/>
        <w:rPr>
          <w:rFonts w:ascii="幼圆" w:eastAsia="幼圆" w:hAnsi="幼圆" w:cs="幼圆" w:hint="eastAsia"/>
          <w:sz w:val="24"/>
          <w:szCs w:val="24"/>
        </w:rPr>
      </w:pPr>
      <w:hyperlink w:anchor="_Toc8351" w:history="1">
        <w:r>
          <w:rPr>
            <w:rFonts w:ascii="幼圆" w:eastAsia="幼圆" w:hAnsi="幼圆" w:cs="幼圆" w:hint="eastAsia"/>
            <w:sz w:val="24"/>
            <w:szCs w:val="24"/>
          </w:rPr>
          <w:t>3.3 基于EVA的</w:t>
        </w:r>
        <w:r>
          <w:rPr>
            <w:rFonts w:ascii="幼圆" w:eastAsia="幼圆" w:hAnsi="幼圆" w:cs="幼圆" w:hint="eastAsia"/>
            <w:sz w:val="24"/>
            <w:szCs w:val="24"/>
            <w:lang w:eastAsia="zh-CN"/>
          </w:rPr>
          <w:t>桂林西麦食品</w:t>
        </w:r>
        <w:r>
          <w:rPr>
            <w:rFonts w:ascii="幼圆" w:eastAsia="幼圆" w:hAnsi="幼圆" w:cs="幼圆" w:hint="eastAsia"/>
            <w:sz w:val="24"/>
            <w:szCs w:val="24"/>
          </w:rPr>
          <w:t>绩效评价</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_Toc8351 \h </w:instrText>
        </w:r>
        <w:r>
          <w:rPr>
            <w:rFonts w:ascii="幼圆" w:eastAsia="幼圆" w:hAnsi="幼圆" w:cs="幼圆" w:hint="eastAsia"/>
            <w:sz w:val="24"/>
            <w:szCs w:val="24"/>
          </w:rPr>
          <w:fldChar w:fldCharType="separate"/>
        </w:r>
        <w:r>
          <w:rPr>
            <w:rFonts w:ascii="幼圆" w:eastAsia="幼圆" w:hAnsi="幼圆" w:cs="幼圆" w:hint="eastAsia"/>
            <w:sz w:val="24"/>
            <w:szCs w:val="24"/>
          </w:rPr>
          <w:t>10</w:t>
        </w:r>
        <w:r>
          <w:rPr>
            <w:rFonts w:ascii="幼圆" w:eastAsia="幼圆" w:hAnsi="幼圆" w:cs="幼圆" w:hint="eastAsia"/>
            <w:sz w:val="24"/>
            <w:szCs w:val="24"/>
          </w:rPr>
          <w:fldChar w:fldCharType="end"/>
        </w:r>
      </w:hyperlink>
    </w:p>
    <w:p>
      <w:pPr>
        <w:pStyle w:val="TOC3"/>
        <w:tabs>
          <w:tab w:val="right" w:leader="dot" w:pos="8508"/>
        </w:tabs>
        <w:spacing w:line="360" w:lineRule="auto"/>
        <w:rPr>
          <w:rFonts w:ascii="幼圆" w:eastAsia="幼圆" w:hAnsi="幼圆" w:cs="幼圆" w:hint="eastAsia"/>
          <w:sz w:val="24"/>
          <w:szCs w:val="24"/>
        </w:rPr>
        <w:sectPr>
          <w:footerReference w:type="default" r:id="rId4"/>
          <w:type w:val="continuous"/>
          <w:pgSz w:w="11910" w:h="16838"/>
          <w:pgMar w:top="1701" w:right="1701" w:bottom="1531" w:left="1701" w:header="1134" w:footer="1134" w:gutter="0"/>
          <w:cols w:space="708"/>
          <w:rtlGutter w:val="0"/>
          <w:docGrid w:linePitch="1" w:charSpace="0"/>
        </w:sectPr>
      </w:pPr>
      <w:hyperlink w:anchor="_Toc20380" w:history="1">
        <w:r>
          <w:rPr>
            <w:rFonts w:ascii="幼圆" w:eastAsia="幼圆" w:hAnsi="幼圆" w:cs="幼圆" w:hint="eastAsia"/>
            <w:bCs/>
            <w:sz w:val="24"/>
            <w:szCs w:val="28"/>
            <w:lang w:val="zh-CN" w:eastAsia="zh-CN" w:bidi="zh-CN"/>
          </w:rPr>
          <w:t>3.3.1 桂林西麦食品EVA指标计算</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_Toc20380 \h </w:instrText>
        </w:r>
        <w:r>
          <w:rPr>
            <w:rFonts w:ascii="幼圆" w:eastAsia="幼圆" w:hAnsi="幼圆" w:cs="幼圆" w:hint="eastAsia"/>
            <w:sz w:val="24"/>
            <w:szCs w:val="24"/>
          </w:rPr>
          <w:fldChar w:fldCharType="separate"/>
        </w:r>
        <w:r>
          <w:rPr>
            <w:rFonts w:ascii="幼圆" w:eastAsia="幼圆" w:hAnsi="幼圆" w:cs="幼圆" w:hint="eastAsia"/>
            <w:sz w:val="24"/>
            <w:szCs w:val="24"/>
          </w:rPr>
          <w:t>10</w:t>
        </w:r>
        <w:r>
          <w:rPr>
            <w:rFonts w:ascii="幼圆" w:eastAsia="幼圆" w:hAnsi="幼圆" w:cs="幼圆" w:hint="eastAsia"/>
            <w:sz w:val="24"/>
            <w:szCs w:val="24"/>
          </w:rPr>
          <w:fldChar w:fldCharType="end"/>
        </w:r>
      </w:hyperlink>
    </w:p>
    <w:p>
      <w:pPr>
        <w:pStyle w:val="TOC3"/>
        <w:tabs>
          <w:tab w:val="right" w:leader="dot" w:pos="8508"/>
        </w:tabs>
        <w:spacing w:line="360" w:lineRule="auto"/>
        <w:rPr>
          <w:rFonts w:ascii="幼圆" w:eastAsia="幼圆" w:hAnsi="幼圆" w:cs="幼圆" w:hint="eastAsia"/>
          <w:sz w:val="24"/>
          <w:szCs w:val="24"/>
        </w:rPr>
      </w:pPr>
      <w:hyperlink w:anchor="_Toc11571" w:history="1">
        <w:r>
          <w:rPr>
            <w:rFonts w:ascii="幼圆" w:eastAsia="幼圆" w:hAnsi="幼圆" w:cs="幼圆" w:hint="eastAsia"/>
            <w:bCs/>
            <w:sz w:val="24"/>
            <w:szCs w:val="28"/>
            <w:lang w:val="zh-CN" w:eastAsia="zh-CN" w:bidi="zh-CN"/>
          </w:rPr>
          <w:t>3.3.2 桂林西麦食品EVA绩效分析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_Toc11571 \h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2"/>
        <w:tabs>
          <w:tab w:val="right" w:leader="dot" w:pos="8508"/>
        </w:tabs>
        <w:spacing w:line="360" w:lineRule="auto"/>
        <w:rPr>
          <w:rFonts w:ascii="幼圆" w:eastAsia="幼圆" w:hAnsi="幼圆" w:cs="幼圆" w:hint="eastAsia"/>
          <w:sz w:val="24"/>
          <w:szCs w:val="24"/>
        </w:rPr>
      </w:pPr>
      <w:hyperlink w:anchor="_Toc14644" w:history="1">
        <w:r>
          <w:rPr>
            <w:rFonts w:ascii="幼圆" w:eastAsia="幼圆" w:hAnsi="幼圆" w:cs="幼圆" w:hint="eastAsia"/>
            <w:sz w:val="24"/>
            <w:szCs w:val="24"/>
          </w:rPr>
          <w:t>3.4 基于EVA的同行业比较</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_Toc14644 \h </w:instrText>
        </w:r>
        <w:r>
          <w:rPr>
            <w:rFonts w:ascii="幼圆" w:eastAsia="幼圆" w:hAnsi="幼圆" w:cs="幼圆" w:hint="eastAsia"/>
            <w:sz w:val="24"/>
            <w:szCs w:val="24"/>
          </w:rPr>
          <w:fldChar w:fldCharType="separate"/>
        </w:r>
        <w:r>
          <w:rPr>
            <w:rFonts w:ascii="幼圆" w:eastAsia="幼圆" w:hAnsi="幼圆" w:cs="幼圆" w:hint="eastAsia"/>
            <w:sz w:val="24"/>
            <w:szCs w:val="24"/>
          </w:rPr>
          <w:t>16</w:t>
        </w:r>
        <w:r>
          <w:rPr>
            <w:rFonts w:ascii="幼圆" w:eastAsia="幼圆" w:hAnsi="幼圆" w:cs="幼圆" w:hint="eastAsia"/>
            <w:sz w:val="24"/>
            <w:szCs w:val="24"/>
          </w:rPr>
          <w:fldChar w:fldCharType="end"/>
        </w:r>
      </w:hyperlink>
    </w:p>
    <w:p>
      <w:pPr>
        <w:pStyle w:val="TOC3"/>
        <w:tabs>
          <w:tab w:val="right" w:leader="dot" w:pos="8508"/>
        </w:tabs>
        <w:spacing w:line="360" w:lineRule="auto"/>
        <w:rPr>
          <w:rFonts w:ascii="幼圆" w:eastAsia="幼圆" w:hAnsi="幼圆" w:cs="幼圆" w:hint="eastAsia"/>
          <w:sz w:val="24"/>
          <w:szCs w:val="24"/>
        </w:rPr>
      </w:pPr>
      <w:hyperlink w:anchor="_Toc14739" w:history="1">
        <w:r>
          <w:rPr>
            <w:rFonts w:ascii="幼圆" w:eastAsia="幼圆" w:hAnsi="幼圆" w:cs="幼圆" w:hint="eastAsia"/>
            <w:bCs/>
            <w:sz w:val="24"/>
            <w:szCs w:val="28"/>
            <w:lang w:val="zh-CN" w:eastAsia="zh-CN" w:bidi="zh-CN"/>
          </w:rPr>
          <w:t>3.4.1 同行业EVA指标计算</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_Toc14739 \h </w:instrText>
        </w:r>
        <w:r>
          <w:rPr>
            <w:rFonts w:ascii="幼圆" w:eastAsia="幼圆" w:hAnsi="幼圆" w:cs="幼圆" w:hint="eastAsia"/>
            <w:sz w:val="24"/>
            <w:szCs w:val="24"/>
          </w:rPr>
          <w:fldChar w:fldCharType="separate"/>
        </w:r>
        <w:r>
          <w:rPr>
            <w:rFonts w:ascii="幼圆" w:eastAsia="幼圆" w:hAnsi="幼圆" w:cs="幼圆" w:hint="eastAsia"/>
            <w:sz w:val="24"/>
            <w:szCs w:val="24"/>
          </w:rPr>
          <w:t>17</w:t>
        </w:r>
        <w:r>
          <w:rPr>
            <w:rFonts w:ascii="幼圆" w:eastAsia="幼圆" w:hAnsi="幼圆" w:cs="幼圆" w:hint="eastAsia"/>
            <w:sz w:val="24"/>
            <w:szCs w:val="24"/>
          </w:rPr>
          <w:fldChar w:fldCharType="end"/>
        </w:r>
      </w:hyperlink>
    </w:p>
    <w:p>
      <w:pPr>
        <w:pStyle w:val="TOC3"/>
        <w:tabs>
          <w:tab w:val="right" w:leader="dot" w:pos="8508"/>
        </w:tabs>
        <w:spacing w:line="360" w:lineRule="auto"/>
        <w:rPr>
          <w:rFonts w:ascii="幼圆" w:eastAsia="幼圆" w:hAnsi="幼圆" w:cs="幼圆" w:hint="eastAsia"/>
          <w:sz w:val="24"/>
          <w:szCs w:val="24"/>
        </w:rPr>
      </w:pPr>
      <w:hyperlink w:anchor="_Toc21315" w:history="1">
        <w:r>
          <w:rPr>
            <w:rFonts w:ascii="幼圆" w:eastAsia="幼圆" w:hAnsi="幼圆" w:cs="幼圆" w:hint="eastAsia"/>
            <w:bCs/>
            <w:sz w:val="24"/>
            <w:szCs w:val="28"/>
            <w:lang w:val="zh-CN" w:eastAsia="zh-CN" w:bidi="zh-CN"/>
          </w:rPr>
          <w:t>3.4.2 桂林西麦食品与同行业EVA指标对比分析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_Toc21315 \h </w:instrText>
        </w:r>
        <w:r>
          <w:rPr>
            <w:rFonts w:ascii="幼圆" w:eastAsia="幼圆" w:hAnsi="幼圆" w:cs="幼圆" w:hint="eastAsia"/>
            <w:sz w:val="24"/>
            <w:szCs w:val="24"/>
          </w:rPr>
          <w:fldChar w:fldCharType="separate"/>
        </w:r>
        <w:r>
          <w:rPr>
            <w:rFonts w:ascii="幼圆" w:eastAsia="幼圆" w:hAnsi="幼圆" w:cs="幼圆" w:hint="eastAsia"/>
            <w:sz w:val="24"/>
            <w:szCs w:val="24"/>
          </w:rPr>
          <w:t>19</w:t>
        </w:r>
        <w:r>
          <w:rPr>
            <w:rFonts w:ascii="幼圆" w:eastAsia="幼圆" w:hAnsi="幼圆" w:cs="幼圆" w:hint="eastAsia"/>
            <w:sz w:val="24"/>
            <w:szCs w:val="24"/>
          </w:rPr>
          <w:fldChar w:fldCharType="end"/>
        </w:r>
      </w:hyperlink>
    </w:p>
    <w:p>
      <w:pPr>
        <w:pStyle w:val="TOC1"/>
        <w:tabs>
          <w:tab w:val="right" w:leader="dot" w:pos="8508"/>
        </w:tabs>
        <w:spacing w:line="360" w:lineRule="auto"/>
        <w:rPr>
          <w:rFonts w:ascii="幼圆" w:eastAsia="幼圆" w:hAnsi="幼圆" w:cs="幼圆" w:hint="eastAsia"/>
          <w:sz w:val="24"/>
          <w:szCs w:val="24"/>
        </w:rPr>
      </w:pPr>
      <w:hyperlink w:anchor="_Toc24062" w:history="1">
        <w:r>
          <w:rPr>
            <w:rFonts w:ascii="幼圆" w:eastAsia="幼圆" w:hAnsi="幼圆" w:cs="幼圆" w:hint="eastAsia"/>
            <w:bCs/>
            <w:sz w:val="24"/>
            <w:szCs w:val="28"/>
            <w:lang w:val="zh-CN" w:eastAsia="zh-CN" w:bidi="zh-CN"/>
          </w:rPr>
          <w:t>4 桂林西麦食品EVA绩效评价中揭示的问题及建议</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_Toc24062 \h </w:instrText>
        </w:r>
        <w:r>
          <w:rPr>
            <w:rFonts w:ascii="幼圆" w:eastAsia="幼圆" w:hAnsi="幼圆" w:cs="幼圆" w:hint="eastAsia"/>
            <w:sz w:val="24"/>
            <w:szCs w:val="24"/>
          </w:rPr>
          <w:fldChar w:fldCharType="separate"/>
        </w:r>
        <w:r>
          <w:rPr>
            <w:rFonts w:ascii="幼圆" w:eastAsia="幼圆" w:hAnsi="幼圆" w:cs="幼圆" w:hint="eastAsia"/>
            <w:sz w:val="24"/>
            <w:szCs w:val="24"/>
          </w:rPr>
          <w:t>23</w:t>
        </w:r>
        <w:r>
          <w:rPr>
            <w:rFonts w:ascii="幼圆" w:eastAsia="幼圆" w:hAnsi="幼圆" w:cs="幼圆" w:hint="eastAsia"/>
            <w:sz w:val="24"/>
            <w:szCs w:val="24"/>
          </w:rPr>
          <w:fldChar w:fldCharType="end"/>
        </w:r>
      </w:hyperlink>
    </w:p>
    <w:p>
      <w:pPr>
        <w:pStyle w:val="TOC2"/>
        <w:tabs>
          <w:tab w:val="right" w:leader="dot" w:pos="8508"/>
        </w:tabs>
        <w:spacing w:line="360" w:lineRule="auto"/>
        <w:rPr>
          <w:rFonts w:ascii="幼圆" w:eastAsia="幼圆" w:hAnsi="幼圆" w:cs="幼圆" w:hint="eastAsia"/>
          <w:sz w:val="24"/>
          <w:szCs w:val="24"/>
        </w:rPr>
      </w:pPr>
      <w:hyperlink w:anchor="_Toc32218" w:history="1">
        <w:r>
          <w:rPr>
            <w:rFonts w:ascii="幼圆" w:eastAsia="幼圆" w:hAnsi="幼圆" w:cs="幼圆" w:hint="eastAsia"/>
            <w:sz w:val="24"/>
            <w:szCs w:val="24"/>
          </w:rPr>
          <w:t xml:space="preserve">4.1 </w:t>
        </w:r>
        <w:r>
          <w:rPr>
            <w:rFonts w:ascii="幼圆" w:eastAsia="幼圆" w:hAnsi="幼圆" w:cs="幼圆" w:hint="eastAsia"/>
            <w:sz w:val="24"/>
            <w:szCs w:val="24"/>
            <w:lang w:eastAsia="zh-CN"/>
          </w:rPr>
          <w:t>桂林西麦食品</w:t>
        </w:r>
        <w:r>
          <w:rPr>
            <w:rFonts w:ascii="幼圆" w:eastAsia="幼圆" w:hAnsi="幼圆" w:cs="幼圆" w:hint="eastAsia"/>
            <w:sz w:val="24"/>
            <w:szCs w:val="24"/>
          </w:rPr>
          <w:t>EVA绩效评价中揭示的问题</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_Toc32218 \h </w:instrText>
        </w:r>
        <w:r>
          <w:rPr>
            <w:rFonts w:ascii="幼圆" w:eastAsia="幼圆" w:hAnsi="幼圆" w:cs="幼圆" w:hint="eastAsia"/>
            <w:sz w:val="24"/>
            <w:szCs w:val="24"/>
          </w:rPr>
          <w:fldChar w:fldCharType="separate"/>
        </w:r>
        <w:r>
          <w:rPr>
            <w:rFonts w:ascii="幼圆" w:eastAsia="幼圆" w:hAnsi="幼圆" w:cs="幼圆" w:hint="eastAsia"/>
            <w:sz w:val="24"/>
            <w:szCs w:val="24"/>
          </w:rPr>
          <w:t>23</w:t>
        </w:r>
        <w:r>
          <w:rPr>
            <w:rFonts w:ascii="幼圆" w:eastAsia="幼圆" w:hAnsi="幼圆" w:cs="幼圆" w:hint="eastAsia"/>
            <w:sz w:val="24"/>
            <w:szCs w:val="24"/>
          </w:rPr>
          <w:fldChar w:fldCharType="end"/>
        </w:r>
      </w:hyperlink>
    </w:p>
    <w:p>
      <w:pPr>
        <w:pStyle w:val="TOC3"/>
        <w:tabs>
          <w:tab w:val="right" w:leader="dot" w:pos="8508"/>
        </w:tabs>
        <w:spacing w:line="360" w:lineRule="auto"/>
        <w:rPr>
          <w:rFonts w:ascii="幼圆" w:eastAsia="幼圆" w:hAnsi="幼圆" w:cs="幼圆" w:hint="eastAsia"/>
          <w:sz w:val="24"/>
          <w:szCs w:val="24"/>
        </w:rPr>
      </w:pPr>
      <w:hyperlink w:anchor="_Toc18378" w:history="1">
        <w:r>
          <w:rPr>
            <w:rFonts w:ascii="幼圆" w:eastAsia="幼圆" w:hAnsi="幼圆" w:cs="幼圆" w:hint="eastAsia"/>
            <w:bCs/>
            <w:sz w:val="24"/>
            <w:szCs w:val="28"/>
            <w:lang w:val="zh-CN" w:eastAsia="zh-CN" w:bidi="zh-CN"/>
          </w:rPr>
          <w:t>4.1.1 权益资本占比过大</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_Toc18378 \h </w:instrText>
        </w:r>
        <w:r>
          <w:rPr>
            <w:rFonts w:ascii="幼圆" w:eastAsia="幼圆" w:hAnsi="幼圆" w:cs="幼圆" w:hint="eastAsia"/>
            <w:sz w:val="24"/>
            <w:szCs w:val="24"/>
          </w:rPr>
          <w:fldChar w:fldCharType="separate"/>
        </w:r>
        <w:r>
          <w:rPr>
            <w:rFonts w:ascii="幼圆" w:eastAsia="幼圆" w:hAnsi="幼圆" w:cs="幼圆" w:hint="eastAsia"/>
            <w:sz w:val="24"/>
            <w:szCs w:val="24"/>
          </w:rPr>
          <w:t>23</w:t>
        </w:r>
        <w:r>
          <w:rPr>
            <w:rFonts w:ascii="幼圆" w:eastAsia="幼圆" w:hAnsi="幼圆" w:cs="幼圆" w:hint="eastAsia"/>
            <w:sz w:val="24"/>
            <w:szCs w:val="24"/>
          </w:rPr>
          <w:fldChar w:fldCharType="end"/>
        </w:r>
      </w:hyperlink>
    </w:p>
    <w:p>
      <w:pPr>
        <w:pStyle w:val="TOC3"/>
        <w:tabs>
          <w:tab w:val="right" w:leader="dot" w:pos="8508"/>
        </w:tabs>
        <w:spacing w:line="360" w:lineRule="auto"/>
        <w:rPr>
          <w:rFonts w:ascii="幼圆" w:eastAsia="幼圆" w:hAnsi="幼圆" w:cs="幼圆" w:hint="eastAsia"/>
          <w:sz w:val="24"/>
          <w:szCs w:val="24"/>
        </w:rPr>
      </w:pPr>
      <w:hyperlink w:anchor="_Toc28768" w:history="1">
        <w:r>
          <w:rPr>
            <w:rFonts w:ascii="幼圆" w:eastAsia="幼圆" w:hAnsi="幼圆" w:cs="幼圆" w:hint="eastAsia"/>
            <w:bCs/>
            <w:sz w:val="24"/>
            <w:szCs w:val="28"/>
            <w:lang w:val="zh-CN" w:eastAsia="zh-CN" w:bidi="zh-CN"/>
          </w:rPr>
          <w:t>4.1.2 净利润难以持续增长</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_Toc28768 \h </w:instrText>
        </w:r>
        <w:r>
          <w:rPr>
            <w:rFonts w:ascii="幼圆" w:eastAsia="幼圆" w:hAnsi="幼圆" w:cs="幼圆" w:hint="eastAsia"/>
            <w:sz w:val="24"/>
            <w:szCs w:val="24"/>
          </w:rPr>
          <w:fldChar w:fldCharType="separate"/>
        </w:r>
        <w:r>
          <w:rPr>
            <w:rFonts w:ascii="幼圆" w:eastAsia="幼圆" w:hAnsi="幼圆" w:cs="幼圆" w:hint="eastAsia"/>
            <w:sz w:val="24"/>
            <w:szCs w:val="24"/>
          </w:rPr>
          <w:t>23</w:t>
        </w:r>
        <w:r>
          <w:rPr>
            <w:rFonts w:ascii="幼圆" w:eastAsia="幼圆" w:hAnsi="幼圆" w:cs="幼圆" w:hint="eastAsia"/>
            <w:sz w:val="24"/>
            <w:szCs w:val="24"/>
          </w:rPr>
          <w:fldChar w:fldCharType="end"/>
        </w:r>
      </w:hyperlink>
    </w:p>
    <w:p>
      <w:pPr>
        <w:pStyle w:val="TOC3"/>
        <w:tabs>
          <w:tab w:val="right" w:leader="dot" w:pos="8508"/>
        </w:tabs>
        <w:spacing w:line="360" w:lineRule="auto"/>
        <w:rPr>
          <w:rFonts w:ascii="幼圆" w:eastAsia="幼圆" w:hAnsi="幼圆" w:cs="幼圆" w:hint="eastAsia"/>
          <w:sz w:val="24"/>
          <w:szCs w:val="24"/>
        </w:rPr>
      </w:pPr>
      <w:hyperlink w:anchor="_Toc6817" w:history="1">
        <w:r>
          <w:rPr>
            <w:rFonts w:ascii="幼圆" w:eastAsia="幼圆" w:hAnsi="幼圆" w:cs="幼圆" w:hint="eastAsia"/>
            <w:bCs/>
            <w:sz w:val="24"/>
            <w:szCs w:val="28"/>
            <w:lang w:val="zh-CN" w:eastAsia="zh-CN" w:bidi="zh-CN"/>
          </w:rPr>
          <w:t>4.1.3 企业投资收益过低</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_Toc6817 \h </w:instrText>
        </w:r>
        <w:r>
          <w:rPr>
            <w:rFonts w:ascii="幼圆" w:eastAsia="幼圆" w:hAnsi="幼圆" w:cs="幼圆" w:hint="eastAsia"/>
            <w:sz w:val="24"/>
            <w:szCs w:val="24"/>
          </w:rPr>
          <w:fldChar w:fldCharType="separate"/>
        </w:r>
        <w:r>
          <w:rPr>
            <w:rFonts w:ascii="幼圆" w:eastAsia="幼圆" w:hAnsi="幼圆" w:cs="幼圆" w:hint="eastAsia"/>
            <w:sz w:val="24"/>
            <w:szCs w:val="24"/>
          </w:rPr>
          <w:t>23</w:t>
        </w:r>
        <w:r>
          <w:rPr>
            <w:rFonts w:ascii="幼圆" w:eastAsia="幼圆" w:hAnsi="幼圆" w:cs="幼圆" w:hint="eastAsia"/>
            <w:sz w:val="24"/>
            <w:szCs w:val="24"/>
          </w:rPr>
          <w:fldChar w:fldCharType="end"/>
        </w:r>
      </w:hyperlink>
    </w:p>
    <w:p>
      <w:pPr>
        <w:pStyle w:val="TOC3"/>
        <w:tabs>
          <w:tab w:val="right" w:leader="dot" w:pos="8508"/>
        </w:tabs>
        <w:spacing w:line="360" w:lineRule="auto"/>
        <w:rPr>
          <w:rFonts w:ascii="幼圆" w:eastAsia="幼圆" w:hAnsi="幼圆" w:cs="幼圆" w:hint="eastAsia"/>
          <w:sz w:val="24"/>
          <w:szCs w:val="24"/>
        </w:rPr>
      </w:pPr>
      <w:hyperlink w:anchor="_Toc19009" w:history="1">
        <w:r>
          <w:rPr>
            <w:rFonts w:ascii="幼圆" w:eastAsia="幼圆" w:hAnsi="幼圆" w:cs="幼圆" w:hint="eastAsia"/>
            <w:bCs/>
            <w:sz w:val="24"/>
            <w:szCs w:val="28"/>
            <w:lang w:val="zh-CN" w:eastAsia="zh-CN" w:bidi="zh-CN"/>
          </w:rPr>
          <w:t>4.1.4 企业营业成本持续升高</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_Toc19009 \h </w:instrText>
        </w:r>
        <w:r>
          <w:rPr>
            <w:rFonts w:ascii="幼圆" w:eastAsia="幼圆" w:hAnsi="幼圆" w:cs="幼圆" w:hint="eastAsia"/>
            <w:sz w:val="24"/>
            <w:szCs w:val="24"/>
          </w:rPr>
          <w:fldChar w:fldCharType="separate"/>
        </w:r>
        <w:r>
          <w:rPr>
            <w:rFonts w:ascii="幼圆" w:eastAsia="幼圆" w:hAnsi="幼圆" w:cs="幼圆" w:hint="eastAsia"/>
            <w:sz w:val="24"/>
            <w:szCs w:val="24"/>
          </w:rPr>
          <w:t>24</w:t>
        </w:r>
        <w:r>
          <w:rPr>
            <w:rFonts w:ascii="幼圆" w:eastAsia="幼圆" w:hAnsi="幼圆" w:cs="幼圆" w:hint="eastAsia"/>
            <w:sz w:val="24"/>
            <w:szCs w:val="24"/>
          </w:rPr>
          <w:fldChar w:fldCharType="end"/>
        </w:r>
      </w:hyperlink>
    </w:p>
    <w:p>
      <w:pPr>
        <w:pStyle w:val="TOC2"/>
        <w:tabs>
          <w:tab w:val="right" w:leader="dot" w:pos="8508"/>
        </w:tabs>
        <w:spacing w:line="360" w:lineRule="auto"/>
        <w:rPr>
          <w:rFonts w:ascii="幼圆" w:eastAsia="幼圆" w:hAnsi="幼圆" w:cs="幼圆" w:hint="eastAsia"/>
          <w:sz w:val="24"/>
          <w:szCs w:val="24"/>
        </w:rPr>
      </w:pPr>
      <w:hyperlink w:anchor="_Toc8421" w:history="1">
        <w:r>
          <w:rPr>
            <w:rFonts w:ascii="幼圆" w:eastAsia="幼圆" w:hAnsi="幼圆" w:cs="幼圆" w:hint="eastAsia"/>
            <w:sz w:val="24"/>
            <w:szCs w:val="24"/>
          </w:rPr>
          <w:t>4.2 提高</w:t>
        </w:r>
        <w:r>
          <w:rPr>
            <w:rFonts w:ascii="幼圆" w:eastAsia="幼圆" w:hAnsi="幼圆" w:cs="幼圆" w:hint="eastAsia"/>
            <w:sz w:val="24"/>
            <w:szCs w:val="24"/>
            <w:lang w:eastAsia="zh-CN"/>
          </w:rPr>
          <w:t>桂林西麦食品</w:t>
        </w:r>
        <w:r>
          <w:rPr>
            <w:rFonts w:ascii="幼圆" w:eastAsia="幼圆" w:hAnsi="幼圆" w:cs="幼圆" w:hint="eastAsia"/>
            <w:sz w:val="24"/>
            <w:szCs w:val="24"/>
          </w:rPr>
          <w:t>财务绩效的建议</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_Toc8421 \h </w:instrText>
        </w:r>
        <w:r>
          <w:rPr>
            <w:rFonts w:ascii="幼圆" w:eastAsia="幼圆" w:hAnsi="幼圆" w:cs="幼圆" w:hint="eastAsia"/>
            <w:sz w:val="24"/>
            <w:szCs w:val="24"/>
          </w:rPr>
          <w:fldChar w:fldCharType="separate"/>
        </w:r>
        <w:r>
          <w:rPr>
            <w:rFonts w:ascii="幼圆" w:eastAsia="幼圆" w:hAnsi="幼圆" w:cs="幼圆" w:hint="eastAsia"/>
            <w:sz w:val="24"/>
            <w:szCs w:val="24"/>
          </w:rPr>
          <w:t>24</w:t>
        </w:r>
        <w:r>
          <w:rPr>
            <w:rFonts w:ascii="幼圆" w:eastAsia="幼圆" w:hAnsi="幼圆" w:cs="幼圆" w:hint="eastAsia"/>
            <w:sz w:val="24"/>
            <w:szCs w:val="24"/>
          </w:rPr>
          <w:fldChar w:fldCharType="end"/>
        </w:r>
      </w:hyperlink>
    </w:p>
    <w:p>
      <w:pPr>
        <w:pStyle w:val="TOC3"/>
        <w:tabs>
          <w:tab w:val="right" w:leader="dot" w:pos="8508"/>
        </w:tabs>
        <w:spacing w:line="360" w:lineRule="auto"/>
        <w:rPr>
          <w:rFonts w:ascii="幼圆" w:eastAsia="幼圆" w:hAnsi="幼圆" w:cs="幼圆" w:hint="eastAsia"/>
          <w:sz w:val="24"/>
          <w:szCs w:val="24"/>
        </w:rPr>
      </w:pPr>
      <w:hyperlink w:anchor="_Toc23137" w:history="1">
        <w:r>
          <w:rPr>
            <w:rFonts w:ascii="幼圆" w:eastAsia="幼圆" w:hAnsi="幼圆" w:cs="幼圆" w:hint="eastAsia"/>
            <w:bCs/>
            <w:sz w:val="24"/>
            <w:szCs w:val="28"/>
            <w:lang w:val="zh-CN" w:eastAsia="zh-CN" w:bidi="zh-CN"/>
          </w:rPr>
          <w:t>4.2.1 优化企业资本结构</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_Toc23137 \h </w:instrText>
        </w:r>
        <w:r>
          <w:rPr>
            <w:rFonts w:ascii="幼圆" w:eastAsia="幼圆" w:hAnsi="幼圆" w:cs="幼圆" w:hint="eastAsia"/>
            <w:sz w:val="24"/>
            <w:szCs w:val="24"/>
          </w:rPr>
          <w:fldChar w:fldCharType="separate"/>
        </w:r>
        <w:r>
          <w:rPr>
            <w:rFonts w:ascii="幼圆" w:eastAsia="幼圆" w:hAnsi="幼圆" w:cs="幼圆" w:hint="eastAsia"/>
            <w:sz w:val="24"/>
            <w:szCs w:val="24"/>
          </w:rPr>
          <w:t>24</w:t>
        </w:r>
        <w:r>
          <w:rPr>
            <w:rFonts w:ascii="幼圆" w:eastAsia="幼圆" w:hAnsi="幼圆" w:cs="幼圆" w:hint="eastAsia"/>
            <w:sz w:val="24"/>
            <w:szCs w:val="24"/>
          </w:rPr>
          <w:fldChar w:fldCharType="end"/>
        </w:r>
      </w:hyperlink>
    </w:p>
    <w:p>
      <w:pPr>
        <w:pStyle w:val="TOC3"/>
        <w:tabs>
          <w:tab w:val="right" w:leader="dot" w:pos="8508"/>
        </w:tabs>
        <w:spacing w:line="360" w:lineRule="auto"/>
        <w:rPr>
          <w:rFonts w:ascii="幼圆" w:eastAsia="幼圆" w:hAnsi="幼圆" w:cs="幼圆" w:hint="eastAsia"/>
          <w:sz w:val="24"/>
          <w:szCs w:val="24"/>
        </w:rPr>
      </w:pPr>
      <w:hyperlink w:anchor="_Toc27620" w:history="1">
        <w:r>
          <w:rPr>
            <w:rFonts w:ascii="幼圆" w:eastAsia="幼圆" w:hAnsi="幼圆" w:cs="幼圆" w:hint="eastAsia"/>
            <w:bCs/>
            <w:sz w:val="24"/>
            <w:szCs w:val="28"/>
            <w:lang w:val="zh-CN" w:eastAsia="zh-CN" w:bidi="zh-CN"/>
          </w:rPr>
          <w:t>4.2.2 促进企业净利润持续增长</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_Toc27620 \h </w:instrText>
        </w:r>
        <w:r>
          <w:rPr>
            <w:rFonts w:ascii="幼圆" w:eastAsia="幼圆" w:hAnsi="幼圆" w:cs="幼圆" w:hint="eastAsia"/>
            <w:sz w:val="24"/>
            <w:szCs w:val="24"/>
          </w:rPr>
          <w:fldChar w:fldCharType="separate"/>
        </w:r>
        <w:r>
          <w:rPr>
            <w:rFonts w:ascii="幼圆" w:eastAsia="幼圆" w:hAnsi="幼圆" w:cs="幼圆" w:hint="eastAsia"/>
            <w:sz w:val="24"/>
            <w:szCs w:val="24"/>
          </w:rPr>
          <w:t>24</w:t>
        </w:r>
        <w:r>
          <w:rPr>
            <w:rFonts w:ascii="幼圆" w:eastAsia="幼圆" w:hAnsi="幼圆" w:cs="幼圆" w:hint="eastAsia"/>
            <w:sz w:val="24"/>
            <w:szCs w:val="24"/>
          </w:rPr>
          <w:fldChar w:fldCharType="end"/>
        </w:r>
      </w:hyperlink>
    </w:p>
    <w:p>
      <w:pPr>
        <w:pStyle w:val="TOC3"/>
        <w:tabs>
          <w:tab w:val="right" w:leader="dot" w:pos="8508"/>
        </w:tabs>
        <w:spacing w:line="360" w:lineRule="auto"/>
        <w:rPr>
          <w:rFonts w:ascii="幼圆" w:eastAsia="幼圆" w:hAnsi="幼圆" w:cs="幼圆" w:hint="eastAsia"/>
          <w:sz w:val="24"/>
          <w:szCs w:val="24"/>
        </w:rPr>
      </w:pPr>
      <w:hyperlink w:anchor="_Toc23266" w:history="1">
        <w:r>
          <w:rPr>
            <w:rFonts w:ascii="幼圆" w:eastAsia="幼圆" w:hAnsi="幼圆" w:cs="幼圆" w:hint="eastAsia"/>
            <w:bCs/>
            <w:sz w:val="24"/>
            <w:szCs w:val="28"/>
            <w:lang w:val="zh-CN" w:eastAsia="zh-CN" w:bidi="zh-CN"/>
          </w:rPr>
          <w:t>4.2.3 增加企业投资收益</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_Toc23266 \h </w:instrText>
        </w:r>
        <w:r>
          <w:rPr>
            <w:rFonts w:ascii="幼圆" w:eastAsia="幼圆" w:hAnsi="幼圆" w:cs="幼圆" w:hint="eastAsia"/>
            <w:sz w:val="24"/>
            <w:szCs w:val="24"/>
          </w:rPr>
          <w:fldChar w:fldCharType="separate"/>
        </w:r>
        <w:r>
          <w:rPr>
            <w:rFonts w:ascii="幼圆" w:eastAsia="幼圆" w:hAnsi="幼圆" w:cs="幼圆" w:hint="eastAsia"/>
            <w:sz w:val="24"/>
            <w:szCs w:val="24"/>
          </w:rPr>
          <w:t>25</w:t>
        </w:r>
        <w:r>
          <w:rPr>
            <w:rFonts w:ascii="幼圆" w:eastAsia="幼圆" w:hAnsi="幼圆" w:cs="幼圆" w:hint="eastAsia"/>
            <w:sz w:val="24"/>
            <w:szCs w:val="24"/>
          </w:rPr>
          <w:fldChar w:fldCharType="end"/>
        </w:r>
      </w:hyperlink>
    </w:p>
    <w:p>
      <w:pPr>
        <w:pStyle w:val="TOC3"/>
        <w:tabs>
          <w:tab w:val="right" w:leader="dot" w:pos="8508"/>
        </w:tabs>
        <w:spacing w:line="360" w:lineRule="auto"/>
        <w:rPr>
          <w:rFonts w:ascii="幼圆" w:eastAsia="幼圆" w:hAnsi="幼圆" w:cs="幼圆" w:hint="eastAsia"/>
          <w:sz w:val="24"/>
          <w:szCs w:val="24"/>
        </w:rPr>
      </w:pPr>
      <w:hyperlink w:anchor="_Toc19207" w:history="1">
        <w:r>
          <w:rPr>
            <w:rFonts w:ascii="幼圆" w:eastAsia="幼圆" w:hAnsi="幼圆" w:cs="幼圆" w:hint="eastAsia"/>
            <w:bCs/>
            <w:sz w:val="24"/>
            <w:szCs w:val="28"/>
            <w:lang w:val="zh-CN" w:eastAsia="zh-CN" w:bidi="zh-CN"/>
          </w:rPr>
          <w:t>4.2.4 适当增加企业研发投入</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_Toc19207 \h </w:instrText>
        </w:r>
        <w:r>
          <w:rPr>
            <w:rFonts w:ascii="幼圆" w:eastAsia="幼圆" w:hAnsi="幼圆" w:cs="幼圆" w:hint="eastAsia"/>
            <w:sz w:val="24"/>
            <w:szCs w:val="24"/>
          </w:rPr>
          <w:fldChar w:fldCharType="separate"/>
        </w:r>
        <w:r>
          <w:rPr>
            <w:rFonts w:ascii="幼圆" w:eastAsia="幼圆" w:hAnsi="幼圆" w:cs="幼圆" w:hint="eastAsia"/>
            <w:sz w:val="24"/>
            <w:szCs w:val="24"/>
          </w:rPr>
          <w:t>25</w:t>
        </w:r>
        <w:r>
          <w:rPr>
            <w:rFonts w:ascii="幼圆" w:eastAsia="幼圆" w:hAnsi="幼圆" w:cs="幼圆" w:hint="eastAsia"/>
            <w:sz w:val="24"/>
            <w:szCs w:val="24"/>
          </w:rPr>
          <w:fldChar w:fldCharType="end"/>
        </w:r>
      </w:hyperlink>
    </w:p>
    <w:p>
      <w:pPr>
        <w:pStyle w:val="TOC1"/>
        <w:tabs>
          <w:tab w:val="right" w:leader="dot" w:pos="8508"/>
        </w:tabs>
        <w:spacing w:line="360" w:lineRule="auto"/>
        <w:rPr>
          <w:rFonts w:ascii="幼圆" w:eastAsia="幼圆" w:hAnsi="幼圆" w:cs="幼圆" w:hint="eastAsia"/>
          <w:sz w:val="24"/>
          <w:szCs w:val="24"/>
        </w:rPr>
      </w:pPr>
      <w:hyperlink w:anchor="_Toc3118" w:history="1">
        <w:r>
          <w:rPr>
            <w:rFonts w:ascii="幼圆" w:eastAsia="幼圆" w:hAnsi="幼圆" w:cs="幼圆" w:hint="eastAsia"/>
            <w:bCs/>
            <w:sz w:val="24"/>
            <w:szCs w:val="28"/>
            <w:lang w:val="zh-CN" w:eastAsia="zh-CN" w:bidi="zh-CN"/>
          </w:rPr>
          <w:t>5 研究结论与不足</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_Toc3118 \h </w:instrText>
        </w:r>
        <w:r>
          <w:rPr>
            <w:rFonts w:ascii="幼圆" w:eastAsia="幼圆" w:hAnsi="幼圆" w:cs="幼圆" w:hint="eastAsia"/>
            <w:sz w:val="24"/>
            <w:szCs w:val="24"/>
          </w:rPr>
          <w:fldChar w:fldCharType="separate"/>
        </w:r>
        <w:r>
          <w:rPr>
            <w:rFonts w:ascii="幼圆" w:eastAsia="幼圆" w:hAnsi="幼圆" w:cs="幼圆" w:hint="eastAsia"/>
            <w:sz w:val="24"/>
            <w:szCs w:val="24"/>
          </w:rPr>
          <w:t>26</w:t>
        </w:r>
        <w:r>
          <w:rPr>
            <w:rFonts w:ascii="幼圆" w:eastAsia="幼圆" w:hAnsi="幼圆" w:cs="幼圆" w:hint="eastAsia"/>
            <w:sz w:val="24"/>
            <w:szCs w:val="24"/>
          </w:rPr>
          <w:fldChar w:fldCharType="end"/>
        </w:r>
      </w:hyperlink>
    </w:p>
    <w:p>
      <w:pPr>
        <w:pStyle w:val="TOC2"/>
        <w:tabs>
          <w:tab w:val="right" w:leader="dot" w:pos="8508"/>
        </w:tabs>
        <w:spacing w:line="360" w:lineRule="auto"/>
        <w:rPr>
          <w:rFonts w:ascii="幼圆" w:eastAsia="幼圆" w:hAnsi="幼圆" w:cs="幼圆" w:hint="eastAsia"/>
          <w:sz w:val="24"/>
          <w:szCs w:val="24"/>
        </w:rPr>
      </w:pPr>
      <w:hyperlink w:anchor="_Toc31011" w:history="1">
        <w:r>
          <w:rPr>
            <w:rFonts w:ascii="幼圆" w:eastAsia="幼圆" w:hAnsi="幼圆" w:cs="幼圆" w:hint="eastAsia"/>
            <w:sz w:val="24"/>
            <w:szCs w:val="24"/>
          </w:rPr>
          <w:t>5.1 研究结论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_Toc31011 \h </w:instrText>
        </w:r>
        <w:r>
          <w:rPr>
            <w:rFonts w:ascii="幼圆" w:eastAsia="幼圆" w:hAnsi="幼圆" w:cs="幼圆" w:hint="eastAsia"/>
            <w:sz w:val="24"/>
            <w:szCs w:val="24"/>
          </w:rPr>
          <w:fldChar w:fldCharType="separate"/>
        </w:r>
        <w:r>
          <w:rPr>
            <w:rFonts w:ascii="幼圆" w:eastAsia="幼圆" w:hAnsi="幼圆" w:cs="幼圆" w:hint="eastAsia"/>
            <w:sz w:val="24"/>
            <w:szCs w:val="24"/>
          </w:rPr>
          <w:t>26</w:t>
        </w:r>
        <w:r>
          <w:rPr>
            <w:rFonts w:ascii="幼圆" w:eastAsia="幼圆" w:hAnsi="幼圆" w:cs="幼圆" w:hint="eastAsia"/>
            <w:sz w:val="24"/>
            <w:szCs w:val="24"/>
          </w:rPr>
          <w:fldChar w:fldCharType="end"/>
        </w:r>
      </w:hyperlink>
    </w:p>
    <w:p>
      <w:pPr>
        <w:pStyle w:val="TOC2"/>
        <w:tabs>
          <w:tab w:val="right" w:leader="dot" w:pos="8508"/>
        </w:tabs>
        <w:spacing w:line="360" w:lineRule="auto"/>
        <w:rPr>
          <w:rFonts w:ascii="幼圆" w:eastAsia="幼圆" w:hAnsi="幼圆" w:cs="幼圆" w:hint="eastAsia"/>
          <w:sz w:val="24"/>
          <w:szCs w:val="24"/>
        </w:rPr>
      </w:pPr>
      <w:hyperlink w:anchor="_Toc12665" w:history="1">
        <w:r>
          <w:rPr>
            <w:rFonts w:ascii="幼圆" w:eastAsia="幼圆" w:hAnsi="幼圆" w:cs="幼圆" w:hint="eastAsia"/>
            <w:sz w:val="24"/>
            <w:szCs w:val="24"/>
          </w:rPr>
          <w:t>5.2 研究不足</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_Toc12665 \h </w:instrText>
        </w:r>
        <w:r>
          <w:rPr>
            <w:rFonts w:ascii="幼圆" w:eastAsia="幼圆" w:hAnsi="幼圆" w:cs="幼圆" w:hint="eastAsia"/>
            <w:sz w:val="24"/>
            <w:szCs w:val="24"/>
          </w:rPr>
          <w:fldChar w:fldCharType="separate"/>
        </w:r>
        <w:r>
          <w:rPr>
            <w:rFonts w:ascii="幼圆" w:eastAsia="幼圆" w:hAnsi="幼圆" w:cs="幼圆" w:hint="eastAsia"/>
            <w:sz w:val="24"/>
            <w:szCs w:val="24"/>
          </w:rPr>
          <w:t>26</w:t>
        </w:r>
        <w:r>
          <w:rPr>
            <w:rFonts w:ascii="幼圆" w:eastAsia="幼圆" w:hAnsi="幼圆" w:cs="幼圆" w:hint="eastAsia"/>
            <w:sz w:val="24"/>
            <w:szCs w:val="24"/>
          </w:rPr>
          <w:fldChar w:fldCharType="end"/>
        </w:r>
      </w:hyperlink>
    </w:p>
    <w:p>
      <w:pPr>
        <w:pStyle w:val="TOC2"/>
        <w:tabs>
          <w:tab w:val="right" w:leader="dot" w:pos="8508"/>
        </w:tabs>
        <w:spacing w:line="360" w:lineRule="auto"/>
        <w:ind w:left="0" w:firstLine="0" w:leftChars="0" w:firstLineChars="0"/>
        <w:rPr>
          <w:rFonts w:ascii="幼圆" w:eastAsia="幼圆" w:hAnsi="幼圆" w:cs="幼圆" w:hint="eastAsia"/>
          <w:sz w:val="28"/>
          <w:szCs w:val="28"/>
        </w:rPr>
      </w:pPr>
      <w:hyperlink w:anchor="_Toc6538" w:history="1">
        <w:r>
          <w:rPr>
            <w:rFonts w:ascii="幼圆" w:eastAsia="幼圆" w:hAnsi="幼圆" w:cs="幼圆" w:hint="eastAsia"/>
            <w:sz w:val="28"/>
            <w:szCs w:val="28"/>
          </w:rPr>
          <w:t>参考文献</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_Toc6538 \h </w:instrText>
        </w:r>
        <w:r>
          <w:rPr>
            <w:rFonts w:ascii="幼圆" w:eastAsia="幼圆" w:hAnsi="幼圆" w:cs="幼圆" w:hint="eastAsia"/>
            <w:sz w:val="28"/>
            <w:szCs w:val="28"/>
          </w:rPr>
          <w:fldChar w:fldCharType="separate"/>
        </w:r>
        <w:r>
          <w:rPr>
            <w:rFonts w:ascii="幼圆" w:eastAsia="幼圆" w:hAnsi="幼圆" w:cs="幼圆" w:hint="eastAsia"/>
            <w:sz w:val="28"/>
            <w:szCs w:val="28"/>
          </w:rPr>
          <w:t>27</w:t>
        </w:r>
        <w:r>
          <w:rPr>
            <w:rFonts w:ascii="幼圆" w:eastAsia="幼圆" w:hAnsi="幼圆" w:cs="幼圆" w:hint="eastAsia"/>
            <w:sz w:val="28"/>
            <w:szCs w:val="28"/>
          </w:rPr>
          <w:fldChar w:fldCharType="end"/>
        </w:r>
      </w:hyperlink>
    </w:p>
    <w:p>
      <w:pPr>
        <w:spacing w:line="360" w:lineRule="auto"/>
        <w:rPr>
          <w:rFonts w:ascii="幼圆" w:eastAsia="幼圆" w:hAnsi="幼圆" w:cs="幼圆" w:hint="eastAsia"/>
          <w:sz w:val="32"/>
          <w:szCs w:val="32"/>
        </w:rPr>
      </w:pPr>
      <w:r>
        <w:rPr>
          <w:rFonts w:ascii="幼圆" w:eastAsia="幼圆" w:hAnsi="幼圆" w:cs="幼圆" w:hint="eastAsia"/>
          <w:szCs w:val="24"/>
        </w:rPr>
        <w:fldChar w:fldCharType="end"/>
      </w:r>
    </w:p>
    <w:p>
      <w:pPr>
        <w:keepNext w:val="0"/>
        <w:keepLines w:val="0"/>
        <w:pageBreakBefore/>
        <w:widowControl w:val="0"/>
        <w:tabs>
          <w:tab w:val="center" w:pos="4153"/>
          <w:tab w:val="left" w:pos="7143"/>
        </w:tabs>
        <w:kinsoku/>
        <w:wordWrap/>
        <w:overflowPunct/>
        <w:topLinePunct w:val="0"/>
        <w:autoSpaceDE w:val="0"/>
        <w:autoSpaceDN w:val="0"/>
        <w:bidi w:val="0"/>
        <w:adjustRightInd/>
        <w:snapToGrid/>
        <w:spacing w:before="0" w:after="0" w:line="440" w:lineRule="atLeast"/>
        <w:jc w:val="left"/>
        <w:textAlignment w:val="auto"/>
        <w:outlineLvl w:val="0"/>
        <w:rPr>
          <w:rFonts w:ascii="幼圆" w:eastAsia="幼圆" w:hAnsi="幼圆" w:cs="幼圆" w:hint="eastAsia"/>
          <w:b/>
          <w:bCs/>
          <w:sz w:val="30"/>
          <w:szCs w:val="30"/>
          <w:u w:val="none" w:color="000000"/>
        </w:rPr>
        <w:sectPr>
          <w:footerReference w:type="default" r:id="rId5"/>
          <w:type w:val="nextPage"/>
          <w:pgSz w:w="11910" w:h="16838"/>
          <w:pgMar w:top="1701" w:right="1701" w:bottom="1531" w:left="1701" w:header="1134" w:footer="1134" w:gutter="0"/>
          <w:pgNumType w:start="2"/>
          <w:cols w:space="708"/>
          <w:titlePg w:val="0"/>
          <w:rtlGutter w:val="0"/>
          <w:docGrid w:linePitch="1" w:charSpace="0"/>
        </w:sectPr>
      </w:pPr>
    </w:p>
    <w:p>
      <w:pPr>
        <w:keepNext w:val="0"/>
        <w:keepLines w:val="0"/>
        <w:pageBreakBefore/>
        <w:widowControl w:val="0"/>
        <w:tabs>
          <w:tab w:val="center" w:pos="4153"/>
          <w:tab w:val="left" w:pos="7143"/>
        </w:tabs>
        <w:kinsoku/>
        <w:wordWrap/>
        <w:overflowPunct/>
        <w:topLinePunct w:val="0"/>
        <w:autoSpaceDE w:val="0"/>
        <w:autoSpaceDN w:val="0"/>
        <w:bidi w:val="0"/>
        <w:adjustRightInd/>
        <w:snapToGrid/>
        <w:spacing w:before="0" w:after="0" w:line="440" w:lineRule="atLeast"/>
        <w:jc w:val="left"/>
        <w:textAlignment w:val="auto"/>
        <w:outlineLvl w:val="0"/>
        <w:rPr>
          <w:rFonts w:ascii="幼圆" w:eastAsia="幼圆" w:hAnsi="幼圆" w:cs="幼圆" w:hint="eastAsia"/>
          <w:b/>
          <w:bCs/>
          <w:sz w:val="30"/>
          <w:szCs w:val="30"/>
          <w:u w:val="none" w:color="000000"/>
        </w:rPr>
      </w:pPr>
      <w:bookmarkStart w:id="15" w:name="_Toc22712"/>
      <w:r>
        <w:rPr>
          <w:rFonts w:ascii="幼圆" w:eastAsia="幼圆" w:hAnsi="幼圆" w:cs="幼圆" w:hint="eastAsia"/>
          <w:b/>
          <w:bCs/>
          <w:sz w:val="30"/>
          <w:szCs w:val="30"/>
          <w:u w:val="none" w:color="000000"/>
          <w:lang w:val="zh-CN" w:eastAsia="zh-CN" w:bidi="zh-CN"/>
        </w:rPr>
        <w:t>1 绪  论</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pPr>
        <w:keepNext w:val="0"/>
        <w:keepLines w:val="0"/>
        <w:tabs>
          <w:tab w:val="left" w:pos="6340"/>
        </w:tabs>
        <w:kinsoku/>
        <w:wordWrap/>
        <w:overflowPunct/>
        <w:topLinePunct w:val="0"/>
        <w:autoSpaceDE w:val="0"/>
        <w:autoSpaceDN w:val="0"/>
        <w:bidi w:val="0"/>
        <w:adjustRightInd/>
        <w:snapToGrid/>
        <w:spacing w:before="120" w:beforeLines="50" w:after="120" w:afterLines="50" w:line="440" w:lineRule="atLeast"/>
        <w:jc w:val="left"/>
        <w:textAlignment w:val="auto"/>
        <w:outlineLvl w:val="1"/>
        <w:rPr>
          <w:rFonts w:ascii="幼圆" w:eastAsia="幼圆" w:hAnsi="幼圆" w:cs="幼圆" w:hint="eastAsia"/>
          <w:sz w:val="24"/>
          <w:szCs w:val="24"/>
        </w:rPr>
      </w:pPr>
      <w:bookmarkStart w:id="16" w:name="_Toc66736788"/>
      <w:bookmarkStart w:id="17" w:name="_Toc66737201"/>
      <w:bookmarkStart w:id="18" w:name="_Toc28846"/>
      <w:bookmarkStart w:id="19" w:name="_Toc66736129"/>
      <w:bookmarkStart w:id="20" w:name="_Toc67390247"/>
      <w:bookmarkStart w:id="21" w:name="_Toc69200344"/>
      <w:bookmarkStart w:id="22" w:name="_Toc67390727"/>
      <w:bookmarkStart w:id="23" w:name="_Toc21704"/>
      <w:bookmarkStart w:id="24" w:name="_Toc69200249"/>
      <w:bookmarkStart w:id="25" w:name="_Toc68584233"/>
      <w:bookmarkStart w:id="26" w:name="_Toc67389924"/>
      <w:bookmarkStart w:id="27" w:name="_Toc68075437"/>
      <w:bookmarkStart w:id="28" w:name="_Toc66734960"/>
      <w:bookmarkStart w:id="29" w:name="_Toc67390602"/>
      <w:bookmarkStart w:id="30" w:name="_Toc70010881"/>
      <w:bookmarkStart w:id="31" w:name="_Toc70010728"/>
      <w:r>
        <w:rPr>
          <w:rFonts w:ascii="幼圆" w:eastAsia="幼圆" w:hAnsi="幼圆" w:cs="幼圆" w:hint="eastAsia"/>
          <w:b/>
          <w:sz w:val="30"/>
        </w:rPr>
        <w:t>1.1 研究背景及意义</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r>
        <w:rPr>
          <w:rFonts w:ascii="幼圆" w:eastAsia="幼圆" w:hAnsi="幼圆" w:cs="幼圆" w:hint="eastAsia"/>
          <w:sz w:val="24"/>
          <w:szCs w:val="24"/>
        </w:rPr>
        <w:tab/>
      </w:r>
    </w:p>
    <w:p>
      <w:pPr>
        <w:keepNext w:val="0"/>
        <w:keepLines w:val="0"/>
        <w:kinsoku/>
        <w:wordWrap/>
        <w:overflowPunct/>
        <w:topLinePunct w:val="0"/>
        <w:autoSpaceDE w:val="0"/>
        <w:autoSpaceDN w:val="0"/>
        <w:bidi w:val="0"/>
        <w:adjustRightInd/>
        <w:snapToGrid/>
        <w:spacing w:before="120" w:beforeLines="50" w:after="120" w:afterLines="50" w:line="440" w:lineRule="atLeast"/>
        <w:jc w:val="left"/>
        <w:textAlignment w:val="auto"/>
        <w:outlineLvl w:val="2"/>
        <w:rPr>
          <w:rFonts w:ascii="幼圆" w:eastAsia="幼圆" w:hAnsi="幼圆" w:cs="幼圆" w:hint="eastAsia"/>
          <w:b/>
          <w:bCs/>
          <w:sz w:val="24"/>
          <w:szCs w:val="24"/>
        </w:rPr>
      </w:pPr>
      <w:bookmarkStart w:id="32" w:name="_Toc68075438"/>
      <w:bookmarkStart w:id="33" w:name="_Toc70010882"/>
      <w:bookmarkStart w:id="34" w:name="_Toc66737202"/>
      <w:bookmarkStart w:id="35" w:name="_Toc69200345"/>
      <w:bookmarkStart w:id="36" w:name="_Toc67390248"/>
      <w:bookmarkStart w:id="37" w:name="_Toc66734961"/>
      <w:bookmarkStart w:id="38" w:name="_Toc67390603"/>
      <w:bookmarkStart w:id="39" w:name="_Toc69200250"/>
      <w:bookmarkStart w:id="40" w:name="_Toc9253"/>
      <w:bookmarkStart w:id="41" w:name="_Toc68584234"/>
      <w:bookmarkStart w:id="42" w:name="_Toc5953"/>
      <w:bookmarkStart w:id="43" w:name="_Toc70010729"/>
      <w:bookmarkStart w:id="44" w:name="_Toc66736130"/>
      <w:bookmarkStart w:id="45" w:name="_Toc67390728"/>
      <w:bookmarkStart w:id="46" w:name="_Toc67389925"/>
      <w:bookmarkStart w:id="47" w:name="_Toc66736789"/>
      <w:r>
        <w:rPr>
          <w:rFonts w:ascii="幼圆" w:eastAsia="幼圆" w:hAnsi="幼圆" w:cs="幼圆" w:hint="eastAsia"/>
          <w:b/>
          <w:bCs/>
          <w:sz w:val="24"/>
          <w:szCs w:val="24"/>
          <w:lang w:val="zh-CN" w:eastAsia="zh-CN" w:bidi="zh-CN"/>
        </w:rPr>
        <w:t>1.1.1 研究背景</w:t>
      </w:r>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p>
      <w:pPr>
        <w:keepNext w:val="0"/>
        <w:keepLines w:val="0"/>
        <w:kinsoku/>
        <w:wordWrap/>
        <w:overflowPunct/>
        <w:topLinePunct w:val="0"/>
        <w:autoSpaceDE w:val="0"/>
        <w:autoSpaceDN w:val="0"/>
        <w:bidi w:val="0"/>
        <w:adjustRightInd/>
        <w:snapToGrid/>
        <w:spacing w:line="440" w:lineRule="atLeast"/>
        <w:ind w:firstLine="480" w:firstLineChars="200"/>
        <w:jc w:val="left"/>
        <w:textAlignment w:val="auto"/>
        <w:rPr>
          <w:rFonts w:ascii="幼圆" w:eastAsia="幼圆" w:hAnsi="幼圆" w:cs="幼圆" w:hint="eastAsia"/>
          <w:sz w:val="24"/>
          <w:szCs w:val="24"/>
        </w:rPr>
      </w:pPr>
      <w:r>
        <w:rPr>
          <w:rFonts w:ascii="幼圆" w:eastAsia="幼圆" w:hAnsi="幼圆" w:cs="幼圆" w:hint="eastAsia"/>
          <w:sz w:val="24"/>
          <w:szCs w:val="24"/>
        </w:rPr>
        <w:t xml:space="preserve"> </w:t>
      </w:r>
    </w:p>
    <w:p>
      <w:pPr>
        <w:keepNext w:val="0"/>
        <w:keepLines w:val="0"/>
        <w:kinsoku/>
        <w:wordWrap/>
        <w:overflowPunct/>
        <w:topLinePunct w:val="0"/>
        <w:autoSpaceDE w:val="0"/>
        <w:autoSpaceDN w:val="0"/>
        <w:bidi w:val="0"/>
        <w:adjustRightInd/>
        <w:snapToGrid/>
        <w:spacing w:line="440" w:lineRule="atLeast"/>
        <w:ind w:firstLine="480" w:firstLineChars="200"/>
        <w:jc w:val="left"/>
        <w:textAlignment w:val="auto"/>
        <w:rPr>
          <w:rFonts w:ascii="幼圆" w:eastAsia="幼圆" w:hAnsi="幼圆" w:cs="幼圆" w:hint="eastAsia"/>
          <w:sz w:val="24"/>
          <w:szCs w:val="24"/>
        </w:rPr>
      </w:pPr>
      <w:r>
        <w:rPr>
          <w:rFonts w:ascii="幼圆" w:eastAsia="幼圆" w:hAnsi="幼圆" w:cs="幼圆" w:hint="eastAsia"/>
          <w:sz w:val="24"/>
          <w:szCs w:val="24"/>
        </w:rPr>
        <w:t>企业绩效评价是企业经营管理体系中的重要一环。面对激烈的市场竞争，每个企业都尽力提高自身的经营绩效。全面、客观的企业绩效评价，有利于企业进行自身价值判断、优化资源配置、促进可持续发展。为有效提高我国企业绩效考核的管理水平，我国财政部</w:t>
      </w:r>
      <w:r>
        <w:rPr>
          <w:rFonts w:ascii="幼圆" w:eastAsia="幼圆" w:hAnsi="幼圆" w:cs="幼圆" w:hint="eastAsia"/>
          <w:sz w:val="24"/>
          <w:szCs w:val="24"/>
          <w:lang w:eastAsia="zh-CN"/>
        </w:rPr>
        <w:t>2019</w:t>
      </w:r>
      <w:r>
        <w:rPr>
          <w:rFonts w:ascii="幼圆" w:eastAsia="幼圆" w:hAnsi="幼圆" w:cs="幼圆" w:hint="eastAsia"/>
          <w:sz w:val="24"/>
          <w:szCs w:val="24"/>
        </w:rPr>
        <w:t>年发布了《管理会计应用指引第602号</w:t>
      </w:r>
      <w:r>
        <w:rPr>
          <w:rFonts w:ascii="幼圆" w:eastAsia="幼圆" w:hAnsi="幼圆" w:cs="幼圆" w:hint="eastAsia"/>
          <w:sz w:val="24"/>
          <w:szCs w:val="24"/>
        </w:rPr>
        <w:t>——</w:t>
      </w:r>
      <w:r>
        <w:rPr>
          <w:rFonts w:ascii="幼圆" w:eastAsia="幼圆" w:hAnsi="幼圆" w:cs="幼圆" w:hint="eastAsia"/>
          <w:sz w:val="24"/>
          <w:szCs w:val="24"/>
        </w:rPr>
        <w:t>经济增加值法》。EVA作为一种重要的财务业绩评价方法，具有传统业绩评价指标无法发挥的积极作用</w:t>
      </w:r>
      <w:r>
        <w:rPr>
          <w:rFonts w:ascii="幼圆" w:eastAsia="幼圆" w:hAnsi="幼圆" w:cs="幼圆" w:hint="eastAsia"/>
          <w:color w:val="auto"/>
          <w:sz w:val="24"/>
          <w:szCs w:val="24"/>
          <w:highlight w:val="none"/>
          <w:lang w:val="en-US" w:eastAsia="zh-CN"/>
        </w:rPr>
        <w:t>(王雨婷 ,赵子瑞, 陈思,2021)</w:t>
      </w:r>
      <w:r>
        <w:rPr>
          <w:rFonts w:ascii="幼圆" w:eastAsia="幼圆" w:hAnsi="幼圆" w:cs="幼圆" w:hint="eastAsia"/>
          <w:sz w:val="24"/>
          <w:szCs w:val="24"/>
        </w:rPr>
        <w:t>。EVA指标对权益资本的成本进行考量，体现了企业税后收入在扣除全部资本成本之后获得的经济收益，更全面正确的反应企业经营状况。基于此，本文以</w:t>
      </w:r>
      <w:r>
        <w:rPr>
          <w:rFonts w:ascii="幼圆" w:eastAsia="幼圆" w:hAnsi="幼圆" w:cs="幼圆" w:hint="eastAsia"/>
          <w:sz w:val="24"/>
          <w:szCs w:val="24"/>
          <w:lang w:eastAsia="zh-CN"/>
        </w:rPr>
        <w:t>桂林西麦食品</w:t>
      </w:r>
      <w:r>
        <w:rPr>
          <w:rFonts w:ascii="幼圆" w:eastAsia="幼圆" w:hAnsi="幼圆" w:cs="幼圆" w:hint="eastAsia"/>
          <w:sz w:val="24"/>
          <w:szCs w:val="24"/>
        </w:rPr>
        <w:t>股份有限公司（以下简称</w:t>
      </w:r>
      <w:r>
        <w:rPr>
          <w:rFonts w:ascii="幼圆" w:eastAsia="幼圆" w:hAnsi="幼圆" w:cs="幼圆" w:hint="eastAsia"/>
          <w:sz w:val="24"/>
          <w:szCs w:val="24"/>
        </w:rPr>
        <w:t>“</w:t>
      </w:r>
      <w:r>
        <w:rPr>
          <w:rFonts w:ascii="幼圆" w:eastAsia="幼圆" w:hAnsi="幼圆" w:cs="幼圆" w:hint="eastAsia"/>
          <w:sz w:val="24"/>
          <w:szCs w:val="24"/>
          <w:lang w:eastAsia="zh-CN"/>
        </w:rPr>
        <w:t>桂林西麦食品</w:t>
      </w:r>
      <w:r>
        <w:rPr>
          <w:rFonts w:ascii="幼圆" w:eastAsia="幼圆" w:hAnsi="幼圆" w:cs="幼圆" w:hint="eastAsia"/>
          <w:sz w:val="24"/>
          <w:szCs w:val="24"/>
        </w:rPr>
        <w:t>”</w:t>
      </w:r>
      <w:r>
        <w:rPr>
          <w:rFonts w:ascii="幼圆" w:eastAsia="幼圆" w:hAnsi="幼圆" w:cs="幼圆" w:hint="eastAsia"/>
          <w:sz w:val="24"/>
          <w:szCs w:val="24"/>
        </w:rPr>
        <w:t>）为例，重点研究EVA在</w:t>
      </w:r>
      <w:r>
        <w:rPr>
          <w:rFonts w:ascii="幼圆" w:eastAsia="幼圆" w:hAnsi="幼圆" w:cs="幼圆" w:hint="eastAsia"/>
          <w:sz w:val="24"/>
          <w:szCs w:val="24"/>
          <w:lang w:eastAsia="zh-CN"/>
        </w:rPr>
        <w:t>桂林西麦食品</w:t>
      </w:r>
      <w:r>
        <w:rPr>
          <w:rFonts w:ascii="幼圆" w:eastAsia="幼圆" w:hAnsi="幼圆" w:cs="幼圆" w:hint="eastAsia"/>
          <w:sz w:val="24"/>
          <w:szCs w:val="24"/>
        </w:rPr>
        <w:t>绩效评价中的应用，以期进一步丰富EVA的相关研究。</w:t>
      </w:r>
    </w:p>
    <w:p>
      <w:pPr>
        <w:keepNext w:val="0"/>
        <w:keepLines w:val="0"/>
        <w:kinsoku/>
        <w:wordWrap/>
        <w:overflowPunct/>
        <w:topLinePunct w:val="0"/>
        <w:autoSpaceDE w:val="0"/>
        <w:autoSpaceDN w:val="0"/>
        <w:bidi w:val="0"/>
        <w:adjustRightInd/>
        <w:snapToGrid/>
        <w:spacing w:before="120" w:beforeLines="50" w:after="120" w:afterLines="50" w:line="440" w:lineRule="atLeast"/>
        <w:jc w:val="left"/>
        <w:textAlignment w:val="auto"/>
        <w:outlineLvl w:val="2"/>
        <w:rPr>
          <w:rFonts w:ascii="幼圆" w:eastAsia="幼圆" w:hAnsi="幼圆" w:cs="幼圆" w:hint="eastAsia"/>
          <w:b/>
          <w:bCs/>
          <w:sz w:val="24"/>
          <w:szCs w:val="24"/>
        </w:rPr>
      </w:pPr>
      <w:bookmarkStart w:id="48" w:name="_Toc67390249"/>
      <w:bookmarkStart w:id="49" w:name="_Toc66736790"/>
      <w:bookmarkStart w:id="50" w:name="_Toc67389926"/>
      <w:bookmarkStart w:id="51" w:name="_Toc68584235"/>
      <w:bookmarkStart w:id="52" w:name="_Toc69200346"/>
      <w:bookmarkStart w:id="53" w:name="_Toc68075439"/>
      <w:bookmarkStart w:id="54" w:name="_Toc67390604"/>
      <w:bookmarkStart w:id="55" w:name="_Toc21733"/>
      <w:bookmarkStart w:id="56" w:name="_Toc67390729"/>
      <w:bookmarkStart w:id="57" w:name="_Toc66734962"/>
      <w:bookmarkStart w:id="58" w:name="_Toc66737203"/>
      <w:bookmarkStart w:id="59" w:name="_Toc22357"/>
      <w:bookmarkStart w:id="60" w:name="_Toc70010883"/>
      <w:bookmarkStart w:id="61" w:name="_Toc66736131"/>
      <w:bookmarkStart w:id="62" w:name="_Toc69200251"/>
      <w:bookmarkStart w:id="63" w:name="_Toc70010730"/>
      <w:r>
        <w:rPr>
          <w:rFonts w:ascii="幼圆" w:eastAsia="幼圆" w:hAnsi="幼圆" w:cs="幼圆" w:hint="eastAsia"/>
          <w:b/>
          <w:bCs/>
          <w:sz w:val="24"/>
          <w:szCs w:val="24"/>
          <w:lang w:val="zh-CN" w:eastAsia="zh-CN" w:bidi="zh-CN"/>
        </w:rPr>
        <w:t>1.1.2 研究意义</w:t>
      </w:r>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p>
    <w:p>
      <w:pPr>
        <w:keepNext w:val="0"/>
        <w:keepLines w:val="0"/>
        <w:kinsoku/>
        <w:wordWrap/>
        <w:overflowPunct/>
        <w:topLinePunct w:val="0"/>
        <w:autoSpaceDE w:val="0"/>
        <w:autoSpaceDN w:val="0"/>
        <w:bidi w:val="0"/>
        <w:adjustRightInd/>
        <w:snapToGrid/>
        <w:spacing w:before="120" w:beforeLines="50" w:after="120" w:afterLines="50" w:line="440" w:lineRule="atLeast"/>
        <w:jc w:val="left"/>
        <w:textAlignment w:val="auto"/>
        <w:rPr>
          <w:rFonts w:ascii="幼圆" w:eastAsia="幼圆" w:hAnsi="幼圆" w:cs="幼圆" w:hint="eastAsia"/>
          <w:sz w:val="24"/>
          <w:szCs w:val="24"/>
        </w:rPr>
      </w:pPr>
      <w:r>
        <w:rPr>
          <w:rFonts w:ascii="幼圆" w:eastAsia="幼圆" w:hAnsi="幼圆" w:cs="幼圆" w:hint="eastAsia"/>
          <w:sz w:val="24"/>
          <w:szCs w:val="24"/>
        </w:rPr>
        <w:t>1.1.2.1 理论意义</w:t>
      </w:r>
    </w:p>
    <w:p>
      <w:pPr>
        <w:keepNext w:val="0"/>
        <w:keepLines w:val="0"/>
        <w:kinsoku/>
        <w:wordWrap/>
        <w:overflowPunct/>
        <w:topLinePunct w:val="0"/>
        <w:autoSpaceDE w:val="0"/>
        <w:autoSpaceDN w:val="0"/>
        <w:bidi w:val="0"/>
        <w:adjustRightInd/>
        <w:snapToGrid/>
        <w:spacing w:line="440" w:lineRule="atLeast"/>
        <w:ind w:firstLine="480" w:firstLineChars="200"/>
        <w:jc w:val="left"/>
        <w:textAlignment w:val="auto"/>
        <w:rPr>
          <w:rFonts w:ascii="幼圆" w:eastAsia="幼圆" w:hAnsi="幼圆" w:cs="幼圆" w:hint="eastAsia"/>
          <w:sz w:val="24"/>
          <w:szCs w:val="24"/>
        </w:rPr>
      </w:pPr>
      <w:r>
        <w:rPr>
          <w:rFonts w:ascii="幼圆" w:eastAsia="幼圆" w:hAnsi="幼圆" w:cs="幼圆" w:hint="eastAsia"/>
          <w:sz w:val="24"/>
          <w:szCs w:val="24"/>
        </w:rPr>
        <w:t>企业绩效评价有利于投资者全面了解企业的经营情况，并能对企业相关经营行为进行监督。EVA作为一种比较有效的管理工具，可以有效反应企业的绩效和企业价值管理情况。目前国内对</w:t>
      </w:r>
      <w:r>
        <w:rPr>
          <w:rFonts w:ascii="幼圆" w:eastAsia="幼圆" w:hAnsi="幼圆" w:cs="幼圆" w:hint="eastAsia"/>
          <w:sz w:val="24"/>
          <w:szCs w:val="24"/>
          <w:lang w:eastAsia="zh-CN"/>
        </w:rPr>
        <w:t>谷物燕麦品</w:t>
      </w:r>
      <w:r>
        <w:rPr>
          <w:rFonts w:ascii="幼圆" w:eastAsia="幼圆" w:hAnsi="幼圆" w:cs="幼圆" w:hint="eastAsia"/>
          <w:sz w:val="24"/>
          <w:szCs w:val="24"/>
        </w:rPr>
        <w:t>企业进行EVA绩效评价的案例研究并不多见，本文基于EVA对</w:t>
      </w:r>
      <w:r>
        <w:rPr>
          <w:rFonts w:ascii="幼圆" w:eastAsia="幼圆" w:hAnsi="幼圆" w:cs="幼圆" w:hint="eastAsia"/>
          <w:sz w:val="24"/>
          <w:szCs w:val="24"/>
          <w:lang w:eastAsia="zh-CN"/>
        </w:rPr>
        <w:t>桂林西麦食品</w:t>
      </w:r>
      <w:r>
        <w:rPr>
          <w:rFonts w:ascii="幼圆" w:eastAsia="幼圆" w:hAnsi="幼圆" w:cs="幼圆" w:hint="eastAsia"/>
          <w:sz w:val="24"/>
          <w:szCs w:val="24"/>
        </w:rPr>
        <w:t>进行绩效评价，在一定程度上可以丰富EVA绩效评价方法的研究。</w:t>
      </w:r>
    </w:p>
    <w:p>
      <w:pPr>
        <w:keepNext w:val="0"/>
        <w:keepLines w:val="0"/>
        <w:kinsoku/>
        <w:wordWrap/>
        <w:overflowPunct/>
        <w:topLinePunct w:val="0"/>
        <w:autoSpaceDE w:val="0"/>
        <w:autoSpaceDN w:val="0"/>
        <w:bidi w:val="0"/>
        <w:adjustRightInd/>
        <w:snapToGrid/>
        <w:spacing w:before="120" w:beforeLines="50" w:after="120" w:afterLines="50" w:line="440" w:lineRule="atLeast"/>
        <w:jc w:val="left"/>
        <w:textAlignment w:val="auto"/>
        <w:rPr>
          <w:rFonts w:ascii="幼圆" w:eastAsia="幼圆" w:hAnsi="幼圆" w:cs="幼圆" w:hint="eastAsia"/>
          <w:sz w:val="24"/>
          <w:szCs w:val="24"/>
        </w:rPr>
      </w:pPr>
      <w:r>
        <w:rPr>
          <w:rFonts w:ascii="幼圆" w:eastAsia="幼圆" w:hAnsi="幼圆" w:cs="幼圆" w:hint="eastAsia"/>
          <w:sz w:val="24"/>
          <w:szCs w:val="24"/>
        </w:rPr>
        <w:t>1.1.2.2 现实意义</w:t>
      </w:r>
    </w:p>
    <w:p>
      <w:pPr>
        <w:keepNext w:val="0"/>
        <w:keepLines w:val="0"/>
        <w:kinsoku/>
        <w:wordWrap/>
        <w:overflowPunct/>
        <w:topLinePunct w:val="0"/>
        <w:autoSpaceDE w:val="0"/>
        <w:autoSpaceDN w:val="0"/>
        <w:bidi w:val="0"/>
        <w:adjustRightInd/>
        <w:snapToGrid/>
        <w:spacing w:line="440" w:lineRule="atLeast"/>
        <w:ind w:firstLine="480" w:firstLineChars="200"/>
        <w:jc w:val="left"/>
        <w:textAlignment w:val="auto"/>
        <w:rPr>
          <w:rFonts w:ascii="幼圆" w:eastAsia="幼圆" w:hAnsi="幼圆" w:cs="幼圆" w:hint="eastAsia"/>
          <w:sz w:val="24"/>
          <w:szCs w:val="24"/>
        </w:rPr>
      </w:pPr>
      <w:r>
        <w:rPr>
          <w:rFonts w:ascii="幼圆" w:eastAsia="幼圆" w:hAnsi="幼圆" w:cs="幼圆" w:hint="eastAsia"/>
          <w:sz w:val="24"/>
          <w:szCs w:val="24"/>
        </w:rPr>
        <w:t>本文通过运用EVA绩效评价方法对</w:t>
      </w:r>
      <w:r>
        <w:rPr>
          <w:rFonts w:ascii="幼圆" w:eastAsia="幼圆" w:hAnsi="幼圆" w:cs="幼圆" w:hint="eastAsia"/>
          <w:sz w:val="24"/>
          <w:szCs w:val="24"/>
          <w:lang w:eastAsia="zh-CN"/>
        </w:rPr>
        <w:t>桂林西麦食品</w:t>
      </w:r>
      <w:r>
        <w:rPr>
          <w:rFonts w:ascii="幼圆" w:eastAsia="幼圆" w:hAnsi="幼圆" w:cs="幼圆" w:hint="eastAsia"/>
          <w:sz w:val="24"/>
          <w:szCs w:val="24"/>
        </w:rPr>
        <w:t>进行绩效分析，可以有效了解企业经营情况，明确企业在行业中的地位，更准确的反映企业价值创造能力。同时，可以为行业内其他企业提升绩效评价水平提供借鉴。</w:t>
      </w:r>
    </w:p>
    <w:p>
      <w:pPr>
        <w:keepNext w:val="0"/>
        <w:keepLines w:val="0"/>
        <w:tabs>
          <w:tab w:val="left" w:pos="6340"/>
        </w:tabs>
        <w:kinsoku/>
        <w:wordWrap/>
        <w:overflowPunct/>
        <w:topLinePunct w:val="0"/>
        <w:autoSpaceDE w:val="0"/>
        <w:autoSpaceDN w:val="0"/>
        <w:bidi w:val="0"/>
        <w:adjustRightInd/>
        <w:snapToGrid/>
        <w:spacing w:before="120" w:beforeLines="50" w:after="120" w:afterLines="50" w:line="440" w:lineRule="atLeast"/>
        <w:jc w:val="left"/>
        <w:textAlignment w:val="auto"/>
        <w:outlineLvl w:val="1"/>
        <w:rPr>
          <w:rFonts w:ascii="幼圆" w:eastAsia="幼圆" w:hAnsi="幼圆" w:cs="幼圆" w:hint="eastAsia"/>
          <w:b/>
          <w:sz w:val="30"/>
        </w:rPr>
      </w:pPr>
      <w:bookmarkStart w:id="64" w:name="_Toc66734963"/>
      <w:bookmarkStart w:id="65" w:name="_Toc66736791"/>
      <w:bookmarkStart w:id="66" w:name="_Toc66737204"/>
      <w:bookmarkStart w:id="67" w:name="_Toc66736132"/>
      <w:bookmarkStart w:id="68" w:name="_Toc68584236"/>
      <w:bookmarkStart w:id="69" w:name="_Toc69200252"/>
      <w:bookmarkStart w:id="70" w:name="_Toc15905"/>
      <w:bookmarkStart w:id="71" w:name="_Toc68075440"/>
      <w:bookmarkStart w:id="72" w:name="_Toc69200347"/>
      <w:bookmarkStart w:id="73" w:name="_Toc67390250"/>
      <w:bookmarkStart w:id="74" w:name="_Toc70010731"/>
      <w:bookmarkStart w:id="75" w:name="_Toc67390605"/>
      <w:bookmarkStart w:id="76" w:name="_Toc10574"/>
      <w:bookmarkStart w:id="77" w:name="_Toc67389927"/>
      <w:bookmarkStart w:id="78" w:name="_Toc70010884"/>
      <w:bookmarkStart w:id="79" w:name="_Toc67390730"/>
      <w:r>
        <w:rPr>
          <w:rFonts w:ascii="幼圆" w:eastAsia="幼圆" w:hAnsi="幼圆" w:cs="幼圆" w:hint="eastAsia"/>
          <w:b/>
          <w:sz w:val="30"/>
        </w:rPr>
        <w:t xml:space="preserve">1.2 </w:t>
      </w:r>
      <w:bookmarkEnd w:id="64"/>
      <w:bookmarkEnd w:id="65"/>
      <w:bookmarkEnd w:id="66"/>
      <w:bookmarkEnd w:id="67"/>
      <w:r>
        <w:rPr>
          <w:rFonts w:ascii="幼圆" w:eastAsia="幼圆" w:hAnsi="幼圆" w:cs="幼圆" w:hint="eastAsia"/>
          <w:b/>
          <w:sz w:val="30"/>
        </w:rPr>
        <w:t>国内外研究现状</w:t>
      </w:r>
      <w:bookmarkEnd w:id="68"/>
      <w:bookmarkEnd w:id="69"/>
      <w:bookmarkEnd w:id="70"/>
      <w:bookmarkEnd w:id="71"/>
      <w:bookmarkEnd w:id="72"/>
      <w:bookmarkEnd w:id="73"/>
      <w:bookmarkEnd w:id="74"/>
      <w:bookmarkEnd w:id="75"/>
      <w:bookmarkEnd w:id="76"/>
      <w:bookmarkEnd w:id="77"/>
      <w:bookmarkEnd w:id="78"/>
      <w:bookmarkEnd w:id="79"/>
    </w:p>
    <w:p>
      <w:pPr>
        <w:keepNext w:val="0"/>
        <w:keepLines w:val="0"/>
        <w:kinsoku/>
        <w:wordWrap/>
        <w:overflowPunct/>
        <w:topLinePunct w:val="0"/>
        <w:autoSpaceDE w:val="0"/>
        <w:autoSpaceDN w:val="0"/>
        <w:bidi w:val="0"/>
        <w:adjustRightInd/>
        <w:snapToGrid/>
        <w:spacing w:before="120" w:beforeLines="50" w:after="120" w:afterLines="50" w:line="440" w:lineRule="atLeast"/>
        <w:jc w:val="left"/>
        <w:textAlignment w:val="auto"/>
        <w:outlineLvl w:val="2"/>
        <w:rPr>
          <w:rFonts w:ascii="幼圆" w:eastAsia="幼圆" w:hAnsi="幼圆" w:cs="幼圆" w:hint="eastAsia"/>
          <w:b/>
          <w:bCs/>
          <w:sz w:val="24"/>
          <w:szCs w:val="24"/>
        </w:rPr>
      </w:pPr>
      <w:bookmarkStart w:id="80" w:name="_Toc66737205"/>
      <w:bookmarkStart w:id="81" w:name="_Toc66734964"/>
      <w:bookmarkStart w:id="82" w:name="_Toc66736133"/>
      <w:bookmarkStart w:id="83" w:name="_Toc66736792"/>
      <w:bookmarkStart w:id="84" w:name="_Toc67390731"/>
      <w:bookmarkStart w:id="85" w:name="_Toc3416"/>
      <w:bookmarkStart w:id="86" w:name="_Toc68075441"/>
      <w:bookmarkStart w:id="87" w:name="_Toc67390251"/>
      <w:bookmarkStart w:id="88" w:name="_Toc28290"/>
      <w:bookmarkStart w:id="89" w:name="_Toc70010885"/>
      <w:bookmarkStart w:id="90" w:name="_Toc67390606"/>
      <w:bookmarkStart w:id="91" w:name="_Toc68584237"/>
      <w:bookmarkStart w:id="92" w:name="_Toc67389928"/>
      <w:bookmarkStart w:id="93" w:name="_Toc69200348"/>
      <w:bookmarkStart w:id="94" w:name="_Toc69200253"/>
      <w:bookmarkStart w:id="95" w:name="_Toc70010732"/>
      <w:r>
        <w:rPr>
          <w:rFonts w:ascii="幼圆" w:eastAsia="幼圆" w:hAnsi="幼圆" w:cs="幼圆" w:hint="eastAsia"/>
          <w:b/>
          <w:bCs/>
          <w:sz w:val="24"/>
          <w:szCs w:val="24"/>
          <w:lang w:val="zh-CN" w:eastAsia="zh-CN" w:bidi="zh-CN"/>
        </w:rPr>
        <w:t>1.2.1 国外</w:t>
      </w:r>
      <w:bookmarkEnd w:id="80"/>
      <w:bookmarkEnd w:id="81"/>
      <w:bookmarkEnd w:id="82"/>
      <w:bookmarkEnd w:id="83"/>
      <w:r>
        <w:rPr>
          <w:rFonts w:ascii="幼圆" w:eastAsia="幼圆" w:hAnsi="幼圆" w:cs="幼圆" w:hint="eastAsia"/>
          <w:b/>
          <w:bCs/>
          <w:sz w:val="24"/>
          <w:szCs w:val="24"/>
          <w:lang w:val="zh-CN" w:eastAsia="zh-CN" w:bidi="zh-CN"/>
        </w:rPr>
        <w:t>研究现状</w:t>
      </w:r>
      <w:bookmarkEnd w:id="84"/>
      <w:bookmarkEnd w:id="85"/>
      <w:bookmarkEnd w:id="86"/>
      <w:bookmarkEnd w:id="87"/>
      <w:bookmarkEnd w:id="88"/>
      <w:bookmarkEnd w:id="89"/>
      <w:bookmarkEnd w:id="90"/>
      <w:bookmarkEnd w:id="91"/>
      <w:bookmarkEnd w:id="92"/>
      <w:bookmarkEnd w:id="93"/>
      <w:bookmarkEnd w:id="94"/>
      <w:bookmarkEnd w:id="95"/>
    </w:p>
    <w:p>
      <w:pPr>
        <w:keepNext w:val="0"/>
        <w:keepLines w:val="0"/>
        <w:kinsoku/>
        <w:wordWrap/>
        <w:overflowPunct/>
        <w:topLinePunct w:val="0"/>
        <w:autoSpaceDE w:val="0"/>
        <w:autoSpaceDN w:val="0"/>
        <w:bidi w:val="0"/>
        <w:adjustRightInd/>
        <w:snapToGrid/>
        <w:spacing w:before="120" w:beforeLines="50" w:after="120" w:afterLines="50" w:line="440" w:lineRule="atLeast"/>
        <w:jc w:val="left"/>
        <w:textAlignment w:val="auto"/>
        <w:rPr>
          <w:rFonts w:ascii="幼圆" w:eastAsia="幼圆" w:hAnsi="幼圆" w:cs="幼圆" w:hint="eastAsia"/>
          <w:sz w:val="24"/>
          <w:szCs w:val="24"/>
        </w:rPr>
      </w:pPr>
      <w:r>
        <w:rPr>
          <w:rFonts w:ascii="幼圆" w:eastAsia="幼圆" w:hAnsi="幼圆" w:cs="幼圆" w:hint="eastAsia"/>
          <w:sz w:val="24"/>
          <w:szCs w:val="24"/>
        </w:rPr>
        <w:t>1.2.1.1 企业绩效评价研究现状</w:t>
      </w:r>
    </w:p>
    <w:p>
      <w:pPr>
        <w:keepNext w:val="0"/>
        <w:keepLines w:val="0"/>
        <w:kinsoku/>
        <w:wordWrap/>
        <w:overflowPunct/>
        <w:topLinePunct w:val="0"/>
        <w:autoSpaceDE w:val="0"/>
        <w:autoSpaceDN w:val="0"/>
        <w:bidi w:val="0"/>
        <w:adjustRightInd/>
        <w:snapToGrid/>
        <w:spacing w:line="440" w:lineRule="atLeast"/>
        <w:ind w:firstLine="480" w:firstLineChars="200"/>
        <w:jc w:val="left"/>
        <w:textAlignment w:val="auto"/>
        <w:rPr>
          <w:rFonts w:ascii="幼圆" w:eastAsia="幼圆" w:hAnsi="幼圆" w:cs="幼圆" w:hint="eastAsia"/>
          <w:sz w:val="24"/>
          <w:szCs w:val="24"/>
        </w:rPr>
        <w:sectPr>
          <w:footerReference w:type="default" r:id="rId6"/>
          <w:type w:val="continuous"/>
          <w:pgSz w:w="11910" w:h="16838"/>
          <w:pgMar w:top="1600" w:right="1120" w:bottom="1180" w:left="1260" w:header="720" w:footer="720" w:gutter="0"/>
          <w:pgNumType w:fmt="decimal" w:start="3"/>
          <w:cols w:space="708"/>
        </w:sectPr>
      </w:pPr>
    </w:p>
    <w:p>
      <w:pPr>
        <w:keepNext w:val="0"/>
        <w:keepLines w:val="0"/>
        <w:kinsoku/>
        <w:wordWrap/>
        <w:overflowPunct/>
        <w:topLinePunct w:val="0"/>
        <w:autoSpaceDE w:val="0"/>
        <w:autoSpaceDN w:val="0"/>
        <w:bidi w:val="0"/>
        <w:adjustRightInd/>
        <w:snapToGrid/>
        <w:spacing w:line="440" w:lineRule="atLeast"/>
        <w:ind w:firstLine="480" w:firstLineChars="200"/>
        <w:jc w:val="left"/>
        <w:textAlignment w:val="auto"/>
        <w:rPr>
          <w:rFonts w:ascii="幼圆" w:eastAsia="幼圆" w:hAnsi="幼圆" w:cs="幼圆" w:hint="eastAsia"/>
          <w:sz w:val="24"/>
          <w:szCs w:val="24"/>
        </w:rPr>
      </w:pPr>
      <w:r>
        <w:rPr>
          <w:rFonts w:ascii="幼圆" w:eastAsia="幼圆" w:hAnsi="幼圆" w:cs="幼圆" w:hint="eastAsia"/>
          <w:sz w:val="24"/>
          <w:szCs w:val="24"/>
        </w:rPr>
        <w:t>国外对企业绩效评价研究已有百年历史。自杜邦财务分析系统问世以来，有关财务绩效评价的相关研究日益丰富。Dufera-Meta</w:t>
      </w:r>
      <w:r>
        <w:rPr>
          <w:rFonts w:ascii="幼圆" w:eastAsia="幼圆" w:hAnsi="幼圆" w:cs="幼圆" w:hint="eastAsia"/>
          <w:sz w:val="24"/>
          <w:szCs w:val="24"/>
        </w:rPr>
        <w:t xml:space="preserve"> A（2012）认为财务绩效对于企业发展有重要影响，进行绩效评价有利于发现企业优势，提高企业竞争力</w:t>
      </w:r>
      <w:r>
        <w:rPr>
          <w:rFonts w:ascii="幼圆" w:eastAsia="幼圆" w:hAnsi="幼圆" w:cs="幼圆" w:hint="eastAsia"/>
          <w:sz w:val="24"/>
          <w:szCs w:val="24"/>
          <w:vertAlign w:val="superscript"/>
        </w:rPr>
        <w:t>[1]</w:t>
      </w:r>
      <w:r>
        <w:rPr>
          <w:rFonts w:ascii="幼圆" w:eastAsia="幼圆" w:hAnsi="幼圆" w:cs="幼圆" w:hint="eastAsia"/>
          <w:sz w:val="24"/>
          <w:szCs w:val="24"/>
        </w:rPr>
        <w:t>。Bulgurcu B（2012）指出，客观的财务绩效评价方法可以使企业认识到自身的不足，及时发现隐藏的危机，有利于企业的长期健康发展</w:t>
      </w:r>
      <w:r>
        <w:rPr>
          <w:rFonts w:ascii="幼圆" w:eastAsia="幼圆" w:hAnsi="幼圆" w:cs="幼圆" w:hint="eastAsia"/>
          <w:sz w:val="24"/>
          <w:szCs w:val="24"/>
          <w:vertAlign w:val="superscript"/>
        </w:rPr>
        <w:t>[2]</w:t>
      </w:r>
      <w:r>
        <w:rPr>
          <w:rFonts w:ascii="幼圆" w:eastAsia="幼圆" w:hAnsi="幼圆" w:cs="幼圆" w:hint="eastAsia"/>
          <w:color w:val="auto"/>
          <w:sz w:val="24"/>
          <w:szCs w:val="24"/>
          <w:highlight w:val="none"/>
          <w:lang w:val="en-US" w:eastAsia="zh-CN"/>
        </w:rPr>
        <w:t>(刘念露 ,黄伟毅)</w:t>
      </w:r>
      <w:r>
        <w:rPr>
          <w:rFonts w:ascii="幼圆" w:eastAsia="幼圆" w:hAnsi="幼圆" w:cs="幼圆" w:hint="eastAsia"/>
          <w:sz w:val="24"/>
          <w:szCs w:val="24"/>
        </w:rPr>
        <w:t>。Xiong Huanhuan et al.（</w:t>
      </w:r>
      <w:r>
        <w:rPr>
          <w:rFonts w:ascii="幼圆" w:eastAsia="幼圆" w:hAnsi="幼圆" w:cs="幼圆" w:hint="eastAsia"/>
          <w:sz w:val="24"/>
          <w:szCs w:val="24"/>
          <w:lang w:eastAsia="zh-CN"/>
        </w:rPr>
        <w:t>2021</w:t>
      </w:r>
      <w:r>
        <w:rPr>
          <w:rFonts w:ascii="幼圆" w:eastAsia="幼圆" w:hAnsi="幼圆" w:cs="幼圆" w:hint="eastAsia"/>
          <w:sz w:val="24"/>
          <w:szCs w:val="24"/>
        </w:rPr>
        <w:t>）在环境价值链的新视角下，建立涵盖金融、社会、生态三个不同维度的企业经营绩效评价体系，认为提高企业综合绩效应兼顾三个维度之间的平衡</w:t>
      </w:r>
      <w:r>
        <w:rPr>
          <w:rFonts w:ascii="幼圆" w:eastAsia="幼圆" w:hAnsi="幼圆" w:cs="幼圆" w:hint="eastAsia"/>
          <w:sz w:val="24"/>
          <w:szCs w:val="24"/>
          <w:vertAlign w:val="superscript"/>
        </w:rPr>
        <w:t>[3]</w:t>
      </w:r>
      <w:r>
        <w:rPr>
          <w:rFonts w:ascii="幼圆" w:eastAsia="幼圆" w:hAnsi="幼圆" w:cs="幼圆" w:hint="eastAsia"/>
          <w:sz w:val="24"/>
          <w:szCs w:val="24"/>
        </w:rPr>
        <w:t>。</w:t>
      </w:r>
    </w:p>
    <w:p>
      <w:pPr>
        <w:keepNext w:val="0"/>
        <w:keepLines w:val="0"/>
        <w:kinsoku/>
        <w:wordWrap/>
        <w:overflowPunct/>
        <w:topLinePunct w:val="0"/>
        <w:autoSpaceDE w:val="0"/>
        <w:autoSpaceDN w:val="0"/>
        <w:bidi w:val="0"/>
        <w:adjustRightInd/>
        <w:snapToGrid/>
        <w:spacing w:before="120" w:beforeLines="50" w:after="120" w:afterLines="50" w:line="440" w:lineRule="atLeast"/>
        <w:jc w:val="left"/>
        <w:textAlignment w:val="auto"/>
        <w:rPr>
          <w:rFonts w:ascii="幼圆" w:eastAsia="幼圆" w:hAnsi="幼圆" w:cs="幼圆" w:hint="eastAsia"/>
          <w:sz w:val="24"/>
          <w:szCs w:val="24"/>
        </w:rPr>
      </w:pPr>
      <w:r>
        <w:rPr>
          <w:rFonts w:ascii="幼圆" w:eastAsia="幼圆" w:hAnsi="幼圆" w:cs="幼圆" w:hint="eastAsia"/>
          <w:sz w:val="24"/>
          <w:szCs w:val="24"/>
        </w:rPr>
        <w:t>1.2.1.2 EVA绩效评价研究现状</w:t>
      </w:r>
    </w:p>
    <w:p>
      <w:pPr>
        <w:keepNext w:val="0"/>
        <w:keepLines w:val="0"/>
        <w:kinsoku/>
        <w:wordWrap/>
        <w:overflowPunct/>
        <w:topLinePunct w:val="0"/>
        <w:autoSpaceDE w:val="0"/>
        <w:autoSpaceDN w:val="0"/>
        <w:bidi w:val="0"/>
        <w:adjustRightInd/>
        <w:snapToGrid/>
        <w:spacing w:line="440" w:lineRule="atLeast"/>
        <w:ind w:firstLine="480" w:firstLineChars="200"/>
        <w:jc w:val="left"/>
        <w:textAlignment w:val="auto"/>
        <w:rPr>
          <w:rFonts w:ascii="幼圆" w:eastAsia="幼圆" w:hAnsi="幼圆" w:cs="幼圆" w:hint="eastAsia"/>
          <w:sz w:val="24"/>
          <w:szCs w:val="24"/>
        </w:rPr>
      </w:pPr>
      <w:r>
        <w:rPr>
          <w:rFonts w:ascii="幼圆" w:eastAsia="幼圆" w:hAnsi="幼圆" w:cs="幼圆" w:hint="eastAsia"/>
          <w:sz w:val="24"/>
          <w:szCs w:val="24"/>
        </w:rPr>
        <w:t>1982年提出的经济增加值概念因其科学性和实践有效性受到世界各行业广泛认可，也取得了丰富的研究成果。Wallace et al.（2007）认为EVA能更真实地反应企业的绩效，并以此作为经营管理的基础，有利于企业价值的创造和提升</w:t>
      </w:r>
      <w:r>
        <w:rPr>
          <w:rFonts w:ascii="幼圆" w:eastAsia="幼圆" w:hAnsi="幼圆" w:cs="幼圆" w:hint="eastAsia"/>
          <w:sz w:val="24"/>
          <w:szCs w:val="24"/>
          <w:vertAlign w:val="superscript"/>
        </w:rPr>
        <w:t>[4]</w:t>
      </w:r>
      <w:r>
        <w:rPr>
          <w:rFonts w:ascii="幼圆" w:eastAsia="幼圆" w:hAnsi="幼圆" w:cs="幼圆" w:hint="eastAsia"/>
          <w:color w:val="auto"/>
          <w:sz w:val="24"/>
          <w:szCs w:val="24"/>
          <w:highlight w:val="none"/>
          <w:lang w:val="en-US" w:eastAsia="zh-CN"/>
        </w:rPr>
        <w:t>(周馨怡, 吴欣然, 郑泽,2020)</w:t>
      </w:r>
      <w:r>
        <w:rPr>
          <w:rFonts w:ascii="幼圆" w:eastAsia="幼圆" w:hAnsi="幼圆" w:cs="幼圆" w:hint="eastAsia"/>
          <w:sz w:val="24"/>
          <w:szCs w:val="24"/>
        </w:rPr>
        <w:t>。Founraine（2008）以斯腾斯特年报中的1000家美国公司为样本，研究了EVA在投资决策上的作用，结果显示EVA在筛选和评价投资项目时具有一定的有效性和可信度</w:t>
      </w:r>
      <w:r>
        <w:rPr>
          <w:rFonts w:ascii="幼圆" w:eastAsia="幼圆" w:hAnsi="幼圆" w:cs="幼圆" w:hint="eastAsia"/>
          <w:sz w:val="24"/>
          <w:szCs w:val="24"/>
          <w:vertAlign w:val="superscript"/>
        </w:rPr>
        <w:t>[5]</w:t>
      </w:r>
      <w:r>
        <w:rPr>
          <w:rFonts w:ascii="幼圆" w:eastAsia="幼圆" w:hAnsi="幼圆" w:cs="幼圆" w:hint="eastAsia"/>
          <w:sz w:val="24"/>
          <w:szCs w:val="24"/>
        </w:rPr>
        <w:t>。Robert Kleinman（</w:t>
      </w:r>
      <w:r>
        <w:rPr>
          <w:rFonts w:ascii="幼圆" w:eastAsia="幼圆" w:hAnsi="幼圆" w:cs="幼圆" w:hint="eastAsia"/>
          <w:sz w:val="24"/>
          <w:szCs w:val="24"/>
          <w:lang w:eastAsia="zh-CN"/>
        </w:rPr>
        <w:t>2016</w:t>
      </w:r>
      <w:r>
        <w:rPr>
          <w:rFonts w:ascii="幼圆" w:eastAsia="幼圆" w:hAnsi="幼圆" w:cs="幼圆" w:hint="eastAsia"/>
          <w:sz w:val="24"/>
          <w:szCs w:val="24"/>
        </w:rPr>
        <w:t>）以实施 EVA绩效评价的公司作为实验组，其他公司作为对照组，通过对比两组4年的股利回报，发现EVA绩效评价对投资回报具有正向影响</w:t>
      </w:r>
      <w:r>
        <w:rPr>
          <w:rFonts w:ascii="幼圆" w:eastAsia="幼圆" w:hAnsi="幼圆" w:cs="幼圆" w:hint="eastAsia"/>
          <w:sz w:val="24"/>
          <w:szCs w:val="24"/>
          <w:vertAlign w:val="superscript"/>
        </w:rPr>
        <w:t>[6]</w:t>
      </w:r>
      <w:r>
        <w:rPr>
          <w:rFonts w:ascii="幼圆" w:eastAsia="幼圆" w:hAnsi="幼圆" w:cs="幼圆" w:hint="eastAsia"/>
          <w:color w:val="auto"/>
          <w:sz w:val="24"/>
          <w:szCs w:val="24"/>
          <w:highlight w:val="none"/>
          <w:lang w:val="en-US" w:eastAsia="zh-CN"/>
        </w:rPr>
        <w:t>(孙逸轩, 曹佳琪)</w:t>
      </w:r>
      <w:r>
        <w:rPr>
          <w:rFonts w:ascii="幼圆" w:eastAsia="幼圆" w:hAnsi="幼圆" w:cs="幼圆" w:hint="eastAsia"/>
          <w:sz w:val="24"/>
          <w:szCs w:val="24"/>
        </w:rPr>
        <w:t>。Eddie Hui et al.（</w:t>
      </w:r>
      <w:r>
        <w:rPr>
          <w:rFonts w:ascii="幼圆" w:eastAsia="幼圆" w:hAnsi="幼圆" w:cs="幼圆" w:hint="eastAsia"/>
          <w:sz w:val="24"/>
          <w:szCs w:val="24"/>
          <w:lang w:eastAsia="zh-CN"/>
        </w:rPr>
        <w:t>2017</w:t>
      </w:r>
      <w:r>
        <w:rPr>
          <w:rFonts w:ascii="幼圆" w:eastAsia="幼圆" w:hAnsi="幼圆" w:cs="幼圆" w:hint="eastAsia"/>
          <w:sz w:val="24"/>
          <w:szCs w:val="24"/>
        </w:rPr>
        <w:t>）通过对18家汽车企业的研究，发现运用EVA绩效评价的企业能够更全面的了解自身经营性质和市场特征，进而改善企业经营情况和盈利能力</w:t>
      </w:r>
      <w:r>
        <w:rPr>
          <w:rFonts w:ascii="幼圆" w:eastAsia="幼圆" w:hAnsi="幼圆" w:cs="幼圆" w:hint="eastAsia"/>
          <w:sz w:val="24"/>
          <w:szCs w:val="24"/>
          <w:vertAlign w:val="superscript"/>
        </w:rPr>
        <w:t>[7]</w:t>
      </w:r>
      <w:r>
        <w:rPr>
          <w:rFonts w:ascii="幼圆" w:eastAsia="幼圆" w:hAnsi="幼圆" w:cs="幼圆" w:hint="eastAsia"/>
          <w:sz w:val="24"/>
          <w:szCs w:val="24"/>
        </w:rPr>
        <w:t>。Ibrahim Hafid（</w:t>
      </w:r>
      <w:r>
        <w:rPr>
          <w:rFonts w:ascii="幼圆" w:eastAsia="幼圆" w:hAnsi="幼圆" w:cs="幼圆" w:hint="eastAsia"/>
          <w:sz w:val="24"/>
          <w:szCs w:val="24"/>
          <w:lang w:eastAsia="zh-CN"/>
        </w:rPr>
        <w:t>2020</w:t>
      </w:r>
      <w:r>
        <w:rPr>
          <w:rFonts w:ascii="幼圆" w:eastAsia="幼圆" w:hAnsi="幼圆" w:cs="幼圆" w:hint="eastAsia"/>
          <w:sz w:val="24"/>
          <w:szCs w:val="24"/>
        </w:rPr>
        <w:t>）认为企业进行EVA绩效评价时，企业经营者会选择投资回报率高的项目，以提升企业的盈利能力</w:t>
      </w:r>
      <w:r>
        <w:rPr>
          <w:rFonts w:ascii="幼圆" w:eastAsia="幼圆" w:hAnsi="幼圆" w:cs="幼圆" w:hint="eastAsia"/>
          <w:sz w:val="24"/>
          <w:szCs w:val="24"/>
          <w:vertAlign w:val="superscript"/>
        </w:rPr>
        <w:t>[8]</w:t>
      </w:r>
      <w:r>
        <w:rPr>
          <w:rFonts w:ascii="幼圆" w:eastAsia="幼圆" w:hAnsi="幼圆" w:cs="幼圆" w:hint="eastAsia"/>
          <w:sz w:val="24"/>
          <w:szCs w:val="24"/>
        </w:rPr>
        <w:t>。</w:t>
      </w:r>
    </w:p>
    <w:p>
      <w:pPr>
        <w:keepNext w:val="0"/>
        <w:keepLines w:val="0"/>
        <w:kinsoku/>
        <w:wordWrap/>
        <w:overflowPunct/>
        <w:topLinePunct w:val="0"/>
        <w:autoSpaceDE w:val="0"/>
        <w:autoSpaceDN w:val="0"/>
        <w:bidi w:val="0"/>
        <w:adjustRightInd/>
        <w:snapToGrid/>
        <w:spacing w:before="120" w:beforeLines="50" w:after="120" w:afterLines="50" w:line="440" w:lineRule="atLeast"/>
        <w:jc w:val="left"/>
        <w:textAlignment w:val="auto"/>
        <w:outlineLvl w:val="2"/>
        <w:rPr>
          <w:rFonts w:ascii="幼圆" w:eastAsia="幼圆" w:hAnsi="幼圆" w:cs="幼圆" w:hint="eastAsia"/>
          <w:b/>
          <w:bCs/>
          <w:sz w:val="24"/>
          <w:szCs w:val="24"/>
        </w:rPr>
      </w:pPr>
      <w:bookmarkStart w:id="96" w:name="_Toc27340"/>
      <w:bookmarkStart w:id="97" w:name="_Toc13384"/>
      <w:r>
        <w:rPr>
          <w:rFonts w:ascii="幼圆" w:eastAsia="幼圆" w:hAnsi="幼圆" w:cs="幼圆" w:hint="eastAsia"/>
          <w:b/>
          <w:bCs/>
          <w:sz w:val="24"/>
          <w:szCs w:val="24"/>
          <w:lang w:val="zh-CN" w:eastAsia="zh-CN" w:bidi="zh-CN"/>
        </w:rPr>
        <w:t>1.2.2 国内研究现状</w:t>
      </w:r>
      <w:bookmarkEnd w:id="96"/>
      <w:bookmarkEnd w:id="97"/>
    </w:p>
    <w:p>
      <w:pPr>
        <w:keepNext w:val="0"/>
        <w:keepLines w:val="0"/>
        <w:kinsoku/>
        <w:wordWrap/>
        <w:overflowPunct/>
        <w:topLinePunct w:val="0"/>
        <w:autoSpaceDE w:val="0"/>
        <w:autoSpaceDN w:val="0"/>
        <w:bidi w:val="0"/>
        <w:adjustRightInd/>
        <w:snapToGrid/>
        <w:spacing w:before="120" w:beforeLines="50" w:after="120" w:afterLines="50" w:line="440" w:lineRule="atLeast"/>
        <w:jc w:val="left"/>
        <w:textAlignment w:val="auto"/>
        <w:rPr>
          <w:rFonts w:ascii="幼圆" w:eastAsia="幼圆" w:hAnsi="幼圆" w:cs="幼圆" w:hint="eastAsia"/>
          <w:sz w:val="24"/>
          <w:szCs w:val="24"/>
        </w:rPr>
      </w:pPr>
      <w:r>
        <w:rPr>
          <w:rFonts w:ascii="幼圆" w:eastAsia="幼圆" w:hAnsi="幼圆" w:cs="幼圆" w:hint="eastAsia"/>
          <w:sz w:val="24"/>
          <w:szCs w:val="24"/>
        </w:rPr>
        <w:t>1.2.2.1 企业绩效评价研究现状</w:t>
      </w:r>
    </w:p>
    <w:p>
      <w:pPr>
        <w:keepNext w:val="0"/>
        <w:keepLines w:val="0"/>
        <w:kinsoku/>
        <w:wordWrap/>
        <w:overflowPunct/>
        <w:topLinePunct w:val="0"/>
        <w:autoSpaceDE w:val="0"/>
        <w:autoSpaceDN w:val="0"/>
        <w:bidi w:val="0"/>
        <w:adjustRightInd/>
        <w:snapToGrid/>
        <w:spacing w:line="440" w:lineRule="atLeast"/>
        <w:ind w:firstLine="480" w:firstLineChars="200"/>
        <w:jc w:val="left"/>
        <w:textAlignment w:val="auto"/>
        <w:rPr>
          <w:rFonts w:ascii="幼圆" w:eastAsia="幼圆" w:hAnsi="幼圆" w:cs="幼圆" w:hint="eastAsia"/>
          <w:sz w:val="24"/>
          <w:szCs w:val="24"/>
        </w:rPr>
      </w:pPr>
      <w:r>
        <w:rPr>
          <w:rFonts w:ascii="幼圆" w:eastAsia="幼圆" w:hAnsi="幼圆" w:cs="幼圆" w:hint="eastAsia"/>
          <w:sz w:val="24"/>
          <w:szCs w:val="24"/>
        </w:rPr>
        <w:t>上世纪八十年代中期，我国开始重视企业绩效评价，并开展相关研究。</w:t>
      </w:r>
    </w:p>
    <w:p>
      <w:pPr>
        <w:keepNext w:val="0"/>
        <w:keepLines w:val="0"/>
        <w:kinsoku/>
        <w:wordWrap/>
        <w:overflowPunct/>
        <w:topLinePunct w:val="0"/>
        <w:autoSpaceDE w:val="0"/>
        <w:autoSpaceDN w:val="0"/>
        <w:bidi w:val="0"/>
        <w:adjustRightInd/>
        <w:snapToGrid/>
        <w:spacing w:line="440" w:lineRule="atLeast"/>
        <w:ind w:firstLine="480" w:firstLineChars="200"/>
        <w:jc w:val="left"/>
        <w:textAlignment w:val="auto"/>
        <w:rPr>
          <w:rFonts w:ascii="幼圆" w:eastAsia="幼圆" w:hAnsi="幼圆" w:cs="幼圆" w:hint="eastAsia"/>
          <w:sz w:val="24"/>
          <w:szCs w:val="24"/>
        </w:rPr>
      </w:pPr>
      <w:r>
        <w:rPr>
          <w:rFonts w:ascii="幼圆" w:eastAsia="幼圆" w:hAnsi="幼圆" w:cs="幼圆" w:hint="eastAsia"/>
          <w:sz w:val="24"/>
          <w:szCs w:val="24"/>
        </w:rPr>
        <w:t>（1）我国绩效评价发展历程相关的研究。</w:t>
      </w:r>
      <w:r>
        <w:rPr>
          <w:rFonts w:ascii="幼圆" w:eastAsia="幼圆" w:hAnsi="幼圆" w:cs="幼圆" w:hint="eastAsia"/>
          <w:sz w:val="24"/>
          <w:szCs w:val="24"/>
          <w:lang w:val="en-US" w:eastAsia="zh-CN"/>
        </w:rPr>
        <w:t>钟泽宇 ,谢欣怡 ,彭晨</w:t>
      </w:r>
      <w:r>
        <w:rPr>
          <w:rFonts w:ascii="幼圆" w:eastAsia="幼圆" w:hAnsi="幼圆" w:cs="幼圆" w:hint="eastAsia"/>
          <w:sz w:val="24"/>
          <w:szCs w:val="24"/>
        </w:rPr>
        <w:t>（</w:t>
      </w:r>
      <w:r>
        <w:rPr>
          <w:rFonts w:ascii="幼圆" w:eastAsia="幼圆" w:hAnsi="幼圆" w:cs="幼圆" w:hint="eastAsia"/>
          <w:sz w:val="24"/>
          <w:szCs w:val="24"/>
          <w:lang w:eastAsia="zh-CN"/>
        </w:rPr>
        <w:t>2016</w:t>
      </w:r>
      <w:r>
        <w:rPr>
          <w:rFonts w:ascii="幼圆" w:eastAsia="幼圆" w:hAnsi="幼圆" w:cs="幼圆" w:hint="eastAsia"/>
          <w:sz w:val="24"/>
          <w:szCs w:val="24"/>
        </w:rPr>
        <w:t>）对当前我国现行的企业绩效评价主流体系进行梳理，分析了我国企业绩效评价中存在的问题，提出完善企业现行绩效评价体系的对策</w:t>
      </w:r>
      <w:r>
        <w:rPr>
          <w:rFonts w:ascii="幼圆" w:eastAsia="幼圆" w:hAnsi="幼圆" w:cs="幼圆" w:hint="eastAsia"/>
          <w:sz w:val="24"/>
          <w:szCs w:val="24"/>
          <w:vertAlign w:val="superscript"/>
        </w:rPr>
        <w:t>[9]</w:t>
      </w:r>
      <w:r>
        <w:rPr>
          <w:rFonts w:ascii="幼圆" w:eastAsia="幼圆" w:hAnsi="幼圆" w:cs="幼圆" w:hint="eastAsia"/>
          <w:sz w:val="24"/>
          <w:szCs w:val="24"/>
        </w:rPr>
        <w:t>。</w:t>
      </w:r>
      <w:r>
        <w:rPr>
          <w:rFonts w:ascii="幼圆" w:eastAsia="幼圆" w:hAnsi="幼圆" w:cs="幼圆" w:hint="eastAsia"/>
          <w:sz w:val="24"/>
          <w:szCs w:val="24"/>
          <w:lang w:val="en-US" w:eastAsia="zh-CN"/>
        </w:rPr>
        <w:t>唐雨菲 ,丁昊然</w:t>
      </w:r>
      <w:r>
        <w:rPr>
          <w:rFonts w:ascii="幼圆" w:eastAsia="幼圆" w:hAnsi="幼圆" w:cs="幼圆" w:hint="eastAsia"/>
          <w:sz w:val="24"/>
          <w:szCs w:val="24"/>
        </w:rPr>
        <w:t>等（</w:t>
      </w:r>
      <w:r>
        <w:rPr>
          <w:rFonts w:ascii="幼圆" w:eastAsia="幼圆" w:hAnsi="幼圆" w:cs="幼圆" w:hint="eastAsia"/>
          <w:sz w:val="24"/>
          <w:szCs w:val="24"/>
          <w:lang w:eastAsia="zh-CN"/>
        </w:rPr>
        <w:t>2020</w:t>
      </w:r>
      <w:r>
        <w:rPr>
          <w:rFonts w:ascii="幼圆" w:eastAsia="幼圆" w:hAnsi="幼圆" w:cs="幼圆" w:hint="eastAsia"/>
          <w:sz w:val="24"/>
          <w:szCs w:val="24"/>
        </w:rPr>
        <w:t>）梳理了国有企业绩效评价的发展阶段，将其划分为单一型、综合型、价值型、分类型，并总结了各个阶段绩效评价的特点</w:t>
      </w:r>
      <w:r>
        <w:rPr>
          <w:rFonts w:ascii="幼圆" w:eastAsia="幼圆" w:hAnsi="幼圆" w:cs="幼圆" w:hint="eastAsia"/>
          <w:sz w:val="24"/>
          <w:szCs w:val="24"/>
          <w:vertAlign w:val="superscript"/>
        </w:rPr>
        <w:t>[10]</w:t>
      </w:r>
      <w:r>
        <w:rPr>
          <w:rFonts w:ascii="幼圆" w:eastAsia="幼圆" w:hAnsi="幼圆" w:cs="幼圆" w:hint="eastAsia"/>
          <w:sz w:val="24"/>
          <w:szCs w:val="24"/>
        </w:rPr>
        <w:t>。</w:t>
      </w:r>
    </w:p>
    <w:p>
      <w:pPr>
        <w:keepNext w:val="0"/>
        <w:keepLines w:val="0"/>
        <w:kinsoku/>
        <w:wordWrap/>
        <w:overflowPunct/>
        <w:topLinePunct w:val="0"/>
        <w:autoSpaceDE w:val="0"/>
        <w:autoSpaceDN w:val="0"/>
        <w:bidi w:val="0"/>
        <w:adjustRightInd/>
        <w:snapToGrid/>
        <w:spacing w:line="440" w:lineRule="atLeast"/>
        <w:ind w:firstLine="480" w:firstLineChars="200"/>
        <w:jc w:val="left"/>
        <w:textAlignment w:val="auto"/>
        <w:rPr>
          <w:rFonts w:ascii="幼圆" w:eastAsia="幼圆" w:hAnsi="幼圆" w:cs="幼圆" w:hint="eastAsia"/>
          <w:sz w:val="24"/>
          <w:szCs w:val="24"/>
        </w:rPr>
        <w:sectPr>
          <w:footerReference w:type="default" r:id="rId7"/>
          <w:type w:val="nextPage"/>
          <w:pgSz w:w="11910" w:h="16838"/>
          <w:pgMar w:top="1600" w:right="1120" w:bottom="1180" w:left="1260" w:header="720" w:footer="720" w:gutter="0"/>
          <w:pgNumType w:fmt="decimal" w:start="4"/>
          <w:cols w:space="708"/>
          <w:titlePg w:val="0"/>
        </w:sectPr>
      </w:pPr>
      <w:r>
        <w:rPr>
          <w:rFonts w:ascii="幼圆" w:eastAsia="幼圆" w:hAnsi="幼圆" w:cs="幼圆" w:hint="eastAsia"/>
          <w:sz w:val="24"/>
          <w:szCs w:val="24"/>
        </w:rPr>
        <w:t>（2）绩效评价方法相关的研究。</w:t>
      </w:r>
      <w:r>
        <w:rPr>
          <w:rFonts w:ascii="幼圆" w:eastAsia="幼圆" w:hAnsi="幼圆" w:cs="幼圆" w:hint="eastAsia"/>
          <w:sz w:val="24"/>
          <w:szCs w:val="24"/>
          <w:lang w:val="en-US" w:eastAsia="zh-CN"/>
        </w:rPr>
        <w:t>范文涵</w:t>
      </w:r>
      <w:r>
        <w:rPr>
          <w:rFonts w:ascii="幼圆" w:eastAsia="幼圆" w:hAnsi="幼圆" w:cs="幼圆" w:hint="eastAsia"/>
          <w:sz w:val="24"/>
          <w:szCs w:val="24"/>
          <w:lang w:val="en-US" w:eastAsia="zh-CN"/>
        </w:rPr>
        <w:t xml:space="preserve"> ,徐宇轩,</w:t>
      </w:r>
    </w:p>
    <w:p>
      <w:pPr>
        <w:keepNext w:val="0"/>
        <w:keepLines w:val="0"/>
        <w:kinsoku/>
        <w:wordWrap/>
        <w:overflowPunct/>
        <w:topLinePunct w:val="0"/>
        <w:autoSpaceDE w:val="0"/>
        <w:autoSpaceDN w:val="0"/>
        <w:bidi w:val="0"/>
        <w:adjustRightInd/>
        <w:snapToGrid/>
        <w:spacing w:line="440" w:lineRule="atLeast"/>
        <w:ind w:firstLine="480" w:firstLineChars="200"/>
        <w:jc w:val="left"/>
        <w:textAlignment w:val="auto"/>
        <w:rPr>
          <w:rFonts w:ascii="幼圆" w:eastAsia="幼圆" w:hAnsi="幼圆" w:cs="幼圆" w:hint="eastAsia"/>
          <w:sz w:val="24"/>
          <w:szCs w:val="24"/>
        </w:rPr>
      </w:pPr>
      <w:r>
        <w:rPr>
          <w:rFonts w:ascii="幼圆" w:eastAsia="幼圆" w:hAnsi="幼圆" w:cs="幼圆" w:hint="eastAsia"/>
          <w:sz w:val="24"/>
          <w:szCs w:val="24"/>
          <w:lang w:val="en-US" w:eastAsia="zh-CN"/>
        </w:rPr>
        <w:t xml:space="preserve"> 饶梦</w:t>
      </w:r>
      <w:r>
        <w:rPr>
          <w:rFonts w:ascii="幼圆" w:eastAsia="幼圆" w:hAnsi="幼圆" w:cs="幼圆" w:hint="eastAsia"/>
          <w:sz w:val="24"/>
          <w:szCs w:val="24"/>
        </w:rPr>
        <w:t>（2011）认为传统评价方法主要有沃尔评分法、杜邦财务分析体系、财务报表结构指标评价法、相对值指标法等，现代方法主要包括经济增加值评价法、平衡计分卡评价法、绩效金字塔评价法、聚类分析法等</w:t>
      </w:r>
      <w:r>
        <w:rPr>
          <w:rFonts w:ascii="幼圆" w:eastAsia="幼圆" w:hAnsi="幼圆" w:cs="幼圆" w:hint="eastAsia"/>
          <w:sz w:val="24"/>
          <w:szCs w:val="24"/>
          <w:vertAlign w:val="superscript"/>
        </w:rPr>
        <w:t>[11]</w:t>
      </w:r>
      <w:r>
        <w:rPr>
          <w:rFonts w:ascii="幼圆" w:eastAsia="幼圆" w:hAnsi="幼圆" w:cs="幼圆" w:hint="eastAsia"/>
          <w:sz w:val="24"/>
          <w:szCs w:val="24"/>
        </w:rPr>
        <w:t>。王玉红等（</w:t>
      </w:r>
      <w:r>
        <w:rPr>
          <w:rFonts w:ascii="幼圆" w:eastAsia="幼圆" w:hAnsi="幼圆" w:cs="幼圆" w:hint="eastAsia"/>
          <w:sz w:val="24"/>
          <w:szCs w:val="24"/>
          <w:lang w:eastAsia="zh-CN"/>
        </w:rPr>
        <w:t>2017</w:t>
      </w:r>
      <w:r>
        <w:rPr>
          <w:rFonts w:ascii="幼圆" w:eastAsia="幼圆" w:hAnsi="幼圆" w:cs="幼圆" w:hint="eastAsia"/>
          <w:sz w:val="24"/>
          <w:szCs w:val="24"/>
        </w:rPr>
        <w:t>）以H公司为例，运用功效系数法对H公司绩效情况进行评价，为提高光伏产业企业绩效评价的综合水平提供了有益参考</w:t>
      </w:r>
      <w:r>
        <w:rPr>
          <w:rFonts w:ascii="幼圆" w:eastAsia="幼圆" w:hAnsi="幼圆" w:cs="幼圆" w:hint="eastAsia"/>
          <w:sz w:val="24"/>
          <w:szCs w:val="24"/>
          <w:vertAlign w:val="superscript"/>
        </w:rPr>
        <w:t>[12]</w:t>
      </w:r>
      <w:r>
        <w:rPr>
          <w:rFonts w:ascii="幼圆" w:eastAsia="幼圆" w:hAnsi="幼圆" w:cs="幼圆" w:hint="eastAsia"/>
          <w:sz w:val="24"/>
          <w:szCs w:val="24"/>
        </w:rPr>
        <w:t>。</w:t>
      </w:r>
      <w:r>
        <w:rPr>
          <w:rFonts w:ascii="幼圆" w:eastAsia="幼圆" w:hAnsi="幼圆" w:cs="幼圆" w:hint="eastAsia"/>
          <w:sz w:val="24"/>
          <w:szCs w:val="24"/>
          <w:lang w:val="en-US" w:eastAsia="zh-CN"/>
        </w:rPr>
        <w:t>梁博涵, 崔鑫鹏</w:t>
      </w:r>
      <w:r>
        <w:rPr>
          <w:rFonts w:ascii="幼圆" w:eastAsia="幼圆" w:hAnsi="幼圆" w:cs="幼圆" w:hint="eastAsia"/>
          <w:sz w:val="24"/>
          <w:szCs w:val="24"/>
        </w:rPr>
        <w:t>等（</w:t>
      </w:r>
      <w:r>
        <w:rPr>
          <w:rFonts w:ascii="幼圆" w:eastAsia="幼圆" w:hAnsi="幼圆" w:cs="幼圆" w:hint="eastAsia"/>
          <w:sz w:val="24"/>
          <w:szCs w:val="24"/>
          <w:lang w:eastAsia="zh-CN"/>
        </w:rPr>
        <w:t>2022</w:t>
      </w:r>
      <w:r>
        <w:rPr>
          <w:rFonts w:ascii="幼圆" w:eastAsia="幼圆" w:hAnsi="幼圆" w:cs="幼圆" w:hint="eastAsia"/>
          <w:sz w:val="24"/>
          <w:szCs w:val="24"/>
        </w:rPr>
        <w:t>）探究了绩效</w:t>
      </w:r>
      <w:r>
        <w:rPr>
          <w:rFonts w:ascii="幼圆" w:eastAsia="幼圆" w:hAnsi="幼圆" w:cs="幼圆" w:hint="eastAsia"/>
          <w:sz w:val="24"/>
          <w:szCs w:val="24"/>
        </w:rPr>
        <w:t>“</w:t>
      </w:r>
      <w:r>
        <w:rPr>
          <w:rFonts w:ascii="幼圆" w:eastAsia="幼圆" w:hAnsi="幼圆" w:cs="幼圆" w:hint="eastAsia"/>
          <w:sz w:val="24"/>
          <w:szCs w:val="24"/>
        </w:rPr>
        <w:t>金字塔</w:t>
      </w:r>
      <w:r>
        <w:rPr>
          <w:rFonts w:ascii="幼圆" w:eastAsia="幼圆" w:hAnsi="幼圆" w:cs="幼圆" w:hint="eastAsia"/>
          <w:sz w:val="24"/>
          <w:szCs w:val="24"/>
        </w:rPr>
        <w:t>”</w:t>
      </w:r>
      <w:r>
        <w:rPr>
          <w:rFonts w:ascii="幼圆" w:eastAsia="幼圆" w:hAnsi="幼圆" w:cs="幼圆" w:hint="eastAsia"/>
          <w:sz w:val="24"/>
          <w:szCs w:val="24"/>
        </w:rPr>
        <w:t>评价模式的逻辑框架，并认为该模式可以更好的进行企业绩效评价</w:t>
      </w:r>
      <w:r>
        <w:rPr>
          <w:rFonts w:ascii="幼圆" w:eastAsia="幼圆" w:hAnsi="幼圆" w:cs="幼圆" w:hint="eastAsia"/>
          <w:sz w:val="24"/>
          <w:szCs w:val="24"/>
          <w:vertAlign w:val="superscript"/>
        </w:rPr>
        <w:t>[13]</w:t>
      </w:r>
      <w:r>
        <w:rPr>
          <w:rFonts w:ascii="幼圆" w:eastAsia="幼圆" w:hAnsi="幼圆" w:cs="幼圆" w:hint="eastAsia"/>
          <w:sz w:val="24"/>
          <w:szCs w:val="24"/>
        </w:rPr>
        <w:t>。</w:t>
      </w:r>
    </w:p>
    <w:p>
      <w:pPr>
        <w:keepNext w:val="0"/>
        <w:keepLines w:val="0"/>
        <w:kinsoku/>
        <w:wordWrap/>
        <w:overflowPunct/>
        <w:topLinePunct w:val="0"/>
        <w:autoSpaceDE w:val="0"/>
        <w:autoSpaceDN w:val="0"/>
        <w:bidi w:val="0"/>
        <w:adjustRightInd/>
        <w:snapToGrid/>
        <w:spacing w:before="120" w:beforeLines="50" w:after="120" w:afterLines="50" w:line="440" w:lineRule="atLeast"/>
        <w:jc w:val="left"/>
        <w:textAlignment w:val="auto"/>
        <w:rPr>
          <w:rFonts w:ascii="幼圆" w:eastAsia="幼圆" w:hAnsi="幼圆" w:cs="幼圆" w:hint="eastAsia"/>
          <w:sz w:val="24"/>
          <w:szCs w:val="24"/>
        </w:rPr>
      </w:pPr>
      <w:r>
        <w:rPr>
          <w:rFonts w:ascii="幼圆" w:eastAsia="幼圆" w:hAnsi="幼圆" w:cs="幼圆" w:hint="eastAsia"/>
          <w:sz w:val="24"/>
          <w:szCs w:val="24"/>
        </w:rPr>
        <w:t>1.2.2.2  EVA绩效评价的研究现状</w:t>
      </w:r>
    </w:p>
    <w:p>
      <w:pPr>
        <w:keepNext w:val="0"/>
        <w:keepLines w:val="0"/>
        <w:kinsoku/>
        <w:wordWrap/>
        <w:overflowPunct/>
        <w:topLinePunct w:val="0"/>
        <w:autoSpaceDE w:val="0"/>
        <w:autoSpaceDN w:val="0"/>
        <w:bidi w:val="0"/>
        <w:adjustRightInd/>
        <w:snapToGrid/>
        <w:spacing w:line="440" w:lineRule="atLeast"/>
        <w:ind w:firstLine="480" w:firstLineChars="200"/>
        <w:jc w:val="left"/>
        <w:textAlignment w:val="auto"/>
        <w:rPr>
          <w:rFonts w:ascii="幼圆" w:eastAsia="幼圆" w:hAnsi="幼圆" w:cs="幼圆" w:hint="eastAsia"/>
          <w:sz w:val="24"/>
          <w:szCs w:val="24"/>
        </w:rPr>
      </w:pPr>
      <w:r>
        <w:rPr>
          <w:rFonts w:ascii="幼圆" w:eastAsia="幼圆" w:hAnsi="幼圆" w:cs="幼圆" w:hint="eastAsia"/>
          <w:sz w:val="24"/>
          <w:szCs w:val="24"/>
        </w:rPr>
        <w:t>我国根据央企经营绩效评价的需要，引入EVA，并将其作为一种重要的绩效评价方法，自此许多学者展开研究。</w:t>
      </w:r>
    </w:p>
    <w:p>
      <w:pPr>
        <w:keepNext w:val="0"/>
        <w:keepLines w:val="0"/>
        <w:kinsoku/>
        <w:wordWrap/>
        <w:overflowPunct/>
        <w:topLinePunct w:val="0"/>
        <w:autoSpaceDE w:val="0"/>
        <w:autoSpaceDN w:val="0"/>
        <w:bidi w:val="0"/>
        <w:adjustRightInd/>
        <w:snapToGrid/>
        <w:spacing w:line="440" w:lineRule="atLeast"/>
        <w:ind w:firstLine="480" w:firstLineChars="200"/>
        <w:jc w:val="left"/>
        <w:textAlignment w:val="auto"/>
        <w:rPr>
          <w:rFonts w:ascii="幼圆" w:eastAsia="幼圆" w:hAnsi="幼圆" w:cs="幼圆" w:hint="eastAsia"/>
          <w:sz w:val="24"/>
          <w:szCs w:val="24"/>
        </w:rPr>
      </w:pPr>
      <w:r>
        <w:rPr>
          <w:rFonts w:ascii="幼圆" w:eastAsia="幼圆" w:hAnsi="幼圆" w:cs="幼圆" w:hint="eastAsia"/>
          <w:sz w:val="24"/>
          <w:szCs w:val="24"/>
        </w:rPr>
        <w:t>（1）EVA绩效评价基本理论及内涵方面。</w:t>
      </w:r>
      <w:r>
        <w:rPr>
          <w:rFonts w:ascii="幼圆" w:eastAsia="幼圆" w:hAnsi="幼圆" w:cs="幼圆" w:hint="eastAsia"/>
          <w:sz w:val="24"/>
          <w:szCs w:val="24"/>
          <w:lang w:val="en-US" w:eastAsia="zh-CN"/>
        </w:rPr>
        <w:t>姜欣怡 ,萧阳</w:t>
      </w:r>
      <w:r>
        <w:rPr>
          <w:rFonts w:ascii="幼圆" w:eastAsia="幼圆" w:hAnsi="幼圆" w:cs="幼圆" w:hint="eastAsia"/>
          <w:sz w:val="24"/>
          <w:szCs w:val="24"/>
        </w:rPr>
        <w:t>（2008）分析了现行以净利润、净资产收益率为主要指标的经营业绩评价体系中存在的问题，并进一步分析了EVA绩效评价的内涵、特点和实用价值</w:t>
      </w:r>
      <w:r>
        <w:rPr>
          <w:rFonts w:ascii="幼圆" w:eastAsia="幼圆" w:hAnsi="幼圆" w:cs="幼圆" w:hint="eastAsia"/>
          <w:sz w:val="24"/>
          <w:szCs w:val="24"/>
          <w:vertAlign w:val="superscript"/>
        </w:rPr>
        <w:t>[14]</w:t>
      </w:r>
      <w:r>
        <w:rPr>
          <w:rFonts w:ascii="幼圆" w:eastAsia="幼圆" w:hAnsi="幼圆" w:cs="幼圆" w:hint="eastAsia"/>
          <w:sz w:val="24"/>
          <w:szCs w:val="24"/>
        </w:rPr>
        <w:t>。</w:t>
      </w:r>
      <w:r>
        <w:rPr>
          <w:rFonts w:ascii="幼圆" w:eastAsia="幼圆" w:hAnsi="幼圆" w:cs="幼圆" w:hint="eastAsia"/>
          <w:sz w:val="24"/>
          <w:szCs w:val="24"/>
          <w:lang w:val="en-US" w:eastAsia="zh-CN"/>
        </w:rPr>
        <w:t>卢雨薇 ,褚辰宇, 薛瑞</w:t>
      </w:r>
      <w:r>
        <w:rPr>
          <w:rFonts w:ascii="幼圆" w:eastAsia="幼圆" w:hAnsi="幼圆" w:cs="幼圆" w:hint="eastAsia"/>
          <w:sz w:val="24"/>
          <w:szCs w:val="24"/>
        </w:rPr>
        <w:t>（2010）重点介绍国资委发布的EVA绩效评价体系，分析了EVA绩效评价体系的优点与局限性</w:t>
      </w:r>
      <w:r>
        <w:rPr>
          <w:rFonts w:ascii="幼圆" w:eastAsia="幼圆" w:hAnsi="幼圆" w:cs="幼圆" w:hint="eastAsia"/>
          <w:sz w:val="24"/>
          <w:szCs w:val="24"/>
          <w:vertAlign w:val="superscript"/>
        </w:rPr>
        <w:t>[15]</w:t>
      </w:r>
      <w:r>
        <w:rPr>
          <w:rFonts w:ascii="幼圆" w:eastAsia="幼圆" w:hAnsi="幼圆" w:cs="幼圆" w:hint="eastAsia"/>
          <w:sz w:val="24"/>
          <w:szCs w:val="24"/>
        </w:rPr>
        <w:t>。岳亮等（2013）分析了EVA的经济内涵，探讨了EVA正确运用的方法</w:t>
      </w:r>
      <w:r>
        <w:rPr>
          <w:rFonts w:ascii="幼圆" w:eastAsia="幼圆" w:hAnsi="幼圆" w:cs="幼圆" w:hint="eastAsia"/>
          <w:sz w:val="24"/>
          <w:szCs w:val="24"/>
          <w:vertAlign w:val="superscript"/>
        </w:rPr>
        <w:t>[16]</w:t>
      </w:r>
      <w:r>
        <w:rPr>
          <w:rFonts w:ascii="幼圆" w:eastAsia="幼圆" w:hAnsi="幼圆" w:cs="幼圆" w:hint="eastAsia"/>
          <w:sz w:val="24"/>
          <w:szCs w:val="24"/>
        </w:rPr>
        <w:t>。林斌等（</w:t>
      </w:r>
      <w:r>
        <w:rPr>
          <w:rFonts w:ascii="幼圆" w:eastAsia="幼圆" w:hAnsi="幼圆" w:cs="幼圆" w:hint="eastAsia"/>
          <w:sz w:val="24"/>
          <w:szCs w:val="24"/>
          <w:lang w:eastAsia="zh-CN"/>
        </w:rPr>
        <w:t>2018</w:t>
      </w:r>
      <w:r>
        <w:rPr>
          <w:rFonts w:ascii="幼圆" w:eastAsia="幼圆" w:hAnsi="幼圆" w:cs="幼圆" w:hint="eastAsia"/>
          <w:sz w:val="24"/>
          <w:szCs w:val="24"/>
        </w:rPr>
        <w:t>）认为，EVA计算过程中在进行科目调整时，应根据不同的评价目标，结合实际情况，调整出最佳模型</w:t>
      </w:r>
      <w:r>
        <w:rPr>
          <w:rFonts w:ascii="幼圆" w:eastAsia="幼圆" w:hAnsi="幼圆" w:cs="幼圆" w:hint="eastAsia"/>
          <w:sz w:val="24"/>
          <w:szCs w:val="24"/>
          <w:vertAlign w:val="superscript"/>
        </w:rPr>
        <w:t>[17]</w:t>
      </w:r>
      <w:r>
        <w:rPr>
          <w:rFonts w:ascii="幼圆" w:eastAsia="幼圆" w:hAnsi="幼圆" w:cs="幼圆" w:hint="eastAsia"/>
          <w:sz w:val="24"/>
          <w:szCs w:val="24"/>
        </w:rPr>
        <w:t>。</w:t>
      </w:r>
      <w:r>
        <w:rPr>
          <w:rFonts w:ascii="幼圆" w:eastAsia="幼圆" w:hAnsi="幼圆" w:cs="幼圆" w:hint="eastAsia"/>
          <w:sz w:val="24"/>
          <w:szCs w:val="24"/>
          <w:lang w:val="en-US" w:eastAsia="zh-CN"/>
        </w:rPr>
        <w:t>严瀚文 ,贾慧婕, 屈帅杰</w:t>
      </w:r>
      <w:r>
        <w:rPr>
          <w:rFonts w:ascii="幼圆" w:eastAsia="幼圆" w:hAnsi="幼圆" w:cs="幼圆" w:hint="eastAsia"/>
          <w:sz w:val="24"/>
          <w:szCs w:val="24"/>
        </w:rPr>
        <w:t>（</w:t>
      </w:r>
      <w:r>
        <w:rPr>
          <w:rFonts w:ascii="幼圆" w:eastAsia="幼圆" w:hAnsi="幼圆" w:cs="幼圆" w:hint="eastAsia"/>
          <w:sz w:val="24"/>
          <w:szCs w:val="24"/>
          <w:lang w:eastAsia="zh-CN"/>
        </w:rPr>
        <w:t>2018</w:t>
      </w:r>
      <w:r>
        <w:rPr>
          <w:rFonts w:ascii="幼圆" w:eastAsia="幼圆" w:hAnsi="幼圆" w:cs="幼圆" w:hint="eastAsia"/>
          <w:sz w:val="24"/>
          <w:szCs w:val="24"/>
        </w:rPr>
        <w:t>）介绍了EVA指标的优势，并指出EVA指标可以应用于企业绩效评价与项目并购</w:t>
      </w:r>
      <w:r>
        <w:rPr>
          <w:rFonts w:ascii="幼圆" w:eastAsia="幼圆" w:hAnsi="幼圆" w:cs="幼圆" w:hint="eastAsia"/>
          <w:sz w:val="24"/>
          <w:szCs w:val="24"/>
          <w:vertAlign w:val="superscript"/>
        </w:rPr>
        <w:t>[18]</w:t>
      </w:r>
      <w:r>
        <w:rPr>
          <w:rFonts w:ascii="幼圆" w:eastAsia="幼圆" w:hAnsi="幼圆" w:cs="幼圆" w:hint="eastAsia"/>
          <w:sz w:val="24"/>
          <w:szCs w:val="24"/>
        </w:rPr>
        <w:t>。孙健云等（</w:t>
      </w:r>
      <w:r>
        <w:rPr>
          <w:rFonts w:ascii="幼圆" w:eastAsia="幼圆" w:hAnsi="幼圆" w:cs="幼圆" w:hint="eastAsia"/>
          <w:sz w:val="24"/>
          <w:szCs w:val="24"/>
          <w:lang w:eastAsia="zh-CN"/>
        </w:rPr>
        <w:t>2019</w:t>
      </w:r>
      <w:r>
        <w:rPr>
          <w:rFonts w:ascii="幼圆" w:eastAsia="幼圆" w:hAnsi="幼圆" w:cs="幼圆" w:hint="eastAsia"/>
          <w:sz w:val="24"/>
          <w:szCs w:val="24"/>
        </w:rPr>
        <w:t>）认为企业进行项目EVA考核时，应构建覆盖全体员工的考核体系，并配合相应的决策权下移</w:t>
      </w:r>
      <w:r>
        <w:rPr>
          <w:rFonts w:ascii="幼圆" w:eastAsia="幼圆" w:hAnsi="幼圆" w:cs="幼圆" w:hint="eastAsia"/>
          <w:sz w:val="24"/>
          <w:szCs w:val="24"/>
          <w:vertAlign w:val="superscript"/>
        </w:rPr>
        <w:t>[19]</w:t>
      </w:r>
      <w:r>
        <w:rPr>
          <w:rFonts w:ascii="幼圆" w:eastAsia="幼圆" w:hAnsi="幼圆" w:cs="幼圆" w:hint="eastAsia"/>
          <w:sz w:val="24"/>
          <w:szCs w:val="24"/>
        </w:rPr>
        <w:t>。</w:t>
      </w:r>
    </w:p>
    <w:p>
      <w:pPr>
        <w:keepNext w:val="0"/>
        <w:keepLines w:val="0"/>
        <w:kinsoku/>
        <w:wordWrap/>
        <w:overflowPunct/>
        <w:topLinePunct w:val="0"/>
        <w:autoSpaceDE w:val="0"/>
        <w:autoSpaceDN w:val="0"/>
        <w:bidi w:val="0"/>
        <w:adjustRightInd/>
        <w:snapToGrid/>
        <w:spacing w:line="440" w:lineRule="atLeast"/>
        <w:ind w:firstLine="480" w:firstLineChars="200"/>
        <w:jc w:val="left"/>
        <w:textAlignment w:val="auto"/>
        <w:rPr>
          <w:rFonts w:ascii="幼圆" w:eastAsia="幼圆" w:hAnsi="幼圆" w:cs="幼圆" w:hint="eastAsia"/>
          <w:sz w:val="24"/>
          <w:szCs w:val="24"/>
        </w:rPr>
      </w:pPr>
      <w:r>
        <w:rPr>
          <w:rFonts w:ascii="幼圆" w:eastAsia="幼圆" w:hAnsi="幼圆" w:cs="幼圆" w:hint="eastAsia"/>
          <w:sz w:val="24"/>
          <w:szCs w:val="24"/>
        </w:rPr>
        <w:t>（2）EVA绩效评价应用方面。</w:t>
      </w:r>
      <w:r>
        <w:rPr>
          <w:rFonts w:ascii="幼圆" w:eastAsia="幼圆" w:hAnsi="幼圆" w:cs="幼圆" w:hint="eastAsia"/>
          <w:sz w:val="24"/>
          <w:szCs w:val="24"/>
          <w:lang w:val="en-US" w:eastAsia="zh-CN"/>
        </w:rPr>
        <w:t>路馨怡 ,康宇</w:t>
      </w:r>
      <w:r>
        <w:rPr>
          <w:rFonts w:ascii="幼圆" w:eastAsia="幼圆" w:hAnsi="幼圆" w:cs="幼圆" w:hint="eastAsia"/>
          <w:sz w:val="24"/>
          <w:szCs w:val="24"/>
        </w:rPr>
        <w:t>（</w:t>
      </w:r>
      <w:r>
        <w:rPr>
          <w:rFonts w:ascii="幼圆" w:eastAsia="幼圆" w:hAnsi="幼圆" w:cs="幼圆" w:hint="eastAsia"/>
          <w:sz w:val="24"/>
          <w:szCs w:val="24"/>
          <w:lang w:eastAsia="zh-CN"/>
        </w:rPr>
        <w:t>2016</w:t>
      </w:r>
      <w:r>
        <w:rPr>
          <w:rFonts w:ascii="幼圆" w:eastAsia="幼圆" w:hAnsi="幼圆" w:cs="幼圆" w:hint="eastAsia"/>
          <w:sz w:val="24"/>
          <w:szCs w:val="24"/>
        </w:rPr>
        <w:t>）通过计算分析，表明青岛啤酒引入EVA绩效评价体系大大提升了青岛啤酒的盈利能力</w:t>
      </w:r>
      <w:r>
        <w:rPr>
          <w:rFonts w:ascii="幼圆" w:eastAsia="幼圆" w:hAnsi="幼圆" w:cs="幼圆" w:hint="eastAsia"/>
          <w:sz w:val="24"/>
          <w:szCs w:val="24"/>
          <w:vertAlign w:val="superscript"/>
        </w:rPr>
        <w:t>[20]</w:t>
      </w:r>
      <w:r>
        <w:rPr>
          <w:rFonts w:ascii="幼圆" w:eastAsia="幼圆" w:hAnsi="幼圆" w:cs="幼圆" w:hint="eastAsia"/>
          <w:sz w:val="24"/>
          <w:szCs w:val="24"/>
        </w:rPr>
        <w:t>。李志学等（</w:t>
      </w:r>
      <w:r>
        <w:rPr>
          <w:rFonts w:ascii="幼圆" w:eastAsia="幼圆" w:hAnsi="幼圆" w:cs="幼圆" w:hint="eastAsia"/>
          <w:sz w:val="24"/>
          <w:szCs w:val="24"/>
          <w:lang w:eastAsia="zh-CN"/>
        </w:rPr>
        <w:t>2019</w:t>
      </w:r>
      <w:r>
        <w:rPr>
          <w:rFonts w:ascii="幼圆" w:eastAsia="幼圆" w:hAnsi="幼圆" w:cs="幼圆" w:hint="eastAsia"/>
          <w:sz w:val="24"/>
          <w:szCs w:val="24"/>
        </w:rPr>
        <w:t>）计算99家新能源上市公司2013</w:t>
      </w:r>
      <w:r>
        <w:rPr>
          <w:rFonts w:ascii="幼圆" w:eastAsia="幼圆" w:hAnsi="幼圆" w:cs="幼圆" w:hint="eastAsia"/>
          <w:sz w:val="24"/>
          <w:szCs w:val="24"/>
        </w:rPr>
        <w:t>—</w:t>
      </w:r>
      <w:r>
        <w:rPr>
          <w:rFonts w:ascii="幼圆" w:eastAsia="幼圆" w:hAnsi="幼圆" w:cs="幼圆" w:hint="eastAsia"/>
          <w:sz w:val="24"/>
          <w:szCs w:val="24"/>
          <w:lang w:eastAsia="zh-CN"/>
        </w:rPr>
        <w:t>2017</w:t>
      </w:r>
      <w:r>
        <w:rPr>
          <w:rFonts w:ascii="幼圆" w:eastAsia="幼圆" w:hAnsi="幼圆" w:cs="幼圆" w:hint="eastAsia"/>
          <w:sz w:val="24"/>
          <w:szCs w:val="24"/>
        </w:rPr>
        <w:t>年的EVA指标，并进行基于不同视角的绩效分析，发现EVA指标能够更科学的评价企业绩效</w:t>
      </w:r>
      <w:r>
        <w:rPr>
          <w:rFonts w:ascii="幼圆" w:eastAsia="幼圆" w:hAnsi="幼圆" w:cs="幼圆" w:hint="eastAsia"/>
          <w:sz w:val="24"/>
          <w:szCs w:val="24"/>
          <w:vertAlign w:val="superscript"/>
        </w:rPr>
        <w:t>[21]</w:t>
      </w:r>
      <w:r>
        <w:rPr>
          <w:rFonts w:ascii="幼圆" w:eastAsia="幼圆" w:hAnsi="幼圆" w:cs="幼圆" w:hint="eastAsia"/>
          <w:sz w:val="24"/>
          <w:szCs w:val="24"/>
        </w:rPr>
        <w:t>。</w:t>
      </w:r>
      <w:r>
        <w:rPr>
          <w:rFonts w:ascii="幼圆" w:eastAsia="幼圆" w:hAnsi="幼圆" w:cs="幼圆" w:hint="eastAsia"/>
          <w:sz w:val="24"/>
          <w:szCs w:val="24"/>
          <w:lang w:val="en-US" w:eastAsia="zh-CN"/>
        </w:rPr>
        <w:t>蓝泽宇 ,宋忠志 ,林晨</w:t>
      </w:r>
      <w:r>
        <w:rPr>
          <w:rFonts w:ascii="幼圆" w:eastAsia="幼圆" w:hAnsi="幼圆" w:cs="幼圆" w:hint="eastAsia"/>
          <w:sz w:val="24"/>
          <w:szCs w:val="24"/>
        </w:rPr>
        <w:t>（</w:t>
      </w:r>
      <w:r>
        <w:rPr>
          <w:rFonts w:ascii="幼圆" w:eastAsia="幼圆" w:hAnsi="幼圆" w:cs="幼圆" w:hint="eastAsia"/>
          <w:sz w:val="24"/>
          <w:szCs w:val="24"/>
          <w:lang w:eastAsia="zh-CN"/>
        </w:rPr>
        <w:t>2019</w:t>
      </w:r>
      <w:r>
        <w:rPr>
          <w:rFonts w:ascii="幼圆" w:eastAsia="幼圆" w:hAnsi="幼圆" w:cs="幼圆" w:hint="eastAsia"/>
          <w:sz w:val="24"/>
          <w:szCs w:val="24"/>
        </w:rPr>
        <w:t>）把沪深A股上市的国有企业作为研究对象，研究实施EVA绩效评价对企业研发投入的影响，研究表明EVA考核会增加企业的研发投入</w:t>
      </w:r>
      <w:r>
        <w:rPr>
          <w:rFonts w:ascii="幼圆" w:eastAsia="幼圆" w:hAnsi="幼圆" w:cs="幼圆" w:hint="eastAsia"/>
          <w:sz w:val="24"/>
          <w:szCs w:val="24"/>
          <w:vertAlign w:val="superscript"/>
        </w:rPr>
        <w:t>[22]</w:t>
      </w:r>
      <w:r>
        <w:rPr>
          <w:rFonts w:ascii="幼圆" w:eastAsia="幼圆" w:hAnsi="幼圆" w:cs="幼圆" w:hint="eastAsia"/>
          <w:sz w:val="24"/>
          <w:szCs w:val="24"/>
        </w:rPr>
        <w:t>。高绍福等（</w:t>
      </w:r>
      <w:r>
        <w:rPr>
          <w:rFonts w:ascii="幼圆" w:eastAsia="幼圆" w:hAnsi="幼圆" w:cs="幼圆" w:hint="eastAsia"/>
          <w:sz w:val="24"/>
          <w:szCs w:val="24"/>
          <w:lang w:eastAsia="zh-CN"/>
        </w:rPr>
        <w:t>2020</w:t>
      </w:r>
      <w:r>
        <w:rPr>
          <w:rFonts w:ascii="幼圆" w:eastAsia="幼圆" w:hAnsi="幼圆" w:cs="幼圆" w:hint="eastAsia"/>
          <w:sz w:val="24"/>
          <w:szCs w:val="24"/>
        </w:rPr>
        <w:t>）以医药上市企业为研究样本，研究EVA对于医药行业绩效评价的适用性，结果表明EVA能够更准确的反映企业绩效情况</w:t>
      </w:r>
      <w:r>
        <w:rPr>
          <w:rFonts w:ascii="幼圆" w:eastAsia="幼圆" w:hAnsi="幼圆" w:cs="幼圆" w:hint="eastAsia"/>
          <w:sz w:val="24"/>
          <w:szCs w:val="24"/>
          <w:vertAlign w:val="superscript"/>
        </w:rPr>
        <w:t>[23]</w:t>
      </w:r>
      <w:r>
        <w:rPr>
          <w:rFonts w:ascii="幼圆" w:eastAsia="幼圆" w:hAnsi="幼圆" w:cs="幼圆" w:hint="eastAsia"/>
          <w:sz w:val="24"/>
          <w:szCs w:val="24"/>
        </w:rPr>
        <w:t>。</w:t>
      </w:r>
      <w:r>
        <w:rPr>
          <w:rFonts w:ascii="幼圆" w:eastAsia="幼圆" w:hAnsi="幼圆" w:cs="幼圆" w:hint="eastAsia"/>
          <w:sz w:val="24"/>
          <w:szCs w:val="24"/>
          <w:lang w:val="en-US" w:eastAsia="zh-CN"/>
        </w:rPr>
        <w:t>邓雪倩 ,毛顺悦, 阮雨</w:t>
      </w:r>
      <w:r>
        <w:rPr>
          <w:rFonts w:ascii="幼圆" w:eastAsia="幼圆" w:hAnsi="幼圆" w:cs="幼圆" w:hint="eastAsia"/>
          <w:sz w:val="24"/>
          <w:szCs w:val="24"/>
        </w:rPr>
        <w:t>（</w:t>
      </w:r>
      <w:r>
        <w:rPr>
          <w:rFonts w:ascii="幼圆" w:eastAsia="幼圆" w:hAnsi="幼圆" w:cs="幼圆" w:hint="eastAsia"/>
          <w:sz w:val="24"/>
          <w:szCs w:val="24"/>
          <w:lang w:eastAsia="zh-CN"/>
        </w:rPr>
        <w:t>2021</w:t>
      </w:r>
      <w:r>
        <w:rPr>
          <w:rFonts w:ascii="幼圆" w:eastAsia="幼圆" w:hAnsi="幼圆" w:cs="幼圆" w:hint="eastAsia"/>
          <w:sz w:val="24"/>
          <w:szCs w:val="24"/>
        </w:rPr>
        <w:t>）以万科为例，对EVA的调整项目及调整方法进行深入分析，为我国房地产企业开展EVA绩效考核发挥积极引导作用</w:t>
      </w:r>
      <w:r>
        <w:rPr>
          <w:rFonts w:ascii="幼圆" w:eastAsia="幼圆" w:hAnsi="幼圆" w:cs="幼圆" w:hint="eastAsia"/>
          <w:sz w:val="24"/>
          <w:szCs w:val="24"/>
          <w:vertAlign w:val="superscript"/>
        </w:rPr>
        <w:t>[24]</w:t>
      </w:r>
      <w:r>
        <w:rPr>
          <w:rFonts w:ascii="幼圆" w:eastAsia="幼圆" w:hAnsi="幼圆" w:cs="幼圆" w:hint="eastAsia"/>
          <w:sz w:val="24"/>
          <w:szCs w:val="24"/>
        </w:rPr>
        <w:t>。</w:t>
      </w:r>
      <w:r>
        <w:rPr>
          <w:rFonts w:ascii="幼圆" w:eastAsia="幼圆" w:hAnsi="幼圆" w:cs="幼圆" w:hint="eastAsia"/>
          <w:sz w:val="24"/>
          <w:szCs w:val="24"/>
          <w:lang w:val="en-US" w:eastAsia="zh-CN"/>
        </w:rPr>
        <w:t>韩程鹏</w:t>
      </w:r>
      <w:r>
        <w:rPr>
          <w:rFonts w:ascii="幼圆" w:eastAsia="幼圆" w:hAnsi="幼圆" w:cs="幼圆" w:hint="eastAsia"/>
          <w:sz w:val="24"/>
          <w:szCs w:val="24"/>
        </w:rPr>
        <w:br/>
      </w:r>
      <w:r>
        <w:rPr>
          <w:rFonts w:ascii="幼圆" w:eastAsia="幼圆" w:hAnsi="幼圆" w:cs="幼圆" w:hint="eastAsia"/>
          <w:sz w:val="24"/>
          <w:szCs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https://d.book118.com/308042075046006044</w:t>
        </w:r>
      </w:hyperlink>
    </w:p>
    <w:p>
      <w:pPr>
        <w:keepNext w:val="0"/>
        <w:keepLines w:val="0"/>
        <w:kinsoku/>
        <w:wordWrap/>
        <w:overflowPunct/>
        <w:topLinePunct w:val="0"/>
        <w:autoSpaceDE w:val="0"/>
        <w:autoSpaceDN w:val="0"/>
        <w:bidi w:val="0"/>
        <w:adjustRightInd/>
        <w:snapToGrid/>
        <w:spacing w:line="440" w:lineRule="atLeast"/>
        <w:ind w:firstLine="480" w:firstLineChars="200"/>
        <w:jc w:val="left"/>
        <w:textAlignment w:val="auto"/>
        <w:rPr>
          <w:rFonts w:ascii="幼圆" w:eastAsia="幼圆" w:hAnsi="幼圆" w:cs="幼圆" w:hint="eastAsia"/>
          <w:sz w:val="24"/>
          <w:szCs w:val="24"/>
        </w:rPr>
      </w:pPr>
    </w:p>
    <w:sectPr>
      <w:footerReference w:type="default" r:id="rId9"/>
      <w:type w:val="nextPage"/>
      <w:pgSz w:w="11910" w:h="16838"/>
      <w:pgMar w:top="1600" w:right="1120" w:bottom="1180" w:left="1260" w:header="720" w:footer="720" w:gutter="0"/>
      <w:pgNumType w:fmt="decimal" w:start="5"/>
      <w:cols w:space="708"/>
      <w:titlePg w:val="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86"/>
    <w:family w:val="swiss"/>
    <w:pitch w:val="default"/>
    <w:sig w:usb0="E4002EFF" w:usb1="C200247B" w:usb2="00000009" w:usb3="00000000" w:csb0="200401FF" w:csb1="00000000"/>
  </w:font>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rPr>
        <w:sz w:val="20"/>
      </w:rPr>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style:none;position:absolute;v-text-anchor:top;z-index:251658240" filled="f" stroked="f">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3</w:t>
                </w:r>
                <w: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rPr>
        <w:sz w:val="20"/>
      </w:rPr>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style:none;position:absolute;v-text-anchor:top;z-index:251659264" filled="f" stroked="f">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5</w:t>
                </w:r>
                <w: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rPr>
        <w:sz w:val="20"/>
      </w:rPr>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style:none;position:absolute;v-text-anchor:top;z-index:251660288" filled="f" stroked="f">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6</w:t>
                </w:r>
                <w:r>
                  <w:fldChar w:fldCharType="end"/>
                </w:r>
              </w:p>
            </w:txbxContent>
          </v:textbox>
          <w10:wrap anchorx="margin"/>
        </v:shape>
      </w:pic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720"/>
  <w:drawingGridHorizontalSpacing w:val="110"/>
  <w:displayHorizontalDrawingGridEvery w:val="2"/>
  <w:characterSpacingControl w:val="doNotCompress"/>
  <w:noLineBreaksAfter w:lang="en-US" w:val="([{·‘“〈《「『【〔〖（．［｛￡￥"/>
  <w:noLineBreaksBefore w:lang="en-US" w:val="!),.:;?]}¨·ˇˉ―‖’”…∶、。〃々〉》」』】〕〗！＂＇），．：；？］｀｜｝～￠"/>
  <w:endnotePr>
    <w:numFmt w:val="decimal"/>
  </w:endnotePr>
  <w:compat>
    <w:doNotLeaveBackslashAlone/>
    <w:ulTrailSpac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1802D5"/>
    <w:rsid w:val="010A231B"/>
    <w:rsid w:val="01D47FE7"/>
    <w:rsid w:val="02344912"/>
    <w:rsid w:val="02753E85"/>
    <w:rsid w:val="02D36C85"/>
    <w:rsid w:val="02E47D57"/>
    <w:rsid w:val="02FA25DD"/>
    <w:rsid w:val="03885F3F"/>
    <w:rsid w:val="058E53C4"/>
    <w:rsid w:val="059B347A"/>
    <w:rsid w:val="06456265"/>
    <w:rsid w:val="06622973"/>
    <w:rsid w:val="073E6F3C"/>
    <w:rsid w:val="0781151E"/>
    <w:rsid w:val="07876E2F"/>
    <w:rsid w:val="07905DDE"/>
    <w:rsid w:val="07DF0035"/>
    <w:rsid w:val="07E5640F"/>
    <w:rsid w:val="07F208C8"/>
    <w:rsid w:val="07FA1723"/>
    <w:rsid w:val="086A1FB2"/>
    <w:rsid w:val="09384B54"/>
    <w:rsid w:val="09A71398"/>
    <w:rsid w:val="0B4B116C"/>
    <w:rsid w:val="0B5D195B"/>
    <w:rsid w:val="0B6759FE"/>
    <w:rsid w:val="0BBC2B25"/>
    <w:rsid w:val="0BDB6697"/>
    <w:rsid w:val="0BF00976"/>
    <w:rsid w:val="0BF85F40"/>
    <w:rsid w:val="0CC169A1"/>
    <w:rsid w:val="0CE75980"/>
    <w:rsid w:val="0D0532FC"/>
    <w:rsid w:val="0D335069"/>
    <w:rsid w:val="0DF90060"/>
    <w:rsid w:val="0E0B38F0"/>
    <w:rsid w:val="0E364E11"/>
    <w:rsid w:val="0E903C7A"/>
    <w:rsid w:val="0E9744DF"/>
    <w:rsid w:val="0EBA460D"/>
    <w:rsid w:val="0F133DCD"/>
    <w:rsid w:val="0F25222B"/>
    <w:rsid w:val="0F707EAE"/>
    <w:rsid w:val="0F754D02"/>
    <w:rsid w:val="0F800202"/>
    <w:rsid w:val="1003433E"/>
    <w:rsid w:val="1048279D"/>
    <w:rsid w:val="109A05F6"/>
    <w:rsid w:val="113F222E"/>
    <w:rsid w:val="11474AE7"/>
    <w:rsid w:val="119F0F1F"/>
    <w:rsid w:val="11C664AC"/>
    <w:rsid w:val="122431D2"/>
    <w:rsid w:val="130628D8"/>
    <w:rsid w:val="135E44C2"/>
    <w:rsid w:val="138C102F"/>
    <w:rsid w:val="13906D71"/>
    <w:rsid w:val="13BD78BE"/>
    <w:rsid w:val="14363393"/>
    <w:rsid w:val="14661880"/>
    <w:rsid w:val="151F106F"/>
    <w:rsid w:val="16835D51"/>
    <w:rsid w:val="16A8764A"/>
    <w:rsid w:val="16AE5760"/>
    <w:rsid w:val="18026A60"/>
    <w:rsid w:val="188A4FEF"/>
    <w:rsid w:val="18CD013D"/>
    <w:rsid w:val="19121FD6"/>
    <w:rsid w:val="193B3AC8"/>
    <w:rsid w:val="19645239"/>
    <w:rsid w:val="196721D6"/>
    <w:rsid w:val="199F1A36"/>
    <w:rsid w:val="19BC6710"/>
    <w:rsid w:val="19F84FCA"/>
    <w:rsid w:val="19F8741E"/>
    <w:rsid w:val="1A5F1C1B"/>
    <w:rsid w:val="1AE6371B"/>
    <w:rsid w:val="1B1A7868"/>
    <w:rsid w:val="1B4855C5"/>
    <w:rsid w:val="1C4F6C9D"/>
    <w:rsid w:val="1C5F19D6"/>
    <w:rsid w:val="1C626DD1"/>
    <w:rsid w:val="1C8B457A"/>
    <w:rsid w:val="1CB735C0"/>
    <w:rsid w:val="1CE27F12"/>
    <w:rsid w:val="1D211E4E"/>
    <w:rsid w:val="1D3C3AC6"/>
    <w:rsid w:val="1DCB4E4A"/>
    <w:rsid w:val="1DD67A76"/>
    <w:rsid w:val="1F4B7FF0"/>
    <w:rsid w:val="1F7532BF"/>
    <w:rsid w:val="205E3D53"/>
    <w:rsid w:val="20651585"/>
    <w:rsid w:val="2075682A"/>
    <w:rsid w:val="20772C8C"/>
    <w:rsid w:val="215B0293"/>
    <w:rsid w:val="21A97250"/>
    <w:rsid w:val="21FC3824"/>
    <w:rsid w:val="22794E74"/>
    <w:rsid w:val="23CD191B"/>
    <w:rsid w:val="23E97DD8"/>
    <w:rsid w:val="250D7AF6"/>
    <w:rsid w:val="250E3D04"/>
    <w:rsid w:val="255A0588"/>
    <w:rsid w:val="25AE12D9"/>
    <w:rsid w:val="26971D6D"/>
    <w:rsid w:val="270C3E08"/>
    <w:rsid w:val="27606603"/>
    <w:rsid w:val="27DF39CB"/>
    <w:rsid w:val="283848D1"/>
    <w:rsid w:val="28DE3C83"/>
    <w:rsid w:val="28FA6780"/>
    <w:rsid w:val="29032B32"/>
    <w:rsid w:val="296E3259"/>
    <w:rsid w:val="297445E7"/>
    <w:rsid w:val="297D264F"/>
    <w:rsid w:val="2A1D07DB"/>
    <w:rsid w:val="2AB23619"/>
    <w:rsid w:val="2AB51301"/>
    <w:rsid w:val="2AE65213"/>
    <w:rsid w:val="2B7E116D"/>
    <w:rsid w:val="2BF35C97"/>
    <w:rsid w:val="2CD46041"/>
    <w:rsid w:val="2CEF7658"/>
    <w:rsid w:val="2D1E0AF2"/>
    <w:rsid w:val="2D8F46CE"/>
    <w:rsid w:val="2EEC4921"/>
    <w:rsid w:val="2F084421"/>
    <w:rsid w:val="30754C3A"/>
    <w:rsid w:val="30D342E9"/>
    <w:rsid w:val="30E015A8"/>
    <w:rsid w:val="30EC0F07"/>
    <w:rsid w:val="31741628"/>
    <w:rsid w:val="31DC2B34"/>
    <w:rsid w:val="32AA2E28"/>
    <w:rsid w:val="33615BDC"/>
    <w:rsid w:val="337207C4"/>
    <w:rsid w:val="338027AA"/>
    <w:rsid w:val="33843679"/>
    <w:rsid w:val="340273BB"/>
    <w:rsid w:val="34A915E9"/>
    <w:rsid w:val="34D10B40"/>
    <w:rsid w:val="352E5290"/>
    <w:rsid w:val="35757B2E"/>
    <w:rsid w:val="35C13408"/>
    <w:rsid w:val="35CD1B07"/>
    <w:rsid w:val="36653C36"/>
    <w:rsid w:val="37FC4126"/>
    <w:rsid w:val="390C2146"/>
    <w:rsid w:val="396B4DB7"/>
    <w:rsid w:val="39C46EC5"/>
    <w:rsid w:val="39F01A68"/>
    <w:rsid w:val="3A745520"/>
    <w:rsid w:val="3A7E0E22"/>
    <w:rsid w:val="3AE0789A"/>
    <w:rsid w:val="3B19146B"/>
    <w:rsid w:val="3BCF6ED8"/>
    <w:rsid w:val="3C1A7270"/>
    <w:rsid w:val="3C3E4D0D"/>
    <w:rsid w:val="3C5868E1"/>
    <w:rsid w:val="3C752406"/>
    <w:rsid w:val="3CA3132A"/>
    <w:rsid w:val="3D747664"/>
    <w:rsid w:val="3D9F7A2D"/>
    <w:rsid w:val="3DFD4754"/>
    <w:rsid w:val="3E9D1381"/>
    <w:rsid w:val="3EC21890"/>
    <w:rsid w:val="3ECB0FD7"/>
    <w:rsid w:val="3EF668A9"/>
    <w:rsid w:val="3F19736B"/>
    <w:rsid w:val="3F731171"/>
    <w:rsid w:val="3F850EA5"/>
    <w:rsid w:val="3FB928FC"/>
    <w:rsid w:val="3FD555D0"/>
    <w:rsid w:val="4013025E"/>
    <w:rsid w:val="40714F85"/>
    <w:rsid w:val="40744DB6"/>
    <w:rsid w:val="41E023C2"/>
    <w:rsid w:val="431111E7"/>
    <w:rsid w:val="432664FB"/>
    <w:rsid w:val="43270BE5"/>
    <w:rsid w:val="446138AA"/>
    <w:rsid w:val="45336E64"/>
    <w:rsid w:val="45C83899"/>
    <w:rsid w:val="46256F3D"/>
    <w:rsid w:val="46377F79"/>
    <w:rsid w:val="46AB68FC"/>
    <w:rsid w:val="47033615"/>
    <w:rsid w:val="470C4452"/>
    <w:rsid w:val="474C6527"/>
    <w:rsid w:val="47CD163B"/>
    <w:rsid w:val="487E6AC6"/>
    <w:rsid w:val="494A7DB3"/>
    <w:rsid w:val="49697141"/>
    <w:rsid w:val="498875C7"/>
    <w:rsid w:val="4A1B3F4F"/>
    <w:rsid w:val="4A9B157C"/>
    <w:rsid w:val="4AA01582"/>
    <w:rsid w:val="4ACC68A4"/>
    <w:rsid w:val="4B496369"/>
    <w:rsid w:val="4B5C0D0B"/>
    <w:rsid w:val="4B6E46F3"/>
    <w:rsid w:val="4B871B00"/>
    <w:rsid w:val="4B9F6E4A"/>
    <w:rsid w:val="4C303F46"/>
    <w:rsid w:val="4C5D2DE6"/>
    <w:rsid w:val="4C7958ED"/>
    <w:rsid w:val="4D1A6749"/>
    <w:rsid w:val="4D41120C"/>
    <w:rsid w:val="4D471547"/>
    <w:rsid w:val="4D706CF0"/>
    <w:rsid w:val="4E7E71EB"/>
    <w:rsid w:val="4F0022F6"/>
    <w:rsid w:val="4F440434"/>
    <w:rsid w:val="4F4E3061"/>
    <w:rsid w:val="4FD07F1A"/>
    <w:rsid w:val="50C33A65"/>
    <w:rsid w:val="514E559A"/>
    <w:rsid w:val="519A07DF"/>
    <w:rsid w:val="51EB7A8C"/>
    <w:rsid w:val="52002C7D"/>
    <w:rsid w:val="521265C8"/>
    <w:rsid w:val="526606C2"/>
    <w:rsid w:val="52B256B5"/>
    <w:rsid w:val="5550678D"/>
    <w:rsid w:val="55592760"/>
    <w:rsid w:val="557A3CDC"/>
    <w:rsid w:val="56784E0B"/>
    <w:rsid w:val="567A5BBC"/>
    <w:rsid w:val="56E35C0A"/>
    <w:rsid w:val="56EB5639"/>
    <w:rsid w:val="56FF2C59"/>
    <w:rsid w:val="571D0F05"/>
    <w:rsid w:val="573945F7"/>
    <w:rsid w:val="579445C5"/>
    <w:rsid w:val="583D2821"/>
    <w:rsid w:val="584170F0"/>
    <w:rsid w:val="58951F84"/>
    <w:rsid w:val="58A0006A"/>
    <w:rsid w:val="59361532"/>
    <w:rsid w:val="59B57AB7"/>
    <w:rsid w:val="59CC7818"/>
    <w:rsid w:val="5A7F0572"/>
    <w:rsid w:val="5A8C7C96"/>
    <w:rsid w:val="5ABF12B7"/>
    <w:rsid w:val="5AF54CD9"/>
    <w:rsid w:val="5B280C0A"/>
    <w:rsid w:val="5B3944A5"/>
    <w:rsid w:val="5BA83AF9"/>
    <w:rsid w:val="5C090F2F"/>
    <w:rsid w:val="5C7215B8"/>
    <w:rsid w:val="5C9B540C"/>
    <w:rsid w:val="5C9E7D8C"/>
    <w:rsid w:val="5CBB785C"/>
    <w:rsid w:val="5CCE3A33"/>
    <w:rsid w:val="5D99194B"/>
    <w:rsid w:val="5DBF512A"/>
    <w:rsid w:val="5DD872CF"/>
    <w:rsid w:val="5DEA7F80"/>
    <w:rsid w:val="5E69536C"/>
    <w:rsid w:val="5E9842F9"/>
    <w:rsid w:val="5EC831A0"/>
    <w:rsid w:val="5F1F2324"/>
    <w:rsid w:val="5F261904"/>
    <w:rsid w:val="5F5606F5"/>
    <w:rsid w:val="5FC62BC6"/>
    <w:rsid w:val="603D38D8"/>
    <w:rsid w:val="60E6759D"/>
    <w:rsid w:val="61C64CD9"/>
    <w:rsid w:val="626369CC"/>
    <w:rsid w:val="62A01AD4"/>
    <w:rsid w:val="64CC5470"/>
    <w:rsid w:val="65332685"/>
    <w:rsid w:val="656E2D2F"/>
    <w:rsid w:val="65974D01"/>
    <w:rsid w:val="65D6157E"/>
    <w:rsid w:val="65F546D2"/>
    <w:rsid w:val="6672542F"/>
    <w:rsid w:val="671771FC"/>
    <w:rsid w:val="67486190"/>
    <w:rsid w:val="685272C6"/>
    <w:rsid w:val="68882CE8"/>
    <w:rsid w:val="69A022B3"/>
    <w:rsid w:val="69C02956"/>
    <w:rsid w:val="6A613937"/>
    <w:rsid w:val="6B031CAC"/>
    <w:rsid w:val="6B985938"/>
    <w:rsid w:val="6C17653B"/>
    <w:rsid w:val="6C2E3BA6"/>
    <w:rsid w:val="6C783074"/>
    <w:rsid w:val="6C7A3290"/>
    <w:rsid w:val="6C8944FD"/>
    <w:rsid w:val="6D2F7BB5"/>
    <w:rsid w:val="6DA7218C"/>
    <w:rsid w:val="6DAF2D56"/>
    <w:rsid w:val="6DB74CDB"/>
    <w:rsid w:val="6E1D2124"/>
    <w:rsid w:val="6E6169C8"/>
    <w:rsid w:val="6EA415C1"/>
    <w:rsid w:val="6FC772D4"/>
    <w:rsid w:val="70141387"/>
    <w:rsid w:val="70EA3BE1"/>
    <w:rsid w:val="71301AB0"/>
    <w:rsid w:val="71681909"/>
    <w:rsid w:val="71935F0F"/>
    <w:rsid w:val="71B50BEF"/>
    <w:rsid w:val="72195ED6"/>
    <w:rsid w:val="729A1F96"/>
    <w:rsid w:val="72E41463"/>
    <w:rsid w:val="730138C5"/>
    <w:rsid w:val="736E39AB"/>
    <w:rsid w:val="74034C81"/>
    <w:rsid w:val="741B5358"/>
    <w:rsid w:val="74B07CC7"/>
    <w:rsid w:val="74C04D54"/>
    <w:rsid w:val="757A6455"/>
    <w:rsid w:val="76141507"/>
    <w:rsid w:val="7634774F"/>
    <w:rsid w:val="771B741D"/>
    <w:rsid w:val="77776365"/>
    <w:rsid w:val="77D61195"/>
    <w:rsid w:val="787D038F"/>
    <w:rsid w:val="78886285"/>
    <w:rsid w:val="789254BD"/>
    <w:rsid w:val="78B33DB1"/>
    <w:rsid w:val="79162197"/>
    <w:rsid w:val="799D5DBF"/>
    <w:rsid w:val="79D35D8D"/>
    <w:rsid w:val="7A1E16FE"/>
    <w:rsid w:val="7A31152D"/>
    <w:rsid w:val="7A43596B"/>
    <w:rsid w:val="7B2C39A7"/>
    <w:rsid w:val="7C442DB7"/>
    <w:rsid w:val="7C4D1E27"/>
    <w:rsid w:val="7C5A4544"/>
    <w:rsid w:val="7C65717F"/>
    <w:rsid w:val="7D6A6A08"/>
    <w:rsid w:val="7DF453A3"/>
    <w:rsid w:val="7E77762F"/>
    <w:rsid w:val="7E9C13E9"/>
    <w:rsid w:val="7ED92098"/>
    <w:rsid w:val="7F2F1CB8"/>
    <w:rsid w:val="7F5A53F2"/>
    <w:rsid w:val="7F737DF6"/>
    <w:rsid w:val="7F9668CF"/>
    <w:rsid w:val="7FA47658"/>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semiHidden="0" w:uiPriority="1" w:unhideWhenUsed="0" w:qFormat="1"/>
    <w:lsdException w:name="heading 3" w:semiHidden="0" w:uiPriority="1" w:unhideWhenUsed="0" w:qFormat="1"/>
    <w:lsdException w:name="heading 4" w:semiHidden="0" w:uiPriority="1" w:unhideWhenUsed="0" w:qFormat="1"/>
    <w:lsdException w:name="heading 5" w:semiHidden="0" w:uiPriority="1" w:unhideWhenUsed="0" w:qFormat="1"/>
    <w:lsdException w:name="heading 6" w:semiHidden="0" w:uiPriority="1" w:unhideWhenUsed="0" w:qFormat="1"/>
    <w:lsdException w:name="heading 7" w:semiHidden="0" w:uiPriority="1" w:unhideWhenUsed="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5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zh-CN" w:eastAsia="zh-CN" w:bidi="zh-CN"/>
    </w:rPr>
  </w:style>
  <w:style w:type="paragraph" w:styleId="Heading1">
    <w:name w:val="heading 1"/>
    <w:basedOn w:val="Normal"/>
    <w:next w:val="Normal"/>
    <w:uiPriority w:val="1"/>
    <w:qFormat/>
    <w:pPr>
      <w:spacing w:before="37"/>
      <w:jc w:val="center"/>
      <w:outlineLvl w:val="0"/>
    </w:pPr>
    <w:rPr>
      <w:rFonts w:ascii="宋体" w:eastAsia="宋体" w:hAnsi="宋体" w:cs="宋体"/>
      <w:b/>
      <w:bCs/>
      <w:sz w:val="32"/>
      <w:szCs w:val="32"/>
      <w:lang w:val="zh-CN" w:eastAsia="zh-CN" w:bidi="zh-CN"/>
    </w:rPr>
  </w:style>
  <w:style w:type="paragraph" w:styleId="Heading2">
    <w:name w:val="heading 2"/>
    <w:basedOn w:val="Normal"/>
    <w:next w:val="Normal"/>
    <w:uiPriority w:val="1"/>
    <w:qFormat/>
    <w:pPr>
      <w:ind w:left="1159"/>
      <w:outlineLvl w:val="1"/>
    </w:pPr>
    <w:rPr>
      <w:rFonts w:ascii="宋体" w:eastAsia="宋体" w:hAnsi="宋体" w:cs="宋体"/>
      <w:sz w:val="32"/>
      <w:szCs w:val="32"/>
      <w:lang w:val="zh-CN" w:eastAsia="zh-CN" w:bidi="zh-CN"/>
    </w:rPr>
  </w:style>
  <w:style w:type="paragraph" w:styleId="Heading3">
    <w:name w:val="heading 3"/>
    <w:basedOn w:val="Normal"/>
    <w:next w:val="Normal"/>
    <w:uiPriority w:val="1"/>
    <w:qFormat/>
    <w:pPr>
      <w:outlineLvl w:val="2"/>
    </w:pPr>
    <w:rPr>
      <w:rFonts w:ascii="Times New Roman" w:eastAsia="Times New Roman" w:hAnsi="Times New Roman" w:cs="Times New Roman"/>
      <w:b/>
      <w:bCs/>
      <w:sz w:val="30"/>
      <w:szCs w:val="30"/>
      <w:u w:val="single" w:color="000000"/>
      <w:lang w:val="zh-CN" w:eastAsia="zh-CN" w:bidi="zh-CN"/>
    </w:rPr>
  </w:style>
  <w:style w:type="paragraph" w:styleId="Heading4">
    <w:name w:val="heading 4"/>
    <w:basedOn w:val="Normal"/>
    <w:next w:val="Normal"/>
    <w:uiPriority w:val="1"/>
    <w:qFormat/>
    <w:pPr>
      <w:outlineLvl w:val="3"/>
    </w:pPr>
    <w:rPr>
      <w:rFonts w:ascii="Times New Roman" w:eastAsia="Times New Roman" w:hAnsi="Times New Roman" w:cs="Times New Roman"/>
      <w:sz w:val="30"/>
      <w:szCs w:val="30"/>
      <w:lang w:val="zh-CN" w:eastAsia="zh-CN" w:bidi="zh-CN"/>
    </w:rPr>
  </w:style>
  <w:style w:type="paragraph" w:styleId="Heading5">
    <w:name w:val="heading 5"/>
    <w:basedOn w:val="Normal"/>
    <w:next w:val="Normal"/>
    <w:uiPriority w:val="1"/>
    <w:qFormat/>
    <w:pPr>
      <w:ind w:left="741" w:hanging="701"/>
      <w:outlineLvl w:val="4"/>
    </w:pPr>
    <w:rPr>
      <w:rFonts w:ascii="宋体" w:eastAsia="宋体" w:hAnsi="宋体" w:cs="宋体"/>
      <w:b/>
      <w:bCs/>
      <w:sz w:val="28"/>
      <w:szCs w:val="28"/>
      <w:lang w:val="zh-CN" w:eastAsia="zh-CN" w:bidi="zh-CN"/>
    </w:rPr>
  </w:style>
  <w:style w:type="paragraph" w:styleId="Heading6">
    <w:name w:val="heading 6"/>
    <w:basedOn w:val="Normal"/>
    <w:next w:val="Normal"/>
    <w:uiPriority w:val="1"/>
    <w:qFormat/>
    <w:pPr>
      <w:ind w:left="101"/>
      <w:outlineLvl w:val="5"/>
    </w:pPr>
    <w:rPr>
      <w:rFonts w:ascii="Times New Roman" w:eastAsia="Times New Roman" w:hAnsi="Times New Roman" w:cs="Times New Roman"/>
      <w:sz w:val="28"/>
      <w:szCs w:val="28"/>
      <w:lang w:val="zh-CN" w:eastAsia="zh-CN" w:bidi="zh-CN"/>
    </w:rPr>
  </w:style>
  <w:style w:type="paragraph" w:styleId="Heading7">
    <w:name w:val="heading 7"/>
    <w:basedOn w:val="Normal"/>
    <w:next w:val="Normal"/>
    <w:uiPriority w:val="1"/>
    <w:qFormat/>
    <w:pPr>
      <w:ind w:left="1224" w:hanging="301"/>
      <w:outlineLvl w:val="6"/>
    </w:pPr>
    <w:rPr>
      <w:rFonts w:ascii="宋体" w:eastAsia="宋体" w:hAnsi="宋体" w:cs="宋体"/>
      <w:b/>
      <w:bCs/>
      <w:sz w:val="24"/>
      <w:szCs w:val="24"/>
      <w:lang w:val="zh-CN" w:eastAsia="zh-CN" w:bidi="zh-CN"/>
    </w:rPr>
  </w:style>
  <w:style w:type="character" w:default="1" w:styleId="DefaultParagraphFont">
    <w:name w:val="Default Paragraph Font"/>
    <w:uiPriority w:val="1"/>
    <w:unhideWhenUsed/>
    <w:qFormat/>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uiPriority w:val="1"/>
    <w:qFormat/>
    <w:rPr>
      <w:rFonts w:ascii="宋体" w:eastAsia="宋体" w:hAnsi="宋体" w:cs="宋体"/>
      <w:sz w:val="24"/>
      <w:szCs w:val="24"/>
      <w:lang w:val="zh-CN" w:eastAsia="zh-CN" w:bidi="zh-CN"/>
    </w:rPr>
  </w:style>
  <w:style w:type="paragraph" w:styleId="TOC3">
    <w:name w:val="toc 3"/>
    <w:basedOn w:val="Normal"/>
    <w:next w:val="Normal"/>
    <w:qFormat/>
    <w:pPr>
      <w:ind w:left="840" w:leftChars="400"/>
    </w:pPr>
  </w:style>
  <w:style w:type="paragraph" w:styleId="Footer">
    <w:name w:val="footer"/>
    <w:basedOn w:val="Normal"/>
    <w:uiPriority w:val="99"/>
    <w:unhideWhenUsed/>
    <w:qFormat/>
    <w:pPr>
      <w:tabs>
        <w:tab w:val="center" w:pos="4153"/>
        <w:tab w:val="right" w:pos="8306"/>
      </w:tabs>
      <w:snapToGrid w:val="0"/>
      <w:jc w:val="left"/>
    </w:pPr>
    <w:rPr>
      <w:rFonts w:ascii="Calibri" w:hAnsi="Calibri"/>
      <w:kern w:val="0"/>
      <w:sz w:val="18"/>
      <w:szCs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qFormat/>
  </w:style>
  <w:style w:type="paragraph" w:styleId="TOC2">
    <w:name w:val="toc 2"/>
    <w:basedOn w:val="Normal"/>
    <w:next w:val="Normal"/>
    <w:qFormat/>
    <w:pPr>
      <w:ind w:left="420" w:leftChars="200"/>
    </w:pPr>
  </w:style>
  <w:style w:type="paragraph" w:styleId="NormalWeb">
    <w:name w:val="Normal (Web)"/>
    <w:basedOn w:val="Normal"/>
    <w:uiPriority w:val="99"/>
    <w:unhideWhenUsed/>
    <w:qFormat/>
    <w:pPr>
      <w:widowControl/>
      <w:spacing w:before="100" w:beforeAutospacing="1" w:after="100" w:afterAutospacing="1"/>
      <w:jc w:val="left"/>
    </w:pPr>
    <w:rPr>
      <w:rFonts w:ascii="宋体" w:hAnsi="宋体" w:cs="宋体"/>
      <w:kern w:val="0"/>
      <w:sz w:val="24"/>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0">
    <w:name w:val="Table Normal"/>
    <w:uiPriority w:val="2"/>
    <w:unhideWhenUsed/>
    <w:qFormat/>
    <w:tblPr>
      <w:tblCellMar>
        <w:top w:w="0" w:type="dxa"/>
        <w:left w:w="0" w:type="dxa"/>
        <w:bottom w:w="0" w:type="dxa"/>
        <w:right w:w="0" w:type="dxa"/>
      </w:tblCellMar>
    </w:tblPr>
  </w:style>
  <w:style w:type="paragraph" w:customStyle="1" w:styleId="ListParagraph">
    <w:name w:val="List Paragraph"/>
    <w:basedOn w:val="Normal"/>
    <w:uiPriority w:val="1"/>
    <w:qFormat/>
    <w:pPr>
      <w:ind w:left="442" w:hanging="301"/>
    </w:pPr>
    <w:rPr>
      <w:rFonts w:ascii="宋体" w:eastAsia="宋体" w:hAnsi="宋体" w:cs="宋体"/>
      <w:lang w:val="zh-CN" w:eastAsia="zh-CN" w:bidi="zh-CN"/>
    </w:rPr>
  </w:style>
  <w:style w:type="paragraph" w:customStyle="1" w:styleId="TableParagraph">
    <w:name w:val="Table Paragraph"/>
    <w:basedOn w:val="Normal"/>
    <w:uiPriority w:val="1"/>
    <w:qFormat/>
    <w:rPr>
      <w:rFonts w:ascii="Times New Roman" w:eastAsia="Times New Roman" w:hAnsi="Times New Roman" w:cs="Times New Roman"/>
      <w:lang w:val="zh-CN" w:eastAsia="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hyperlink" Target="https://d.book118.com/308042075046006044" TargetMode="Externa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157260480</TotalTime>
  <Pages>7</Pages>
  <Words>14715</Words>
  <Characters>19583</Characters>
  <Application>Microsoft Office Word</Application>
  <DocSecurity>0</DocSecurity>
  <Lines>0</Lines>
  <Paragraphs>0</Paragraphs>
  <ScaleCrop>false</ScaleCrop>
  <Company/>
  <LinksUpToDate>false</LinksUpToDate>
  <CharactersWithSpaces>20285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江西财经大学毕业论文指导手册</dc:title>
  <dc:creator>Admin</dc:creator>
  <cp:lastModifiedBy>ABEEL</cp:lastModifiedBy>
  <cp:revision>0</cp:revision>
  <dcterms:created xsi:type="dcterms:W3CDTF">2020-09-27T11:03:00Z</dcterms:created>
  <dcterms:modified xsi:type="dcterms:W3CDTF">2023-09-10T08:44:07Z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2019-11-20T16:00:00Z</vt:filetime>
  </property>
  <property fmtid="{D5CDD505-2E9C-101B-9397-08002B2CF9AE}" pid="3" name="Creator">
    <vt:lpwstr>Microsoft® Word 2016</vt:lpwstr>
  </property>
  <property fmtid="{D5CDD505-2E9C-101B-9397-08002B2CF9AE}" pid="4" name="ICV">
    <vt:lpwstr>FD5CE35514EB4C04AB9AEC730D80DDF2_13</vt:lpwstr>
  </property>
  <property fmtid="{D5CDD505-2E9C-101B-9397-08002B2CF9AE}" pid="5" name="KSOProductBuildVer">
    <vt:lpwstr>2052-12.1.0.15398</vt:lpwstr>
  </property>
  <property fmtid="{D5CDD505-2E9C-101B-9397-08002B2CF9AE}" pid="6" name="LastSaved">
    <vt:filetime>2020-09-26T16:00:00Z</vt:filetime>
  </property>
</Properties>
</file>