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手持云台行业相关公司设立可行性研究报告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78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eastAsia="zh-CN"/>
          </w:rPr>
          <w:t>(一)、手持云台项目选址原则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_Toc29266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3" w:history="1">
        <w:r>
          <w:rPr>
            <w:rFonts w:ascii="仿宋" w:eastAsia="仿宋" w:hAnsi="仿宋" w:cs="仿宋" w:hint="eastAsia"/>
            <w:lang w:eastAsia="zh-CN"/>
          </w:rPr>
          <w:t>(五)、手持云台项目选址综合评价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_Toc22873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_Toc29254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_Toc13410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8" w:history="1">
        <w:r>
          <w:rPr>
            <w:rFonts w:ascii="仿宋" w:eastAsia="仿宋" w:hAnsi="仿宋" w:cs="仿宋" w:hint="eastAsia"/>
            <w:lang w:eastAsia="zh-CN"/>
          </w:rPr>
          <w:t>(七)、手持云台项目建设必要性分析</w:t>
        </w:r>
        <w:r>
          <w:tab/>
        </w:r>
        <w:r>
          <w:fldChar w:fldCharType="begin"/>
        </w:r>
        <w:r>
          <w:instrText xml:space="preserve"> PAGEREF _Toc25738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五、手持云台筹建公司基本信息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六、手持云台项目经济效益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eastAsia="zh-CN"/>
          </w:rPr>
          <w:t>(三)、手持云台项目盈利能力分析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_Toc4280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_Toc3721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_Toc18330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_Toc31059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(一)、手持云台项目进度安排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4" w:history="1">
        <w:r>
          <w:rPr>
            <w:rFonts w:ascii="仿宋" w:eastAsia="仿宋" w:hAnsi="仿宋" w:cs="仿宋" w:hint="eastAsia"/>
            <w:lang w:eastAsia="zh-CN"/>
          </w:rPr>
          <w:t>(二)、手持云台项目实施保障措施</w:t>
        </w:r>
        <w:r>
          <w:tab/>
        </w:r>
        <w:r>
          <w:fldChar w:fldCharType="begin"/>
        </w:r>
        <w:r>
          <w:instrText xml:space="preserve"> PAGEREF _Toc20174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_Toc19922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_Toc23965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(二)、合作手持云台项目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_Toc11955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_Toc21262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十四、手持云台项目总结分析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78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0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91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https://d.book118.com/308043061131006036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手持云台行业相关公司设立可行性研究报告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手持云台行业相关公司设立可行性研究报告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手持云台行业相关公司设立可行性研究报告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手持云台行业相关公司设立可行性研究报告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手持云台行业相关公司设立可行性研究报告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04306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2024-02-04T15:09:00Z</dcterms:created>
  <dcterms:modified xsi:type="dcterms:W3CDTF">2024-02-04T15:10:00Z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721CD0D4ED0F4887AD4DE9A44E4BBB38_11</vt:lpwstr>
  </property>
  <property fmtid="{D5CDD505-2E9C-101B-9397-08002B2CF9AE}" pid="3" name="KSOProductBuildVer">
    <vt:lpwstr>2052-12.1.0.16250</vt:lpwstr>
  </property>
</Properties>
</file>