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2018-2023年天津海运职业学院高职单招（数学／语文／英语）历年常考试题库含答案解析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黄省三是下列哪部作品中的人物（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孟子《寡人之于国也》认为实行王道始于（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A.河内凶，则移其民于河东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B.谨庠序之教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C.养生丧死无憾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D.填然鼓之，兵刃既接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下列选项中，不属于辛弃疾《水龙吟·登建康赏心亭》表现手法的一项是（）。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A.“初唐四杰”是指王勃、杨炯、卢照邻、骆宾王。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B.“中唐古文运动”的领袖是韩愈、柳宗元。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C.“新乐府运动”的倡导者是王维、白居易。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D.“小李杜”指的是李商隐、杜牧。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李白《行路难》中，情感抒发的特点是（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A.逐层递进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B.逐层递退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C.平缓舒展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D.起伏跌宕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《选择与安排》一文选自朱光潜的论文集（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A.《悲剧心理学》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B.《谈美》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C.《谈文学》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D.《诗论》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“贻笑大方”这个成语出自于（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C.《秋水》（节选）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下列句子中，运用侧面描写渲染演出效果的是（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A.引商刻羽，抗坠疾徐，并称善也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B.或大呼命酒，或移坐更进之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C.我闻今相国顾秉谦者，严相国俦也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D.以分宜教分宜，安得不工哉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下列画线的句子翻译错误的是（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91072" cy="230529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1072" cy="230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对下列词句解释不正确的一项是（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A.“潇潇暮雨”指傍晚的雨势急骤。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B.“苒苒物华休”指美好的景物逐渐凋残。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C.“何事苦淹留”指不知道什么原因流连于此，不忍离去。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D.“正恁凝愁”指正有许多愁绪凝结，如此难以排解。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https://d.book118.com/308057075132006040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308057075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