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540" w:lineRule="exact"/>
        <w:outlineLvl w:val="0"/>
        <w:rPr>
          <w:rFonts w:ascii="黑体" w:eastAsia="黑体" w:hAnsi="黑体" w:cs="黑体"/>
          <w:sz w:val="32"/>
          <w:szCs w:val="32"/>
        </w:rPr>
      </w:pPr>
      <w:bookmarkStart w:id="0" w:name="_Toc264009896"/>
      <w:bookmarkStart w:id="1" w:name="_Toc262152875"/>
      <w:r>
        <w:rPr>
          <w:rFonts w:ascii="黑体" w:eastAsia="黑体" w:hAnsi="黑体" w:cs="黑体" w:hint="eastAsia"/>
          <w:sz w:val="32"/>
          <w:szCs w:val="32"/>
        </w:rPr>
        <w:t>附件3</w:t>
      </w:r>
    </w:p>
    <w:p>
      <w:pPr>
        <w:spacing w:line="540" w:lineRule="exact"/>
        <w:jc w:val="center"/>
        <w:outlineLvl w:val="0"/>
        <w:rPr>
          <w:rFonts w:ascii="方正小标宋简体" w:eastAsia="方正小标宋简体" w:hAnsiTheme="majorEastAsia" w:cstheme="majorEastAsia"/>
          <w:sz w:val="44"/>
          <w:szCs w:val="44"/>
        </w:rPr>
      </w:pPr>
    </w:p>
    <w:p>
      <w:pPr>
        <w:spacing w:line="540" w:lineRule="exact"/>
        <w:jc w:val="center"/>
        <w:outlineLvl w:val="0"/>
        <w:rPr>
          <w:rFonts w:ascii="方正小标宋简体" w:eastAsia="方正小标宋简体" w:hAnsiTheme="majorEastAsia" w:cstheme="majorEastAsia"/>
          <w:sz w:val="44"/>
          <w:szCs w:val="44"/>
        </w:rPr>
      </w:pPr>
      <w:r>
        <w:rPr>
          <w:rFonts w:ascii="方正小标宋简体" w:eastAsia="方正小标宋简体" w:hAnsiTheme="majorEastAsia" w:cstheme="majorEastAsia" w:hint="eastAsia"/>
          <w:sz w:val="44"/>
          <w:szCs w:val="44"/>
        </w:rPr>
        <w:t>中医类别全科医生规范化培训</w:t>
      </w:r>
      <w:bookmarkEnd w:id="0"/>
      <w:bookmarkEnd w:id="1"/>
      <w:r>
        <w:rPr>
          <w:rFonts w:ascii="方正小标宋简体" w:eastAsia="方正小标宋简体" w:hAnsiTheme="majorEastAsia" w:cstheme="majorEastAsia" w:hint="eastAsia"/>
          <w:sz w:val="44"/>
          <w:szCs w:val="44"/>
        </w:rPr>
        <w:t>标准</w:t>
      </w:r>
    </w:p>
    <w:p>
      <w:pPr>
        <w:spacing w:line="540" w:lineRule="exact"/>
        <w:jc w:val="center"/>
        <w:rPr>
          <w:rFonts w:ascii="楷体_GB2312" w:eastAsia="楷体_GB2312" w:hAnsi="楷体_GB2312" w:cs="楷体_GB2312"/>
          <w:b/>
          <w:sz w:val="30"/>
          <w:szCs w:val="30"/>
        </w:rPr>
      </w:pPr>
      <w:r>
        <w:rPr>
          <w:rFonts w:ascii="楷体_GB2312" w:eastAsia="楷体_GB2312" w:hAnsi="楷体_GB2312" w:cs="楷体_GB2312" w:hint="eastAsia"/>
          <w:b/>
          <w:sz w:val="30"/>
          <w:szCs w:val="30"/>
        </w:rPr>
        <w:t>（2023年版）</w:t>
      </w:r>
    </w:p>
    <w:p>
      <w:pPr>
        <w:spacing w:line="540" w:lineRule="exact"/>
        <w:ind w:firstLine="600" w:firstLineChars="200"/>
        <w:jc w:val="center"/>
        <w:rPr>
          <w:rFonts w:ascii="仿宋_GB2312" w:eastAsia="仿宋_GB2312" w:hAnsi="仿宋_GB2312" w:cs="仿宋_GB2312"/>
          <w:sz w:val="30"/>
          <w:szCs w:val="30"/>
        </w:rPr>
      </w:pPr>
    </w:p>
    <w:p>
      <w:pPr>
        <w:pStyle w:val="07"/>
        <w:spacing w:line="54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根据《中共中央 国务院关于促进中医药传承创新发展的意见》《国务院关于建立全科医生制度的指导意见》《国务院办公厅关于改革完善全科医生培养与使用激励机制的意见》《关于建立住院医师规范化培训制度的指导意见》</w:t>
      </w:r>
      <w:r>
        <w:rPr>
          <w:rFonts w:ascii="仿宋_GB2312" w:eastAsia="仿宋_GB2312" w:hAnsi="仿宋_GB2312" w:cs="仿宋_GB2312"/>
          <w:spacing w:val="1"/>
          <w:sz w:val="32"/>
          <w:szCs w:val="32"/>
        </w:rPr>
        <w:t>《国务院办公厅关于加快中医药特色发展的若干政</w:t>
      </w:r>
      <w:r>
        <w:rPr>
          <w:rFonts w:ascii="仿宋_GB2312" w:eastAsia="仿宋_GB2312" w:hAnsi="仿宋_GB2312" w:cs="仿宋_GB2312"/>
          <w:spacing w:val="20"/>
          <w:sz w:val="32"/>
          <w:szCs w:val="32"/>
        </w:rPr>
        <w:t>策措</w:t>
      </w:r>
      <w:r>
        <w:rPr>
          <w:rFonts w:ascii="仿宋_GB2312" w:eastAsia="仿宋_GB2312" w:hAnsi="仿宋_GB2312" w:cs="仿宋_GB2312"/>
          <w:spacing w:val="10"/>
          <w:sz w:val="32"/>
          <w:szCs w:val="32"/>
        </w:rPr>
        <w:t>施》</w:t>
      </w:r>
      <w:r>
        <w:rPr>
          <w:rFonts w:ascii="仿宋_GB2312" w:eastAsia="仿宋_GB2312" w:hAnsi="仿宋_GB2312" w:cs="仿宋_GB2312"/>
          <w:sz w:val="32"/>
          <w:szCs w:val="32"/>
        </w:rPr>
        <w:t>《中医医师规范化培训实施办法》</w:t>
      </w:r>
      <w:r>
        <w:rPr>
          <w:rFonts w:ascii="仿宋_GB2312" w:eastAsia="仿宋_GB2312" w:hAnsi="仿宋_GB2312" w:cs="仿宋_GB2312" w:hint="eastAsia"/>
          <w:sz w:val="32"/>
          <w:szCs w:val="32"/>
        </w:rPr>
        <w:t>等文件要求，为加强和规范中医类别全科医生培训工作,制定本标准。</w:t>
      </w:r>
    </w:p>
    <w:p>
      <w:pPr>
        <w:spacing w:line="540" w:lineRule="exact"/>
        <w:ind w:firstLine="640" w:firstLineChars="200"/>
        <w:jc w:val="left"/>
        <w:rPr>
          <w:rFonts w:ascii="仿宋_GB2312" w:eastAsia="仿宋_GB2312" w:hAnsi="仿宋_GB2312" w:cs="仿宋_GB2312"/>
          <w:spacing w:val="10"/>
          <w:sz w:val="32"/>
          <w:szCs w:val="32"/>
        </w:rPr>
      </w:pPr>
      <w:r>
        <w:rPr>
          <w:rFonts w:ascii="仿宋_GB2312" w:eastAsia="仿宋_GB2312" w:hAnsi="仿宋_GB2312" w:cs="仿宋_GB2312" w:hint="eastAsia"/>
          <w:sz w:val="32"/>
          <w:szCs w:val="32"/>
        </w:rPr>
        <w:t>本标准</w:t>
      </w:r>
      <w:r>
        <w:rPr>
          <w:rFonts w:ascii="仿宋_GB2312" w:eastAsia="仿宋_GB2312" w:hAnsi="仿宋_GB2312" w:cs="仿宋_GB2312" w:hint="eastAsia"/>
          <w:spacing w:val="10"/>
          <w:sz w:val="32"/>
          <w:szCs w:val="32"/>
        </w:rPr>
        <w:t>发布后，</w:t>
      </w:r>
      <w:r>
        <w:rPr>
          <w:rFonts w:ascii="仿宋_GB2312" w:eastAsia="仿宋_GB2312" w:hAnsi="仿宋_GB2312" w:cs="仿宋_GB2312"/>
          <w:spacing w:val="10"/>
          <w:sz w:val="32"/>
          <w:szCs w:val="32"/>
        </w:rPr>
        <w:t>2013</w:t>
      </w:r>
      <w:r>
        <w:rPr>
          <w:rFonts w:ascii="仿宋_GB2312" w:eastAsia="仿宋_GB2312" w:hAnsi="仿宋_GB2312" w:cs="仿宋_GB2312" w:hint="eastAsia"/>
          <w:spacing w:val="10"/>
          <w:sz w:val="32"/>
          <w:szCs w:val="32"/>
        </w:rPr>
        <w:t>年发布的《中医类别全科医生规范化培养标准（试行）》同时废止。</w:t>
      </w:r>
    </w:p>
    <w:p>
      <w:pPr>
        <w:spacing w:line="540" w:lineRule="exact"/>
        <w:ind w:firstLine="640" w:firstLineChars="200"/>
        <w:jc w:val="left"/>
        <w:rPr>
          <w:rFonts w:ascii="仿宋_GB2312" w:eastAsia="仿宋_GB2312" w:hAnsi="仿宋_GB2312" w:cs="仿宋_GB2312"/>
          <w:sz w:val="32"/>
          <w:szCs w:val="32"/>
        </w:rPr>
      </w:pPr>
    </w:p>
    <w:p>
      <w:pPr>
        <w:pStyle w:val="Heading1"/>
        <w:spacing w:line="540" w:lineRule="exact"/>
        <w:ind w:firstLine="640" w:firstLineChars="200"/>
        <w:jc w:val="center"/>
        <w:rPr>
          <w:rFonts w:eastAsia="宋体" w:asciiTheme="majorEastAsia" w:hAnsiTheme="majorEastAsia" w:cstheme="majorEastAsia"/>
          <w:sz w:val="32"/>
          <w:szCs w:val="32"/>
        </w:rPr>
      </w:pPr>
      <w:r>
        <w:rPr>
          <w:rFonts w:ascii="宋体" w:eastAsia="宋体" w:hAnsi="宋体" w:cs="宋体" w:hint="eastAsia"/>
          <w:sz w:val="32"/>
          <w:szCs w:val="32"/>
        </w:rPr>
        <w:t>第一章</w:t>
      </w:r>
      <w:r>
        <w:rPr>
          <w:rFonts w:ascii="宋体" w:eastAsia="宋体" w:hAnsi="宋体" w:cs="宋体"/>
          <w:sz w:val="32"/>
          <w:szCs w:val="32"/>
        </w:rPr>
        <w:t xml:space="preserve">  </w:t>
      </w:r>
      <w:r>
        <w:rPr>
          <w:rFonts w:ascii="宋体" w:eastAsia="宋体" w:hAnsi="宋体" w:cs="宋体" w:hint="eastAsia"/>
          <w:sz w:val="32"/>
          <w:szCs w:val="32"/>
        </w:rPr>
        <w:t xml:space="preserve">总 </w:t>
      </w:r>
      <w:r>
        <w:rPr>
          <w:rFonts w:ascii="宋体" w:eastAsia="宋体" w:hAnsi="宋体" w:cs="宋体"/>
          <w:sz w:val="32"/>
          <w:szCs w:val="32"/>
        </w:rPr>
        <w:t xml:space="preserve"> </w:t>
      </w:r>
      <w:r>
        <w:rPr>
          <w:rFonts w:ascii="宋体" w:eastAsia="宋体" w:hAnsi="宋体" w:cs="宋体" w:hint="eastAsia"/>
          <w:sz w:val="32"/>
          <w:szCs w:val="32"/>
        </w:rPr>
        <w:t>则</w:t>
      </w:r>
    </w:p>
    <w:p>
      <w:pPr>
        <w:spacing w:line="540" w:lineRule="exact"/>
        <w:ind w:firstLine="640" w:firstLineChars="200"/>
        <w:jc w:val="left"/>
        <w:rPr>
          <w:rFonts w:ascii="仿宋_GB2312" w:eastAsia="仿宋_GB2312" w:hAnsi="仿宋_GB2312" w:cs="仿宋_GB2312"/>
          <w:sz w:val="32"/>
          <w:szCs w:val="32"/>
        </w:rPr>
      </w:pPr>
    </w:p>
    <w:p>
      <w:pPr>
        <w:spacing w:line="600" w:lineRule="exact"/>
        <w:ind w:firstLine="640" w:firstLineChars="200"/>
        <w:jc w:val="left"/>
        <w:outlineLvl w:val="0"/>
        <w:rPr>
          <w:rFonts w:ascii="黑体" w:eastAsia="黑体" w:hAnsi="黑体" w:cs="黑体"/>
          <w:sz w:val="32"/>
          <w:szCs w:val="32"/>
        </w:rPr>
      </w:pPr>
      <w:r>
        <w:rPr>
          <w:rFonts w:ascii="黑体" w:eastAsia="黑体" w:hAnsi="黑体" w:cs="黑体" w:hint="eastAsia"/>
          <w:sz w:val="32"/>
          <w:szCs w:val="32"/>
        </w:rPr>
        <w:t>一、定义</w:t>
      </w:r>
    </w:p>
    <w:p>
      <w:pPr>
        <w:pStyle w:val="07"/>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中医全科医学是整合中医学和全科医学的综合性中医学临床二级学科。</w:t>
      </w:r>
    </w:p>
    <w:p>
      <w:pPr>
        <w:pStyle w:val="07"/>
        <w:spacing w:line="600" w:lineRule="exact"/>
        <w:ind w:firstLine="640"/>
        <w:rPr>
          <w:rFonts w:ascii="仿宋_GB2312" w:eastAsia="仿宋_GB2312" w:hAnsi="仿宋_GB2312" w:cs="仿宋_GB2312"/>
          <w:sz w:val="32"/>
          <w:szCs w:val="32"/>
        </w:rPr>
        <w:sectPr>
          <w:footerReference w:type="default" r:id="rId5"/>
          <w:pgSz w:w="11906" w:h="16838"/>
          <w:pgMar w:top="1701" w:right="1531" w:bottom="1701" w:left="1531" w:header="851" w:footer="992" w:gutter="0"/>
          <w:cols w:num="1" w:space="425"/>
          <w:docGrid w:type="lines" w:linePitch="312" w:charSpace="0"/>
        </w:sectPr>
      </w:pPr>
    </w:p>
    <w:p>
      <w:pPr>
        <w:pStyle w:val="07"/>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中医类别全科医生（以下简称中医全科医生）是指通过中医全科医学培养，掌握中医学、全科医学的基本理论、基本知识和基本技能，能运用中医学和全科医学的诊疗思维模式，主要在基层提供预防保健、常见病多发病诊疗和转诊、患者康复和慢性病管理、健康管理等一体化服务的综合程度较高的中医执业医师。</w:t>
      </w:r>
    </w:p>
    <w:p>
      <w:pPr>
        <w:pStyle w:val="07"/>
        <w:spacing w:line="600" w:lineRule="exact"/>
        <w:ind w:firstLine="640"/>
        <w:rPr>
          <w:rFonts w:ascii="仿宋_GB2312" w:eastAsia="仿宋_GB2312" w:hAnsi="仿宋_GB2312" w:cs="仿宋_GB2312"/>
          <w:sz w:val="32"/>
          <w:szCs w:val="32"/>
        </w:rPr>
      </w:pPr>
    </w:p>
    <w:p>
      <w:pPr>
        <w:spacing w:line="600" w:lineRule="exact"/>
        <w:ind w:firstLine="640" w:firstLineChars="200"/>
        <w:jc w:val="left"/>
        <w:outlineLvl w:val="0"/>
        <w:rPr>
          <w:rFonts w:ascii="黑体" w:eastAsia="黑体" w:hAnsi="黑体" w:cs="黑体"/>
          <w:sz w:val="32"/>
          <w:szCs w:val="32"/>
        </w:rPr>
      </w:pPr>
      <w:r>
        <w:rPr>
          <w:rFonts w:ascii="黑体" w:eastAsia="黑体" w:hAnsi="黑体" w:cs="黑体" w:hint="eastAsia"/>
          <w:sz w:val="32"/>
          <w:szCs w:val="32"/>
        </w:rPr>
        <w:t>二、培训目标、原则和对象</w:t>
      </w:r>
    </w:p>
    <w:p>
      <w:pPr>
        <w:spacing w:line="600" w:lineRule="exact"/>
        <w:ind w:firstLine="640" w:firstLineChars="200"/>
        <w:jc w:val="left"/>
        <w:outlineLvl w:val="0"/>
        <w:rPr>
          <w:rFonts w:ascii="楷体_GB2312" w:eastAsia="楷体_GB2312" w:hAnsi="楷体_GB2312" w:cs="楷体_GB2312"/>
          <w:b/>
          <w:sz w:val="32"/>
          <w:szCs w:val="32"/>
        </w:rPr>
      </w:pPr>
      <w:r>
        <w:rPr>
          <w:rFonts w:ascii="楷体_GB2312" w:eastAsia="楷体_GB2312" w:hAnsi="楷体_GB2312" w:cs="楷体_GB2312" w:hint="eastAsia"/>
          <w:b/>
          <w:sz w:val="32"/>
          <w:szCs w:val="32"/>
        </w:rPr>
        <w:t>（一）培训目标</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为基层医疗卫生机构培养具有扎实的中医学和全科医学的基本理论知识与技能、较强的中医全科思维、大医精诚的医德医风、规范的中医全科临床诊疗能力、有效的人际沟通能力，在基层独立开展以人为中心、以维护和促进健康为目标，以中医药健康服务为主要内容，向社区个人、家庭提供综合性、协调性、连续性的中医全科基本医疗及健康管理服务的合格中医全科医生。</w:t>
      </w:r>
    </w:p>
    <w:p>
      <w:pPr>
        <w:spacing w:line="600" w:lineRule="exact"/>
        <w:ind w:firstLine="640" w:firstLineChars="200"/>
        <w:jc w:val="left"/>
        <w:outlineLvl w:val="0"/>
        <w:rPr>
          <w:rFonts w:ascii="楷体_GB2312" w:eastAsia="楷体_GB2312" w:hAnsi="楷体_GB2312" w:cs="楷体_GB2312"/>
          <w:b/>
          <w:sz w:val="32"/>
          <w:szCs w:val="32"/>
        </w:rPr>
      </w:pPr>
      <w:r>
        <w:rPr>
          <w:rFonts w:ascii="楷体_GB2312" w:eastAsia="楷体_GB2312" w:hAnsi="楷体_GB2312" w:cs="楷体_GB2312" w:hint="eastAsia"/>
          <w:b/>
          <w:sz w:val="32"/>
          <w:szCs w:val="32"/>
        </w:rPr>
        <w:t>（二）培训原则</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sz w:val="32"/>
          <w:szCs w:val="32"/>
        </w:rPr>
        <w:t>遵循中医</w:t>
      </w:r>
      <w:r>
        <w:rPr>
          <w:rFonts w:ascii="仿宋_GB2312" w:eastAsia="仿宋_GB2312" w:hAnsi="仿宋_GB2312" w:cs="仿宋_GB2312" w:hint="eastAsia"/>
          <w:sz w:val="32"/>
          <w:szCs w:val="32"/>
        </w:rPr>
        <w:t>、全科</w:t>
      </w:r>
      <w:r>
        <w:rPr>
          <w:rFonts w:ascii="仿宋_GB2312" w:eastAsia="仿宋_GB2312" w:hAnsi="仿宋_GB2312" w:cs="仿宋_GB2312"/>
          <w:sz w:val="32"/>
          <w:szCs w:val="32"/>
        </w:rPr>
        <w:t>人才成长规律，</w:t>
      </w:r>
      <w:r>
        <w:rPr>
          <w:rFonts w:ascii="仿宋_GB2312" w:eastAsia="仿宋_GB2312" w:hAnsi="仿宋_GB2312" w:cs="仿宋_GB2312" w:hint="eastAsia"/>
          <w:sz w:val="32"/>
          <w:szCs w:val="32"/>
        </w:rPr>
        <w:t>突出中医学科特点，体现整体性、系统性和实践性，发挥中医药在基层卫生服务中的优势和特色。</w:t>
      </w:r>
    </w:p>
    <w:p>
      <w:pPr>
        <w:pStyle w:val="07"/>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2.以中医全科岗位胜任力为导向，以人民健康需求为出发点，注重加强中医全科思维、基本理论、基本知识和基本技能培训。</w:t>
      </w:r>
    </w:p>
    <w:p>
      <w:pPr>
        <w:pStyle w:val="07"/>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3.突出中医全科思维能力和临证诊疗水平，强化独立运用中西医学两种方法解决基层常见健康问题的能力。</w:t>
      </w:r>
    </w:p>
    <w:p>
      <w:pPr>
        <w:spacing w:line="600" w:lineRule="exact"/>
        <w:ind w:firstLine="640" w:firstLineChars="200"/>
        <w:jc w:val="left"/>
        <w:outlineLvl w:val="0"/>
        <w:rPr>
          <w:rFonts w:ascii="楷体_GB2312" w:eastAsia="楷体_GB2312" w:hAnsi="楷体_GB2312" w:cs="楷体_GB2312"/>
          <w:b/>
          <w:sz w:val="32"/>
          <w:szCs w:val="32"/>
        </w:rPr>
      </w:pPr>
      <w:r>
        <w:rPr>
          <w:rFonts w:ascii="楷体_GB2312" w:eastAsia="楷体_GB2312" w:hAnsi="楷体_GB2312" w:cs="楷体_GB2312" w:hint="eastAsia"/>
          <w:b/>
          <w:sz w:val="32"/>
          <w:szCs w:val="32"/>
        </w:rPr>
        <w:t>（三）培训对象</w:t>
      </w:r>
    </w:p>
    <w:p>
      <w:pPr>
        <w:pStyle w:val="07"/>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1.拟在基层医疗机构从事全科医疗工作的中医学（含中西医结合）专业本科及以上学历毕业生。</w:t>
      </w:r>
    </w:p>
    <w:p>
      <w:pPr>
        <w:pStyle w:val="07"/>
        <w:spacing w:line="600" w:lineRule="exact"/>
        <w:ind w:firstLine="640"/>
        <w:rPr>
          <w:rFonts w:ascii="仿宋_GB2312" w:eastAsia="仿宋_GB2312" w:hAnsi="仿宋_GB2312" w:cs="仿宋_GB2312"/>
          <w:sz w:val="32"/>
          <w:szCs w:val="32"/>
        </w:rPr>
        <w:sectPr>
          <w:footerReference w:type="default" r:id="rId6"/>
          <w:type w:val="nextPage"/>
          <w:pgSz w:w="11906" w:h="16838"/>
          <w:pgMar w:top="1701" w:right="1531" w:bottom="1701" w:left="1531" w:header="851" w:footer="992" w:gutter="0"/>
          <w:pgNumType w:start="2"/>
          <w:cols w:num="1" w:space="425"/>
          <w:titlePg w:val="0"/>
          <w:docGrid w:type="lines" w:linePitch="312" w:charSpace="0"/>
        </w:sectPr>
      </w:pPr>
    </w:p>
    <w:p>
      <w:pPr>
        <w:pStyle w:val="07"/>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2.已从事中医临床医疗工作并取得中医执业医师资格证书，要求接受培训的人员。</w:t>
      </w:r>
    </w:p>
    <w:p>
      <w:pPr>
        <w:pStyle w:val="07"/>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3.其他需要接受培训的人员。</w:t>
      </w:r>
    </w:p>
    <w:p>
      <w:pPr>
        <w:pStyle w:val="07"/>
        <w:spacing w:line="600" w:lineRule="exact"/>
        <w:ind w:firstLine="640"/>
        <w:rPr>
          <w:rFonts w:ascii="仿宋_GB2312" w:eastAsia="仿宋_GB2312" w:hAnsi="仿宋_GB2312" w:cs="仿宋_GB2312"/>
          <w:sz w:val="32"/>
          <w:szCs w:val="32"/>
        </w:rPr>
      </w:pPr>
    </w:p>
    <w:p>
      <w:pPr>
        <w:spacing w:line="600" w:lineRule="exact"/>
        <w:ind w:firstLine="640" w:firstLineChars="200"/>
        <w:jc w:val="left"/>
        <w:outlineLvl w:val="0"/>
        <w:rPr>
          <w:rFonts w:ascii="黑体" w:eastAsia="黑体" w:hAnsi="黑体" w:cs="黑体"/>
          <w:sz w:val="32"/>
          <w:szCs w:val="32"/>
        </w:rPr>
      </w:pPr>
      <w:r>
        <w:rPr>
          <w:rFonts w:ascii="黑体" w:eastAsia="黑体" w:hAnsi="黑体" w:cs="黑体" w:hint="eastAsia"/>
          <w:sz w:val="32"/>
          <w:szCs w:val="32"/>
        </w:rPr>
        <w:t>三、培训方式</w:t>
      </w:r>
    </w:p>
    <w:p>
      <w:pPr>
        <w:spacing w:line="600" w:lineRule="exact"/>
        <w:ind w:firstLine="640" w:firstLineChars="20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中医全科医生规范化培训采取理论学习、病房培训、门诊培训、基层实践和跟师学习相结合的方式进行。</w:t>
      </w:r>
      <w:r>
        <w:rPr>
          <w:rFonts w:ascii="仿宋_GB2312" w:eastAsia="仿宋_GB2312" w:hAnsi="仿宋_GB2312" w:cs="仿宋_GB2312"/>
          <w:sz w:val="32"/>
          <w:szCs w:val="32"/>
        </w:rPr>
        <w:t>鼓励符合条件的培训基地以培训小组形式组织培训。</w:t>
      </w:r>
    </w:p>
    <w:p>
      <w:pPr>
        <w:spacing w:line="600" w:lineRule="exact"/>
        <w:ind w:firstLine="640" w:firstLineChars="200"/>
        <w:outlineLvl w:val="0"/>
        <w:rPr>
          <w:rFonts w:ascii="楷体_GB2312" w:eastAsia="楷体_GB2312" w:hAnsi="楷体_GB2312" w:cs="楷体_GB2312"/>
          <w:b/>
          <w:sz w:val="32"/>
          <w:szCs w:val="32"/>
        </w:rPr>
      </w:pPr>
      <w:r>
        <w:rPr>
          <w:rFonts w:ascii="楷体_GB2312" w:eastAsia="楷体_GB2312" w:hAnsi="楷体_GB2312" w:cs="楷体_GB2312" w:hint="eastAsia"/>
          <w:b/>
          <w:sz w:val="32"/>
          <w:szCs w:val="32"/>
        </w:rPr>
        <w:t>（一）</w:t>
      </w:r>
      <w:r>
        <w:rPr>
          <w:rFonts w:ascii="楷体_GB2312" w:eastAsia="楷体_GB2312" w:hAnsi="楷体_GB2312" w:cs="楷体_GB2312"/>
          <w:b/>
          <w:sz w:val="32"/>
          <w:szCs w:val="32"/>
        </w:rPr>
        <w:t>理论学习</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sz w:val="32"/>
          <w:szCs w:val="32"/>
        </w:rPr>
        <w:t>1.重点学习中医经典与临床应用、紧密结合临床的中医药基础理论、中医临床进展及相关公共卫生科目等内容</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以</w:t>
      </w:r>
      <w:r>
        <w:rPr>
          <w:rFonts w:ascii="仿宋_GB2312" w:eastAsia="仿宋_GB2312" w:hAnsi="仿宋_GB2312" w:cs="仿宋_GB2312" w:hint="eastAsia"/>
          <w:sz w:val="32"/>
          <w:szCs w:val="32"/>
        </w:rPr>
        <w:t>自主学习</w:t>
      </w:r>
      <w:r>
        <w:rPr>
          <w:rFonts w:ascii="仿宋_GB2312" w:eastAsia="仿宋_GB2312" w:hAnsi="仿宋_GB2312" w:cs="仿宋_GB2312"/>
          <w:sz w:val="32"/>
          <w:szCs w:val="32"/>
        </w:rPr>
        <w:t>为主，结合必要的集中理论学习。</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sz w:val="32"/>
          <w:szCs w:val="32"/>
        </w:rPr>
        <w:t>2.集中理论学习应结合临床实际，开展中医学术讲座</w:t>
      </w:r>
      <w:r>
        <w:rPr>
          <w:rFonts w:ascii="仿宋_GB2312" w:eastAsia="仿宋_GB2312" w:hAnsi="仿宋_GB2312" w:cs="仿宋_GB2312" w:hint="eastAsia"/>
          <w:sz w:val="32"/>
          <w:szCs w:val="32"/>
        </w:rPr>
        <w:t>，开设</w:t>
      </w:r>
      <w:r>
        <w:rPr>
          <w:rFonts w:ascii="仿宋_GB2312" w:eastAsia="仿宋_GB2312" w:hAnsi="仿宋_GB2312" w:cs="仿宋_GB2312"/>
          <w:sz w:val="32"/>
          <w:szCs w:val="32"/>
        </w:rPr>
        <w:t>中医临床进展、紧密结合临床的中医药基础理论、经典医籍</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以及职业素养、医学伦理、法律法规、医患沟通、心理卫生、健康教育及相应的公共卫生课程，特别是要加强疫病防控</w:t>
      </w:r>
      <w:r>
        <w:rPr>
          <w:rFonts w:ascii="仿宋_GB2312" w:eastAsia="仿宋_GB2312" w:hAnsi="仿宋_GB2312" w:cs="仿宋_GB2312" w:hint="eastAsia"/>
          <w:sz w:val="32"/>
          <w:szCs w:val="32"/>
        </w:rPr>
        <w:t>、院感</w:t>
      </w:r>
      <w:r>
        <w:rPr>
          <w:rFonts w:ascii="仿宋_GB2312" w:eastAsia="仿宋_GB2312" w:hAnsi="仿宋_GB2312" w:cs="仿宋_GB2312"/>
          <w:sz w:val="32"/>
          <w:szCs w:val="32"/>
        </w:rPr>
        <w:t>知识</w:t>
      </w:r>
      <w:r>
        <w:rPr>
          <w:rFonts w:ascii="仿宋_GB2312" w:eastAsia="仿宋_GB2312" w:hAnsi="仿宋_GB2312" w:cs="仿宋_GB2312" w:hint="eastAsia"/>
          <w:sz w:val="32"/>
          <w:szCs w:val="32"/>
        </w:rPr>
        <w:t>和</w:t>
      </w:r>
      <w:r>
        <w:rPr>
          <w:rFonts w:ascii="仿宋_GB2312" w:eastAsia="仿宋_GB2312" w:hAnsi="仿宋_GB2312" w:cs="仿宋_GB2312"/>
          <w:sz w:val="32"/>
          <w:szCs w:val="32"/>
        </w:rPr>
        <w:t>技能的培训。</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sz w:val="32"/>
          <w:szCs w:val="32"/>
        </w:rPr>
        <w:t>3.集中理论学习由培训基地统一组织，每月不少于1次，每次不少于2学时。</w:t>
      </w:r>
      <w:r>
        <w:rPr>
          <w:rFonts w:ascii="仿宋_GB2312" w:eastAsia="仿宋_GB2312" w:hAnsi="仿宋_GB2312" w:cs="仿宋_GB2312" w:hint="eastAsia"/>
          <w:sz w:val="32"/>
          <w:szCs w:val="32"/>
        </w:rPr>
        <w:t>培训对象</w:t>
      </w:r>
      <w:r>
        <w:rPr>
          <w:rFonts w:ascii="仿宋_GB2312" w:eastAsia="仿宋_GB2312" w:hAnsi="仿宋_GB2312" w:cs="仿宋_GB2312"/>
          <w:sz w:val="32"/>
          <w:szCs w:val="32"/>
        </w:rPr>
        <w:t>进入培训前</w:t>
      </w:r>
      <w:r>
        <w:rPr>
          <w:rFonts w:ascii="仿宋_GB2312" w:eastAsia="仿宋_GB2312" w:hAnsi="仿宋_GB2312" w:cs="仿宋_GB2312" w:hint="eastAsia"/>
          <w:sz w:val="32"/>
          <w:szCs w:val="32"/>
        </w:rPr>
        <w:t>，基地</w:t>
      </w:r>
      <w:r>
        <w:rPr>
          <w:rFonts w:ascii="仿宋_GB2312" w:eastAsia="仿宋_GB2312" w:hAnsi="仿宋_GB2312" w:cs="仿宋_GB2312"/>
          <w:sz w:val="32"/>
          <w:szCs w:val="32"/>
        </w:rPr>
        <w:t>应集中</w:t>
      </w:r>
      <w:r>
        <w:rPr>
          <w:rFonts w:ascii="仿宋_GB2312" w:eastAsia="仿宋_GB2312" w:hAnsi="仿宋_GB2312" w:cs="仿宋_GB2312" w:hint="eastAsia"/>
          <w:sz w:val="32"/>
          <w:szCs w:val="32"/>
        </w:rPr>
        <w:t>组织</w:t>
      </w:r>
      <w:r>
        <w:rPr>
          <w:rFonts w:ascii="仿宋_GB2312" w:eastAsia="仿宋_GB2312" w:hAnsi="仿宋_GB2312" w:cs="仿宋_GB2312"/>
          <w:sz w:val="32"/>
          <w:szCs w:val="32"/>
        </w:rPr>
        <w:t>进行医学伦理、</w:t>
      </w:r>
      <w:r>
        <w:rPr>
          <w:rFonts w:ascii="仿宋_GB2312" w:eastAsia="仿宋_GB2312" w:hAnsi="仿宋_GB2312" w:cs="仿宋_GB2312" w:hint="eastAsia"/>
          <w:sz w:val="32"/>
          <w:szCs w:val="32"/>
        </w:rPr>
        <w:t>卫生</w:t>
      </w:r>
      <w:r>
        <w:rPr>
          <w:rFonts w:ascii="仿宋_GB2312" w:eastAsia="仿宋_GB2312" w:hAnsi="仿宋_GB2312" w:cs="仿宋_GB2312"/>
          <w:sz w:val="32"/>
          <w:szCs w:val="32"/>
        </w:rPr>
        <w:t>法律法规、医院管理制度等方面</w:t>
      </w:r>
      <w:r>
        <w:rPr>
          <w:rFonts w:ascii="仿宋_GB2312" w:eastAsia="仿宋_GB2312" w:hAnsi="仿宋_GB2312" w:cs="仿宋_GB2312" w:hint="eastAsia"/>
          <w:sz w:val="32"/>
          <w:szCs w:val="32"/>
        </w:rPr>
        <w:t>岗前</w:t>
      </w:r>
      <w:r>
        <w:rPr>
          <w:rFonts w:ascii="仿宋_GB2312" w:eastAsia="仿宋_GB2312" w:hAnsi="仿宋_GB2312" w:cs="仿宋_GB2312"/>
          <w:sz w:val="32"/>
          <w:szCs w:val="32"/>
        </w:rPr>
        <w:t>培训。</w:t>
      </w:r>
    </w:p>
    <w:p>
      <w:pPr>
        <w:spacing w:line="600" w:lineRule="exact"/>
        <w:ind w:firstLine="640" w:firstLineChars="200"/>
        <w:outlineLvl w:val="0"/>
        <w:rPr>
          <w:rFonts w:ascii="楷体_GB2312" w:eastAsia="楷体_GB2312" w:hAnsi="楷体_GB2312" w:cs="楷体_GB2312"/>
          <w:b/>
          <w:sz w:val="32"/>
          <w:szCs w:val="32"/>
        </w:rPr>
      </w:pPr>
      <w:r>
        <w:rPr>
          <w:rFonts w:ascii="楷体_GB2312" w:eastAsia="楷体_GB2312" w:hAnsi="楷体_GB2312" w:cs="楷体_GB2312" w:hint="eastAsia"/>
          <w:b/>
          <w:sz w:val="32"/>
          <w:szCs w:val="32"/>
        </w:rPr>
        <w:t>（二）</w:t>
      </w:r>
      <w:r>
        <w:rPr>
          <w:rFonts w:ascii="楷体_GB2312" w:eastAsia="楷体_GB2312" w:hAnsi="楷体_GB2312" w:cs="楷体_GB2312"/>
          <w:b/>
          <w:sz w:val="32"/>
          <w:szCs w:val="32"/>
        </w:rPr>
        <w:t>病房培训</w:t>
      </w:r>
    </w:p>
    <w:p>
      <w:pPr>
        <w:spacing w:line="600" w:lineRule="exact"/>
        <w:ind w:firstLine="640" w:firstLineChars="200"/>
        <w:rPr>
          <w:rFonts w:ascii="仿宋_GB2312" w:eastAsia="仿宋_GB2312" w:hAnsi="仿宋_GB2312" w:cs="仿宋_GB2312"/>
          <w:sz w:val="32"/>
          <w:szCs w:val="32"/>
        </w:rPr>
        <w:sectPr>
          <w:footerReference w:type="default" r:id="rId7"/>
          <w:type w:val="nextPage"/>
          <w:pgSz w:w="11906" w:h="16838"/>
          <w:pgMar w:top="1701" w:right="1531" w:bottom="1701" w:left="1531" w:header="851" w:footer="992" w:gutter="0"/>
          <w:pgNumType w:start="3"/>
          <w:cols w:num="1" w:space="425"/>
          <w:titlePg w:val="0"/>
          <w:docGrid w:type="lines" w:linePitch="312" w:charSpace="0"/>
        </w:sectPr>
      </w:pPr>
      <w:r>
        <w:rPr>
          <w:rFonts w:ascii="仿宋_GB2312" w:eastAsia="仿宋_GB2312" w:hAnsi="仿宋_GB2312" w:cs="仿宋_GB2312"/>
          <w:sz w:val="32"/>
          <w:szCs w:val="32"/>
        </w:rPr>
        <w:t>1.依据培训计划和专业方向特点在相应临床科室病房培训，掌握中医理论、技能、中医思维和必要的西医知识与技能。</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sz w:val="32"/>
          <w:szCs w:val="32"/>
        </w:rPr>
        <w:t>2.培训轮转学科为中医内科、中医外科、中医妇科、中医儿科、针灸科、推拿科</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中医康复科、中医骨伤科、中医眼科和耳鼻咽喉科、急诊科等。</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sz w:val="32"/>
          <w:szCs w:val="32"/>
        </w:rPr>
        <w:t>3.坚持以培养</w:t>
      </w:r>
      <w:r>
        <w:rPr>
          <w:rFonts w:ascii="仿宋_GB2312" w:eastAsia="仿宋_GB2312" w:hAnsi="仿宋_GB2312" w:cs="仿宋_GB2312" w:hint="eastAsia"/>
          <w:sz w:val="32"/>
          <w:szCs w:val="32"/>
        </w:rPr>
        <w:t>具有岗位胜任力的</w:t>
      </w:r>
      <w:r>
        <w:rPr>
          <w:rFonts w:ascii="仿宋_GB2312" w:eastAsia="仿宋_GB2312" w:hAnsi="仿宋_GB2312" w:cs="仿宋_GB2312"/>
          <w:sz w:val="32"/>
          <w:szCs w:val="32"/>
        </w:rPr>
        <w:t>合格中医医师为目标，中医培训内容</w:t>
      </w:r>
      <w:r>
        <w:rPr>
          <w:rFonts w:ascii="仿宋_GB2312" w:eastAsia="仿宋_GB2312" w:hAnsi="仿宋_GB2312" w:cs="仿宋_GB2312" w:hint="eastAsia"/>
          <w:sz w:val="32"/>
          <w:szCs w:val="32"/>
        </w:rPr>
        <w:t>应占70%以上</w:t>
      </w:r>
      <w:r>
        <w:rPr>
          <w:rFonts w:ascii="仿宋_GB2312" w:eastAsia="仿宋_GB2312" w:hAnsi="仿宋_GB2312" w:cs="仿宋_GB2312"/>
          <w:sz w:val="32"/>
          <w:szCs w:val="32"/>
        </w:rPr>
        <w:t>。</w:t>
      </w:r>
    </w:p>
    <w:p>
      <w:pPr>
        <w:spacing w:line="600" w:lineRule="exact"/>
        <w:ind w:firstLine="640" w:firstLineChars="200"/>
        <w:outlineLvl w:val="0"/>
        <w:rPr>
          <w:rFonts w:ascii="楷体_GB2312" w:eastAsia="楷体_GB2312" w:hAnsi="楷体_GB2312" w:cs="楷体_GB2312"/>
          <w:b/>
          <w:sz w:val="32"/>
          <w:szCs w:val="32"/>
        </w:rPr>
      </w:pPr>
      <w:r>
        <w:rPr>
          <w:rFonts w:ascii="楷体_GB2312" w:eastAsia="楷体_GB2312" w:hAnsi="楷体_GB2312" w:cs="楷体_GB2312" w:hint="eastAsia"/>
          <w:b/>
          <w:sz w:val="32"/>
          <w:szCs w:val="32"/>
        </w:rPr>
        <w:t>（三）</w:t>
      </w:r>
      <w:r>
        <w:rPr>
          <w:rFonts w:ascii="楷体_GB2312" w:eastAsia="楷体_GB2312" w:hAnsi="楷体_GB2312" w:cs="楷体_GB2312"/>
          <w:b/>
          <w:sz w:val="32"/>
          <w:szCs w:val="32"/>
        </w:rPr>
        <w:t>门诊培训</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sz w:val="32"/>
          <w:szCs w:val="32"/>
        </w:rPr>
        <w:t>1.依据培训计划在临床科室门诊参加培训，重点</w:t>
      </w:r>
      <w:r>
        <w:rPr>
          <w:rFonts w:ascii="仿宋_GB2312" w:eastAsia="仿宋_GB2312" w:hAnsi="仿宋_GB2312" w:cs="仿宋_GB2312" w:hint="eastAsia"/>
          <w:sz w:val="32"/>
          <w:szCs w:val="32"/>
        </w:rPr>
        <w:t>提升培训对象中医思维、门诊接诊和临证能力培养</w:t>
      </w:r>
      <w:r>
        <w:rPr>
          <w:rFonts w:ascii="仿宋_GB2312" w:eastAsia="仿宋_GB2312" w:hAnsi="仿宋_GB2312" w:cs="仿宋_GB2312"/>
          <w:sz w:val="32"/>
          <w:szCs w:val="32"/>
        </w:rPr>
        <w:t>。</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sz w:val="32"/>
          <w:szCs w:val="32"/>
        </w:rPr>
        <w:t>2.未取得中医执业医师资格的培训对象，应在</w:t>
      </w:r>
      <w:r>
        <w:rPr>
          <w:rFonts w:ascii="仿宋_GB2312" w:eastAsia="仿宋_GB2312" w:hAnsi="仿宋_GB2312" w:cs="仿宋_GB2312" w:hint="eastAsia"/>
          <w:sz w:val="32"/>
          <w:szCs w:val="32"/>
        </w:rPr>
        <w:t>带教老师</w:t>
      </w:r>
      <w:r>
        <w:rPr>
          <w:rFonts w:ascii="仿宋_GB2312" w:eastAsia="仿宋_GB2312" w:hAnsi="仿宋_GB2312" w:cs="仿宋_GB2312"/>
          <w:sz w:val="32"/>
          <w:szCs w:val="32"/>
        </w:rPr>
        <w:t>的指导下参加门诊活动。</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sz w:val="32"/>
          <w:szCs w:val="32"/>
        </w:rPr>
        <w:t>3.取得中医执业医师资格的培训对象，经培训基地认证合格后，可独立接诊</w:t>
      </w:r>
      <w:r>
        <w:rPr>
          <w:rFonts w:ascii="仿宋_GB2312" w:eastAsia="仿宋_GB2312" w:hAnsi="仿宋_GB2312" w:cs="仿宋_GB2312" w:hint="eastAsia"/>
          <w:sz w:val="32"/>
          <w:szCs w:val="32"/>
        </w:rPr>
        <w:t>患者</w:t>
      </w:r>
      <w:r>
        <w:rPr>
          <w:rFonts w:ascii="仿宋_GB2312" w:eastAsia="仿宋_GB2312" w:hAnsi="仿宋_GB2312" w:cs="仿宋_GB2312"/>
          <w:sz w:val="32"/>
          <w:szCs w:val="32"/>
        </w:rPr>
        <w:t>。</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sz w:val="32"/>
          <w:szCs w:val="32"/>
        </w:rPr>
        <w:t>4.培训基地应</w:t>
      </w:r>
      <w:r>
        <w:rPr>
          <w:rFonts w:ascii="仿宋_GB2312" w:eastAsia="仿宋_GB2312" w:hAnsi="仿宋_GB2312" w:cs="仿宋_GB2312" w:hint="eastAsia"/>
          <w:sz w:val="32"/>
          <w:szCs w:val="32"/>
        </w:rPr>
        <w:t>按照每</w:t>
      </w:r>
      <w:r>
        <w:rPr>
          <w:rFonts w:ascii="仿宋_GB2312" w:eastAsia="仿宋_GB2312" w:hAnsi="仿宋_GB2312" w:cs="仿宋_GB2312"/>
          <w:sz w:val="32"/>
          <w:szCs w:val="32"/>
        </w:rPr>
        <w:t>50名培训对象设置1间教学门诊的标准，开设一定数量的教学门诊，规范组织培训。未取得中医执业医师资格的培训对象参加教学门诊的观诊、</w:t>
      </w:r>
      <w:r>
        <w:rPr>
          <w:rFonts w:ascii="仿宋_GB2312" w:eastAsia="仿宋_GB2312" w:hAnsi="仿宋_GB2312" w:cs="仿宋_GB2312" w:hint="eastAsia"/>
          <w:sz w:val="32"/>
          <w:szCs w:val="32"/>
        </w:rPr>
        <w:t>试</w:t>
      </w:r>
      <w:r>
        <w:rPr>
          <w:rFonts w:ascii="仿宋_GB2312" w:eastAsia="仿宋_GB2312" w:hAnsi="仿宋_GB2312" w:cs="仿宋_GB2312"/>
          <w:sz w:val="32"/>
          <w:szCs w:val="32"/>
        </w:rPr>
        <w:t>诊，取得中医执业医师资格的培训对象参加教学门诊的主诊活动。</w:t>
      </w:r>
    </w:p>
    <w:p>
      <w:pPr>
        <w:spacing w:line="600" w:lineRule="exact"/>
        <w:ind w:firstLine="640" w:firstLineChars="200"/>
        <w:outlineLvl w:val="0"/>
        <w:rPr>
          <w:rFonts w:ascii="楷体_GB2312" w:eastAsia="楷体_GB2312" w:hAnsi="楷体_GB2312" w:cs="楷体_GB2312"/>
          <w:b/>
          <w:sz w:val="32"/>
          <w:szCs w:val="32"/>
        </w:rPr>
      </w:pPr>
      <w:r>
        <w:rPr>
          <w:rFonts w:ascii="楷体_GB2312" w:eastAsia="楷体_GB2312" w:hAnsi="楷体_GB2312" w:cs="楷体_GB2312" w:hint="eastAsia"/>
          <w:b/>
          <w:sz w:val="32"/>
          <w:szCs w:val="32"/>
        </w:rPr>
        <w:t>（四）</w:t>
      </w:r>
      <w:r>
        <w:rPr>
          <w:rFonts w:ascii="楷体_GB2312" w:eastAsia="楷体_GB2312" w:hAnsi="楷体_GB2312" w:cs="楷体_GB2312"/>
          <w:b/>
          <w:sz w:val="32"/>
          <w:szCs w:val="32"/>
        </w:rPr>
        <w:t>跟师学习</w:t>
      </w:r>
    </w:p>
    <w:p>
      <w:pPr>
        <w:spacing w:line="600" w:lineRule="exact"/>
        <w:ind w:firstLine="640" w:firstLineChars="200"/>
        <w:rPr>
          <w:rFonts w:ascii="仿宋_GB2312" w:eastAsia="仿宋_GB2312" w:hAnsi="仿宋_GB2312" w:cs="仿宋_GB2312"/>
          <w:sz w:val="32"/>
          <w:szCs w:val="32"/>
        </w:rPr>
        <w:sectPr>
          <w:footerReference w:type="default" r:id="rId8"/>
          <w:type w:val="nextPage"/>
          <w:pgSz w:w="11906" w:h="16838"/>
          <w:pgMar w:top="1701" w:right="1531" w:bottom="1701" w:left="1531" w:header="851" w:footer="992" w:gutter="0"/>
          <w:pgNumType w:start="4"/>
          <w:cols w:num="1" w:space="425"/>
          <w:titlePg w:val="0"/>
          <w:docGrid w:type="lines" w:linePitch="312" w:charSpace="0"/>
        </w:sectPr>
      </w:pPr>
      <w:r>
        <w:rPr>
          <w:rFonts w:ascii="仿宋_GB2312" w:eastAsia="仿宋_GB2312" w:hAnsi="仿宋_GB2312" w:cs="仿宋_GB2312"/>
          <w:sz w:val="32"/>
          <w:szCs w:val="32"/>
        </w:rPr>
        <w:t>1.培训对象进入规培基地后，即确定1名从事本专业临床工作8年以上、副主任医师及以上职称、具有一定学术专长的医师作为师承</w:t>
      </w:r>
      <w:r>
        <w:rPr>
          <w:rFonts w:ascii="仿宋_GB2312" w:eastAsia="仿宋_GB2312" w:hAnsi="仿宋_GB2312" w:cs="仿宋_GB2312" w:hint="eastAsia"/>
          <w:sz w:val="32"/>
          <w:szCs w:val="32"/>
        </w:rPr>
        <w:t>老师</w:t>
      </w:r>
      <w:r>
        <w:rPr>
          <w:rFonts w:ascii="仿宋_GB2312" w:eastAsia="仿宋_GB2312" w:hAnsi="仿宋_GB2312" w:cs="仿宋_GB2312"/>
          <w:sz w:val="32"/>
          <w:szCs w:val="32"/>
        </w:rPr>
        <w:t>进行跟师学习。师承</w:t>
      </w:r>
      <w:r>
        <w:rPr>
          <w:rFonts w:ascii="仿宋_GB2312" w:eastAsia="仿宋_GB2312" w:hAnsi="仿宋_GB2312" w:cs="仿宋_GB2312" w:hint="eastAsia"/>
          <w:sz w:val="32"/>
          <w:szCs w:val="32"/>
        </w:rPr>
        <w:t>老师</w:t>
      </w:r>
      <w:r>
        <w:rPr>
          <w:rFonts w:ascii="仿宋_GB2312" w:eastAsia="仿宋_GB2312" w:hAnsi="仿宋_GB2312" w:cs="仿宋_GB2312"/>
          <w:sz w:val="32"/>
          <w:szCs w:val="32"/>
        </w:rPr>
        <w:t>数量不能满足条件的基地可选择少数中医思维突出、具有一定学术专长的主治医师</w:t>
      </w:r>
      <w:r>
        <w:rPr>
          <w:rFonts w:ascii="仿宋_GB2312" w:eastAsia="仿宋_GB2312" w:hAnsi="仿宋_GB2312" w:cs="仿宋_GB2312" w:hint="eastAsia"/>
          <w:sz w:val="32"/>
          <w:szCs w:val="32"/>
        </w:rPr>
        <w:t>，经基地考核遴选认证后</w:t>
      </w:r>
      <w:r>
        <w:rPr>
          <w:rFonts w:ascii="仿宋_GB2312" w:eastAsia="仿宋_GB2312" w:hAnsi="仿宋_GB2312" w:cs="仿宋_GB2312"/>
          <w:sz w:val="32"/>
          <w:szCs w:val="32"/>
        </w:rPr>
        <w:t>作为</w:t>
      </w:r>
      <w:r>
        <w:rPr>
          <w:rFonts w:ascii="仿宋_GB2312" w:eastAsia="仿宋_GB2312" w:hAnsi="仿宋_GB2312" w:cs="仿宋_GB2312" w:hint="eastAsia"/>
          <w:sz w:val="32"/>
          <w:szCs w:val="32"/>
        </w:rPr>
        <w:t>师承老师</w:t>
      </w:r>
      <w:r>
        <w:rPr>
          <w:rFonts w:ascii="仿宋_GB2312" w:eastAsia="仿宋_GB2312" w:hAnsi="仿宋_GB2312" w:cs="仿宋_GB2312"/>
          <w:sz w:val="32"/>
          <w:szCs w:val="32"/>
        </w:rPr>
        <w:t>。</w:t>
      </w:r>
    </w:p>
    <w:p>
      <w:pPr>
        <w:tabs>
          <w:tab w:val="left" w:pos="312"/>
        </w:tabs>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sz w:val="32"/>
          <w:szCs w:val="32"/>
        </w:rPr>
        <w:t>2.培训对象通过跟随</w:t>
      </w:r>
      <w:r>
        <w:rPr>
          <w:rFonts w:ascii="仿宋_GB2312" w:eastAsia="仿宋_GB2312" w:hAnsi="仿宋_GB2312" w:cs="仿宋_GB2312" w:hint="eastAsia"/>
          <w:sz w:val="32"/>
          <w:szCs w:val="32"/>
        </w:rPr>
        <w:t>师承老师</w:t>
      </w:r>
      <w:r>
        <w:rPr>
          <w:rFonts w:ascii="仿宋_GB2312" w:eastAsia="仿宋_GB2312" w:hAnsi="仿宋_GB2312" w:cs="仿宋_GB2312"/>
          <w:sz w:val="32"/>
          <w:szCs w:val="32"/>
        </w:rPr>
        <w:t>学习，在全面学习各学科基本理论和基本知识的基础上，结合自身预期发展方向，学习和整理</w:t>
      </w:r>
      <w:r>
        <w:rPr>
          <w:rFonts w:ascii="仿宋_GB2312" w:eastAsia="仿宋_GB2312" w:hAnsi="仿宋_GB2312" w:cs="仿宋_GB2312" w:hint="eastAsia"/>
          <w:sz w:val="32"/>
          <w:szCs w:val="32"/>
        </w:rPr>
        <w:t>师承老师</w:t>
      </w:r>
      <w:r>
        <w:rPr>
          <w:rFonts w:ascii="仿宋_GB2312" w:eastAsia="仿宋_GB2312" w:hAnsi="仿宋_GB2312" w:cs="仿宋_GB2312"/>
          <w:sz w:val="32"/>
          <w:szCs w:val="32"/>
        </w:rPr>
        <w:t>的学术经验和技术专长，熟悉</w:t>
      </w:r>
      <w:r>
        <w:rPr>
          <w:rFonts w:ascii="仿宋_GB2312" w:eastAsia="仿宋_GB2312" w:hAnsi="仿宋_GB2312" w:cs="仿宋_GB2312" w:hint="eastAsia"/>
          <w:sz w:val="32"/>
          <w:szCs w:val="32"/>
        </w:rPr>
        <w:t>师承老师</w:t>
      </w:r>
      <w:r>
        <w:rPr>
          <w:rFonts w:ascii="仿宋_GB2312" w:eastAsia="仿宋_GB2312" w:hAnsi="仿宋_GB2312" w:cs="仿宋_GB2312"/>
          <w:sz w:val="32"/>
          <w:szCs w:val="32"/>
        </w:rPr>
        <w:t>的临床经验和基本技能</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并形成自身相对稳定的</w:t>
      </w:r>
      <w:r>
        <w:rPr>
          <w:rFonts w:ascii="仿宋_GB2312" w:eastAsia="仿宋_GB2312" w:hAnsi="仿宋_GB2312" w:cs="仿宋_GB2312" w:hint="eastAsia"/>
          <w:sz w:val="32"/>
          <w:szCs w:val="32"/>
        </w:rPr>
        <w:t>学术方向</w:t>
      </w:r>
      <w:r>
        <w:rPr>
          <w:rFonts w:ascii="仿宋_GB2312" w:eastAsia="仿宋_GB2312" w:hAnsi="仿宋_GB2312" w:cs="仿宋_GB2312"/>
          <w:sz w:val="32"/>
          <w:szCs w:val="32"/>
        </w:rPr>
        <w:t>。</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sz w:val="32"/>
          <w:szCs w:val="32"/>
        </w:rPr>
        <w:t>3.培训对象结合</w:t>
      </w:r>
      <w:r>
        <w:rPr>
          <w:rFonts w:ascii="仿宋_GB2312" w:eastAsia="仿宋_GB2312" w:hAnsi="仿宋_GB2312" w:cs="仿宋_GB2312" w:hint="eastAsia"/>
          <w:sz w:val="32"/>
          <w:szCs w:val="32"/>
        </w:rPr>
        <w:t>师承老师</w:t>
      </w:r>
      <w:r>
        <w:rPr>
          <w:rFonts w:ascii="仿宋_GB2312" w:eastAsia="仿宋_GB2312" w:hAnsi="仿宋_GB2312" w:cs="仿宋_GB2312"/>
          <w:sz w:val="32"/>
          <w:szCs w:val="32"/>
        </w:rPr>
        <w:t>的专长及特色，熟练运用中医望、闻、问、切诊断方法，</w:t>
      </w:r>
      <w:r>
        <w:rPr>
          <w:rFonts w:ascii="仿宋_GB2312" w:eastAsia="仿宋_GB2312" w:hAnsi="仿宋_GB2312" w:cs="仿宋_GB2312" w:hint="eastAsia"/>
          <w:sz w:val="32"/>
          <w:szCs w:val="32"/>
        </w:rPr>
        <w:t>在整体观念和</w:t>
      </w:r>
      <w:r>
        <w:rPr>
          <w:rFonts w:ascii="仿宋_GB2312" w:eastAsia="仿宋_GB2312" w:hAnsi="仿宋_GB2312" w:cs="仿宋_GB2312"/>
          <w:sz w:val="32"/>
          <w:szCs w:val="32"/>
        </w:rPr>
        <w:t>辨证论治</w:t>
      </w:r>
      <w:r>
        <w:rPr>
          <w:rFonts w:ascii="仿宋_GB2312" w:eastAsia="仿宋_GB2312" w:hAnsi="仿宋_GB2312" w:cs="仿宋_GB2312" w:hint="eastAsia"/>
          <w:sz w:val="32"/>
          <w:szCs w:val="32"/>
        </w:rPr>
        <w:t>原则</w:t>
      </w:r>
      <w:r>
        <w:rPr>
          <w:rFonts w:ascii="仿宋_GB2312" w:eastAsia="仿宋_GB2312" w:hAnsi="仿宋_GB2312" w:cs="仿宋_GB2312"/>
          <w:sz w:val="32"/>
          <w:szCs w:val="32"/>
        </w:rPr>
        <w:t>指导</w:t>
      </w:r>
      <w:r>
        <w:rPr>
          <w:rFonts w:ascii="仿宋_GB2312" w:eastAsia="仿宋_GB2312" w:hAnsi="仿宋_GB2312" w:cs="仿宋_GB2312" w:hint="eastAsia"/>
          <w:sz w:val="32"/>
          <w:szCs w:val="32"/>
        </w:rPr>
        <w:t>下</w:t>
      </w:r>
      <w:r>
        <w:rPr>
          <w:rFonts w:ascii="仿宋_GB2312" w:eastAsia="仿宋_GB2312" w:hAnsi="仿宋_GB2312" w:cs="仿宋_GB2312"/>
          <w:sz w:val="32"/>
          <w:szCs w:val="32"/>
        </w:rPr>
        <w:t>，掌握对某类疾病具有特色的诊断和治疗方法。</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sz w:val="32"/>
          <w:szCs w:val="32"/>
        </w:rPr>
        <w:t>4.培训对象每周</w:t>
      </w:r>
      <w:r>
        <w:rPr>
          <w:rFonts w:ascii="仿宋_GB2312" w:eastAsia="仿宋_GB2312" w:hAnsi="仿宋_GB2312" w:cs="仿宋_GB2312" w:hint="eastAsia"/>
          <w:sz w:val="32"/>
          <w:szCs w:val="32"/>
        </w:rPr>
        <w:t>跟师学习</w:t>
      </w:r>
      <w:r>
        <w:rPr>
          <w:rFonts w:ascii="仿宋_GB2312" w:eastAsia="仿宋_GB2312" w:hAnsi="仿宋_GB2312" w:cs="仿宋_GB2312"/>
          <w:sz w:val="32"/>
          <w:szCs w:val="32"/>
        </w:rPr>
        <w:t>不少于</w:t>
      </w:r>
      <w:r>
        <w:rPr>
          <w:rFonts w:ascii="仿宋_GB2312" w:eastAsia="仿宋_GB2312" w:hAnsi="仿宋_GB2312" w:cs="仿宋_GB2312" w:hint="eastAsia"/>
          <w:sz w:val="32"/>
          <w:szCs w:val="32"/>
        </w:rPr>
        <w:t>半天；每年</w:t>
      </w:r>
      <w:r>
        <w:rPr>
          <w:rFonts w:ascii="仿宋_GB2312" w:eastAsia="仿宋_GB2312" w:hAnsi="仿宋_GB2312" w:cs="仿宋_GB2312"/>
          <w:sz w:val="32"/>
          <w:szCs w:val="32"/>
        </w:rPr>
        <w:t>收集整理反映</w:t>
      </w:r>
      <w:r>
        <w:rPr>
          <w:rFonts w:ascii="仿宋_GB2312" w:eastAsia="仿宋_GB2312" w:hAnsi="仿宋_GB2312" w:cs="仿宋_GB2312" w:hint="eastAsia"/>
          <w:sz w:val="32"/>
          <w:szCs w:val="32"/>
        </w:rPr>
        <w:t>师承老师</w:t>
      </w:r>
      <w:r>
        <w:rPr>
          <w:rFonts w:ascii="仿宋_GB2312" w:eastAsia="仿宋_GB2312" w:hAnsi="仿宋_GB2312" w:cs="仿宋_GB2312"/>
          <w:sz w:val="32"/>
          <w:szCs w:val="32"/>
        </w:rPr>
        <w:t>临床经验和专长、体现疾病诊疗全过程的临床医案不少于10份；</w:t>
      </w:r>
      <w:r>
        <w:rPr>
          <w:rFonts w:ascii="仿宋_GB2312" w:eastAsia="仿宋_GB2312" w:hAnsi="仿宋_GB2312" w:cs="仿宋_GB2312" w:hint="eastAsia"/>
          <w:sz w:val="32"/>
          <w:szCs w:val="32"/>
        </w:rPr>
        <w:t>每年</w:t>
      </w:r>
      <w:r>
        <w:rPr>
          <w:rFonts w:ascii="仿宋_GB2312" w:eastAsia="仿宋_GB2312" w:hAnsi="仿宋_GB2312" w:cs="仿宋_GB2312"/>
          <w:sz w:val="32"/>
          <w:szCs w:val="32"/>
        </w:rPr>
        <w:t>撰写跟师心得不少于3篇；学习1部以上</w:t>
      </w:r>
      <w:r>
        <w:rPr>
          <w:rFonts w:ascii="仿宋_GB2312" w:eastAsia="仿宋_GB2312" w:hAnsi="仿宋_GB2312" w:cs="仿宋_GB2312" w:hint="eastAsia"/>
          <w:sz w:val="32"/>
          <w:szCs w:val="32"/>
        </w:rPr>
        <w:t>师承老师</w:t>
      </w:r>
      <w:r>
        <w:rPr>
          <w:rFonts w:ascii="仿宋_GB2312" w:eastAsia="仿宋_GB2312" w:hAnsi="仿宋_GB2312" w:cs="仿宋_GB2312"/>
          <w:sz w:val="32"/>
          <w:szCs w:val="32"/>
        </w:rPr>
        <w:t>推荐的中医典籍</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培训结束时应有1篇不少于3000字的</w:t>
      </w:r>
      <w:r>
        <w:rPr>
          <w:rFonts w:ascii="仿宋_GB2312" w:eastAsia="仿宋_GB2312" w:hAnsi="仿宋_GB2312" w:cs="仿宋_GB2312" w:hint="eastAsia"/>
          <w:sz w:val="32"/>
          <w:szCs w:val="32"/>
        </w:rPr>
        <w:t>师承老师</w:t>
      </w:r>
      <w:r>
        <w:rPr>
          <w:rFonts w:ascii="仿宋_GB2312" w:eastAsia="仿宋_GB2312" w:hAnsi="仿宋_GB2312" w:cs="仿宋_GB2312"/>
          <w:sz w:val="32"/>
          <w:szCs w:val="32"/>
        </w:rPr>
        <w:t>临床经验总结</w:t>
      </w:r>
      <w:r>
        <w:rPr>
          <w:rFonts w:ascii="仿宋_GB2312" w:eastAsia="仿宋_GB2312" w:hAnsi="仿宋_GB2312" w:cs="仿宋_GB2312" w:hint="eastAsia"/>
          <w:sz w:val="32"/>
          <w:szCs w:val="32"/>
        </w:rPr>
        <w:t>。</w:t>
      </w:r>
    </w:p>
    <w:p>
      <w:pPr>
        <w:spacing w:line="600" w:lineRule="exact"/>
        <w:ind w:firstLine="640" w:firstLineChars="200"/>
        <w:outlineLvl w:val="0"/>
        <w:rPr>
          <w:rFonts w:ascii="楷体_GB2312" w:eastAsia="楷体_GB2312" w:hAnsi="楷体_GB2312" w:cs="楷体_GB2312"/>
          <w:b/>
          <w:sz w:val="32"/>
          <w:szCs w:val="32"/>
        </w:rPr>
      </w:pPr>
      <w:r>
        <w:rPr>
          <w:rFonts w:ascii="楷体_GB2312" w:eastAsia="楷体_GB2312" w:hAnsi="楷体_GB2312" w:cs="楷体_GB2312" w:hint="eastAsia"/>
          <w:b/>
          <w:sz w:val="32"/>
          <w:szCs w:val="32"/>
        </w:rPr>
        <w:t>（五）基层实践</w:t>
      </w:r>
    </w:p>
    <w:p>
      <w:pPr>
        <w:spacing w:line="600" w:lineRule="exact"/>
        <w:ind w:firstLine="640" w:firstLineChars="200"/>
        <w:outlineLvl w:val="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培训对象在基层培养基地进行6个月实践，直接参加社区全科医疗实践和居民健康管理，训练社区卫生服务综合管理和团队合作能力，以及结合实际工作培养发现问题、解决问题、开展科研工作的基本素质。</w:t>
      </w:r>
    </w:p>
    <w:p>
      <w:pPr>
        <w:spacing w:line="600" w:lineRule="exact"/>
        <w:ind w:firstLine="640" w:firstLineChars="200"/>
        <w:jc w:val="left"/>
        <w:outlineLvl w:val="0"/>
        <w:rPr>
          <w:rFonts w:ascii="楷体_GB2312" w:eastAsia="楷体_GB2312" w:hAnsi="楷体_GB2312" w:cs="楷体_GB2312"/>
          <w:b/>
          <w:sz w:val="32"/>
          <w:szCs w:val="32"/>
        </w:rPr>
      </w:pPr>
    </w:p>
    <w:p>
      <w:pPr>
        <w:spacing w:line="600" w:lineRule="exact"/>
        <w:ind w:firstLine="640" w:firstLineChars="200"/>
        <w:jc w:val="left"/>
        <w:outlineLvl w:val="0"/>
        <w:rPr>
          <w:rFonts w:ascii="黑体" w:eastAsia="黑体" w:hAnsi="黑体" w:cs="黑体"/>
          <w:sz w:val="32"/>
          <w:szCs w:val="32"/>
        </w:rPr>
      </w:pPr>
      <w:r>
        <w:rPr>
          <w:rFonts w:ascii="黑体" w:eastAsia="黑体" w:hAnsi="黑体" w:cs="黑体" w:hint="eastAsia"/>
          <w:sz w:val="32"/>
          <w:szCs w:val="32"/>
        </w:rPr>
        <w:t>四、培训时间与要求</w:t>
      </w:r>
    </w:p>
    <w:p>
      <w:pPr>
        <w:spacing w:line="600" w:lineRule="exact"/>
        <w:ind w:firstLine="640" w:firstLineChars="200"/>
        <w:jc w:val="left"/>
        <w:outlineLvl w:val="0"/>
        <w:rPr>
          <w:rFonts w:ascii="楷体_GB2312" w:eastAsia="楷体_GB2312" w:hAnsi="楷体_GB2312" w:cs="楷体_GB2312"/>
          <w:b/>
          <w:sz w:val="32"/>
          <w:szCs w:val="32"/>
        </w:rPr>
      </w:pPr>
      <w:r>
        <w:rPr>
          <w:rFonts w:ascii="楷体_GB2312" w:eastAsia="楷体_GB2312" w:hAnsi="楷体_GB2312" w:cs="楷体_GB2312" w:hint="eastAsia"/>
          <w:b/>
          <w:sz w:val="32"/>
          <w:szCs w:val="32"/>
        </w:rPr>
        <w:t>（一）培训时间</w:t>
      </w:r>
    </w:p>
    <w:p>
      <w:pPr>
        <w:spacing w:line="600" w:lineRule="exact"/>
        <w:ind w:firstLine="640" w:firstLineChars="20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1.中医全科医生培训年限为3年（不少于33个月）。</w:t>
      </w:r>
    </w:p>
    <w:p>
      <w:pPr>
        <w:spacing w:line="600" w:lineRule="exact"/>
        <w:ind w:firstLine="640" w:firstLineChars="200"/>
        <w:rPr>
          <w:rFonts w:ascii="仿宋_GB2312" w:eastAsia="仿宋_GB2312" w:hAnsi="仿宋_GB2312" w:cs="仿宋_GB2312"/>
          <w:kern w:val="0"/>
          <w:sz w:val="32"/>
          <w:szCs w:val="32"/>
        </w:rPr>
        <w:sectPr>
          <w:footerReference w:type="default" r:id="rId9"/>
          <w:type w:val="nextPage"/>
          <w:pgSz w:w="11906" w:h="16838"/>
          <w:pgMar w:top="1701" w:right="1531" w:bottom="1701" w:left="1531" w:header="851" w:footer="992" w:gutter="0"/>
          <w:pgNumType w:start="5"/>
          <w:cols w:num="1" w:space="425"/>
          <w:titlePg w:val="0"/>
          <w:docGrid w:type="lines" w:linePitch="312" w:charSpace="0"/>
        </w:sectPr>
      </w:pPr>
      <w:r>
        <w:rPr>
          <w:rFonts w:ascii="仿宋_GB2312" w:eastAsia="仿宋_GB2312" w:hAnsi="仿宋_GB2312" w:cs="仿宋_GB2312" w:hint="eastAsia"/>
          <w:kern w:val="0"/>
          <w:sz w:val="32"/>
          <w:szCs w:val="32"/>
        </w:rPr>
        <w:t>2.</w:t>
      </w:r>
      <w:r>
        <w:rPr>
          <w:rFonts w:ascii="仿宋_GB2312" w:eastAsia="仿宋_GB2312" w:hAnsi="仿宋_GB2312" w:cs="仿宋_GB2312"/>
          <w:sz w:val="32"/>
          <w:szCs w:val="32"/>
        </w:rPr>
        <w:t>已具有中医</w:t>
      </w:r>
      <w:r>
        <w:rPr>
          <w:rFonts w:ascii="仿宋_GB2312" w:eastAsia="仿宋_GB2312" w:hAnsi="仿宋_GB2312" w:cs="仿宋_GB2312" w:hint="eastAsia"/>
          <w:sz w:val="32"/>
          <w:szCs w:val="32"/>
        </w:rPr>
        <w:t>学</w:t>
      </w:r>
    </w:p>
    <w:p>
      <w:pPr>
        <w:spacing w:line="600" w:lineRule="exact"/>
        <w:ind w:firstLine="640" w:firstLineChars="200"/>
        <w:rPr>
          <w:rFonts w:ascii="仿宋_GB2312" w:eastAsia="仿宋_GB2312" w:hAnsi="仿宋_GB2312" w:cs="仿宋_GB2312"/>
          <w:kern w:val="0"/>
          <w:sz w:val="32"/>
          <w:szCs w:val="32"/>
        </w:rPr>
      </w:pPr>
      <w:r>
        <w:rPr>
          <w:rFonts w:ascii="仿宋_GB2312" w:eastAsia="仿宋_GB2312" w:hAnsi="仿宋_GB2312" w:cs="仿宋_GB2312"/>
          <w:sz w:val="32"/>
          <w:szCs w:val="32"/>
        </w:rPr>
        <w:t>专业、中西医结合专业学位研究生学历的人员</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可由培训基地根据其临床经历和诊疗能力，确定接受培训的具体时间和内容。</w:t>
      </w:r>
      <w:r>
        <w:rPr>
          <w:rFonts w:ascii="仿宋_GB2312" w:eastAsia="仿宋_GB2312" w:hAnsi="仿宋_GB2312" w:cs="仿宋_GB2312" w:hint="eastAsia"/>
          <w:sz w:val="32"/>
          <w:szCs w:val="32"/>
        </w:rPr>
        <w:t>已经毕业的</w:t>
      </w:r>
      <w:r>
        <w:rPr>
          <w:rFonts w:ascii="仿宋_GB2312" w:eastAsia="仿宋_GB2312" w:hAnsi="仿宋_GB2312" w:cs="仿宋_GB2312"/>
          <w:sz w:val="32"/>
          <w:szCs w:val="32"/>
        </w:rPr>
        <w:t>硕士专业学位研究生最低培训</w:t>
      </w:r>
      <w:r>
        <w:rPr>
          <w:rFonts w:ascii="仿宋_GB2312" w:eastAsia="仿宋_GB2312" w:hAnsi="仿宋_GB2312" w:cs="仿宋_GB2312" w:hint="eastAsia"/>
          <w:sz w:val="32"/>
          <w:szCs w:val="32"/>
        </w:rPr>
        <w:t>时间</w:t>
      </w:r>
      <w:r>
        <w:rPr>
          <w:rFonts w:ascii="仿宋_GB2312" w:eastAsia="仿宋_GB2312" w:hAnsi="仿宋_GB2312" w:cs="仿宋_GB2312"/>
          <w:sz w:val="32"/>
          <w:szCs w:val="32"/>
        </w:rPr>
        <w:t>不</w:t>
      </w:r>
      <w:r>
        <w:rPr>
          <w:rFonts w:ascii="仿宋_GB2312" w:eastAsia="仿宋_GB2312" w:hAnsi="仿宋_GB2312" w:cs="仿宋_GB2312" w:hint="eastAsia"/>
          <w:sz w:val="32"/>
          <w:szCs w:val="32"/>
        </w:rPr>
        <w:t>得</w:t>
      </w:r>
      <w:r>
        <w:rPr>
          <w:rFonts w:ascii="仿宋_GB2312" w:eastAsia="仿宋_GB2312" w:hAnsi="仿宋_GB2312" w:cs="仿宋_GB2312"/>
          <w:sz w:val="32"/>
          <w:szCs w:val="32"/>
        </w:rPr>
        <w:t>少于24个月</w:t>
      </w:r>
      <w:r>
        <w:rPr>
          <w:rFonts w:ascii="仿宋_GB2312" w:eastAsia="仿宋_GB2312" w:hAnsi="仿宋_GB2312" w:cs="仿宋_GB2312" w:hint="eastAsia"/>
          <w:sz w:val="32"/>
          <w:szCs w:val="32"/>
        </w:rPr>
        <w:t>，博士专业学位研究生最低培训时间不得少于</w:t>
      </w:r>
      <w:r>
        <w:rPr>
          <w:rFonts w:ascii="仿宋_GB2312" w:eastAsia="仿宋_GB2312" w:hAnsi="仿宋_GB2312" w:cs="仿宋_GB2312"/>
          <w:sz w:val="32"/>
          <w:szCs w:val="32"/>
        </w:rPr>
        <w:t>12个月；学术学位研究生参加中医</w:t>
      </w:r>
      <w:r>
        <w:rPr>
          <w:rFonts w:ascii="仿宋_GB2312" w:eastAsia="仿宋_GB2312" w:hAnsi="仿宋_GB2312" w:cs="仿宋_GB2312" w:hint="eastAsia"/>
          <w:sz w:val="32"/>
          <w:szCs w:val="32"/>
        </w:rPr>
        <w:t>全科</w:t>
      </w:r>
      <w:r>
        <w:rPr>
          <w:rFonts w:ascii="仿宋_GB2312" w:eastAsia="仿宋_GB2312" w:hAnsi="仿宋_GB2312" w:cs="仿宋_GB2312"/>
          <w:sz w:val="32"/>
          <w:szCs w:val="32"/>
        </w:rPr>
        <w:t>规培</w:t>
      </w:r>
      <w:r>
        <w:rPr>
          <w:rFonts w:ascii="仿宋_GB2312" w:eastAsia="仿宋_GB2312" w:hAnsi="仿宋_GB2312" w:cs="仿宋_GB2312" w:hint="eastAsia"/>
          <w:sz w:val="32"/>
          <w:szCs w:val="32"/>
        </w:rPr>
        <w:t>者</w:t>
      </w:r>
      <w:r>
        <w:rPr>
          <w:rFonts w:ascii="仿宋_GB2312" w:eastAsia="仿宋_GB2312" w:hAnsi="仿宋_GB2312" w:cs="仿宋_GB2312"/>
          <w:sz w:val="32"/>
          <w:szCs w:val="32"/>
        </w:rPr>
        <w:t>，培训年限不</w:t>
      </w:r>
      <w:r>
        <w:rPr>
          <w:rFonts w:ascii="仿宋_GB2312" w:eastAsia="仿宋_GB2312" w:hAnsi="仿宋_GB2312" w:cs="仿宋_GB2312" w:hint="eastAsia"/>
          <w:sz w:val="32"/>
          <w:szCs w:val="32"/>
        </w:rPr>
        <w:t>减免。</w:t>
      </w:r>
    </w:p>
    <w:p>
      <w:pPr>
        <w:spacing w:line="600" w:lineRule="exact"/>
        <w:ind w:firstLine="640" w:firstLineChars="200"/>
        <w:jc w:val="left"/>
        <w:outlineLvl w:val="0"/>
        <w:rPr>
          <w:rFonts w:ascii="楷体_GB2312" w:eastAsia="楷体_GB2312" w:hAnsi="楷体_GB2312" w:cs="楷体_GB2312"/>
          <w:b/>
          <w:sz w:val="32"/>
          <w:szCs w:val="32"/>
        </w:rPr>
      </w:pPr>
      <w:r>
        <w:rPr>
          <w:rFonts w:ascii="楷体_GB2312" w:eastAsia="楷体_GB2312" w:hAnsi="楷体_GB2312" w:cs="楷体_GB2312" w:hint="eastAsia"/>
          <w:b/>
          <w:sz w:val="32"/>
          <w:szCs w:val="32"/>
        </w:rPr>
        <w:t>（二）第一阶段（通科轮转，时间为27</w:t>
      </w:r>
      <w:r>
        <w:rPr>
          <w:rFonts w:ascii="楷体_GB2312" w:eastAsia="楷体_GB2312" w:hAnsi="楷体_GB2312" w:cs="楷体_GB2312"/>
          <w:b/>
          <w:sz w:val="32"/>
          <w:szCs w:val="32"/>
        </w:rPr>
        <w:t>个月）</w:t>
      </w:r>
    </w:p>
    <w:p>
      <w:pPr>
        <w:autoSpaceDE w:val="0"/>
        <w:autoSpaceDN w:val="0"/>
        <w:spacing w:line="600" w:lineRule="exact"/>
        <w:ind w:firstLine="640" w:firstLineChars="20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所有培训对象应按照要求参加中医全科、老年病科、内科、外科、妇科、儿科等学科科室轮转培训，掌握中医和必要的现代医学基本理论、基本知识、基本技能，完成由医学生向医生的转变，夯实成为合格中医全科医生的基础。</w:t>
      </w:r>
    </w:p>
    <w:p>
      <w:pPr>
        <w:adjustRightInd w:val="0"/>
        <w:snapToGrid w:val="0"/>
        <w:spacing w:line="600" w:lineRule="exact"/>
        <w:ind w:firstLine="640" w:firstLineChars="200"/>
        <w:jc w:val="left"/>
        <w:textAlignment w:val="baseline"/>
        <w:rPr>
          <w:rFonts w:ascii="仿宋_GB2312" w:eastAsia="仿宋_GB2312" w:hAnsi="仿宋_GB2312" w:cs="仿宋_GB2312"/>
          <w:kern w:val="0"/>
          <w:sz w:val="32"/>
          <w:szCs w:val="32"/>
        </w:rPr>
      </w:pPr>
      <w:r>
        <w:rPr>
          <w:rFonts w:ascii="仿宋_GB2312" w:eastAsia="仿宋_GB2312" w:hAnsi="仿宋_GB2312" w:cs="仿宋_GB2312"/>
          <w:b/>
          <w:bCs/>
          <w:kern w:val="0"/>
          <w:sz w:val="32"/>
          <w:szCs w:val="32"/>
        </w:rPr>
        <w:t>1.中医全科医学科</w:t>
      </w:r>
      <w:r>
        <w:rPr>
          <w:rFonts w:ascii="仿宋_GB2312" w:eastAsia="仿宋_GB2312" w:hAnsi="仿宋_GB2312" w:cs="仿宋_GB2312" w:hint="eastAsia"/>
          <w:kern w:val="0"/>
          <w:sz w:val="32"/>
          <w:szCs w:val="32"/>
        </w:rPr>
        <w:t>（或承担中医全科医学科培训任务的相关科室）培训时间为2个月。以病房培训为主，每周参加不少于1次的门诊培训。</w:t>
      </w:r>
    </w:p>
    <w:p>
      <w:pPr>
        <w:adjustRightInd w:val="0"/>
        <w:snapToGrid w:val="0"/>
        <w:spacing w:line="600" w:lineRule="exact"/>
        <w:ind w:firstLine="640" w:firstLineChars="200"/>
        <w:textAlignment w:val="baseline"/>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w:t>
      </w:r>
      <w:r>
        <w:rPr>
          <w:rFonts w:ascii="仿宋_GB2312" w:eastAsia="仿宋_GB2312" w:hAnsi="仿宋_GB2312" w:cs="仿宋_GB2312" w:hint="eastAsia"/>
          <w:b/>
          <w:bCs/>
          <w:kern w:val="0"/>
          <w:sz w:val="32"/>
          <w:szCs w:val="32"/>
        </w:rPr>
        <w:t>中医老年病科</w:t>
      </w:r>
      <w:r>
        <w:rPr>
          <w:rFonts w:ascii="仿宋_GB2312" w:eastAsia="仿宋_GB2312" w:hAnsi="仿宋_GB2312" w:cs="仿宋_GB2312" w:hint="eastAsia"/>
          <w:kern w:val="0"/>
          <w:sz w:val="32"/>
          <w:szCs w:val="32"/>
        </w:rPr>
        <w:t xml:space="preserve">（或承担中医老年病科培训任务的相关科室） </w:t>
      </w: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培训时间为1个月。以病房培训为主，每周参加不少于1次的门诊培训。</w:t>
      </w:r>
    </w:p>
    <w:p>
      <w:pPr>
        <w:autoSpaceDE w:val="0"/>
        <w:autoSpaceDN w:val="0"/>
        <w:adjustRightInd w:val="0"/>
        <w:snapToGrid w:val="0"/>
        <w:spacing w:line="600" w:lineRule="exact"/>
        <w:ind w:firstLine="640" w:firstLineChars="200"/>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3</w:t>
      </w:r>
      <w:r>
        <w:rPr>
          <w:rFonts w:ascii="仿宋_GB2312" w:eastAsia="仿宋_GB2312" w:hAnsi="仿宋_GB2312" w:cs="仿宋_GB2312"/>
          <w:b/>
          <w:bCs/>
          <w:sz w:val="32"/>
          <w:szCs w:val="32"/>
        </w:rPr>
        <w:t>.</w:t>
      </w:r>
      <w:r>
        <w:rPr>
          <w:rFonts w:ascii="仿宋_GB2312" w:eastAsia="仿宋_GB2312" w:hAnsi="仿宋_GB2312" w:cs="仿宋_GB2312" w:hint="eastAsia"/>
          <w:b/>
          <w:bCs/>
          <w:kern w:val="0"/>
          <w:sz w:val="32"/>
          <w:szCs w:val="32"/>
        </w:rPr>
        <w:t xml:space="preserve">中医内科 </w:t>
      </w:r>
      <w:r>
        <w:rPr>
          <w:rFonts w:ascii="仿宋_GB2312" w:eastAsia="仿宋_GB2312" w:hAnsi="仿宋_GB2312" w:cs="仿宋_GB2312"/>
          <w:b/>
          <w:bCs/>
          <w:kern w:val="0"/>
          <w:sz w:val="32"/>
          <w:szCs w:val="32"/>
        </w:rPr>
        <w:t xml:space="preserve"> </w:t>
      </w:r>
      <w:r>
        <w:rPr>
          <w:rFonts w:ascii="仿宋_GB2312" w:eastAsia="仿宋_GB2312" w:hAnsi="仿宋_GB2312" w:cs="仿宋_GB2312" w:hint="eastAsia"/>
          <w:kern w:val="0"/>
          <w:sz w:val="32"/>
          <w:szCs w:val="32"/>
        </w:rPr>
        <w:t>培训时间为10个月。在肺病科、脑病科、心病科、脾胃病科、肾病科、内分泌科、风湿科等临床科室轮转。肺病、脑病、心病培训时间为2个月，其余科室为1个月。以病房培训为主，每周参加不少于1次的门诊培训。未设病房的科室可以门诊培训为主。</w:t>
      </w:r>
    </w:p>
    <w:p>
      <w:pPr>
        <w:autoSpaceDE w:val="0"/>
        <w:autoSpaceDN w:val="0"/>
        <w:adjustRightInd w:val="0"/>
        <w:snapToGrid w:val="0"/>
        <w:spacing w:line="600" w:lineRule="exact"/>
        <w:ind w:firstLine="640" w:firstLineChars="200"/>
        <w:rPr>
          <w:rFonts w:ascii="仿宋_GB2312" w:eastAsia="仿宋_GB2312" w:hAnsi="仿宋_GB2312" w:cs="仿宋_GB2312"/>
          <w:sz w:val="32"/>
          <w:szCs w:val="32"/>
        </w:rPr>
        <w:sectPr>
          <w:footerReference w:type="default" r:id="rId10"/>
          <w:type w:val="nextPage"/>
          <w:pgSz w:w="11906" w:h="16838"/>
          <w:pgMar w:top="1701" w:right="1531" w:bottom="1701" w:left="1531" w:header="851" w:footer="992" w:gutter="0"/>
          <w:pgNumType w:start="6"/>
          <w:cols w:num="1" w:space="425"/>
          <w:titlePg w:val="0"/>
          <w:docGrid w:type="lines" w:linePitch="312" w:charSpace="0"/>
        </w:sectPr>
      </w:pPr>
      <w:r>
        <w:rPr>
          <w:rFonts w:ascii="仿宋_GB2312" w:eastAsia="仿宋_GB2312" w:hAnsi="仿宋_GB2312" w:cs="仿宋_GB2312" w:hint="eastAsia"/>
          <w:b/>
          <w:bCs/>
          <w:kern w:val="0"/>
          <w:sz w:val="32"/>
          <w:szCs w:val="32"/>
        </w:rPr>
        <w:t>4</w:t>
      </w:r>
      <w:r>
        <w:rPr>
          <w:rFonts w:ascii="仿宋_GB2312" w:eastAsia="仿宋_GB2312" w:hAnsi="仿宋_GB2312" w:cs="仿宋_GB2312"/>
          <w:b/>
          <w:bCs/>
          <w:sz w:val="32"/>
          <w:szCs w:val="32"/>
        </w:rPr>
        <w:t>.</w:t>
      </w:r>
      <w:r>
        <w:rPr>
          <w:rFonts w:ascii="仿宋_GB2312" w:eastAsia="仿宋_GB2312" w:hAnsi="仿宋_GB2312" w:cs="仿宋_GB2312" w:hint="eastAsia"/>
          <w:b/>
          <w:bCs/>
          <w:kern w:val="0"/>
          <w:sz w:val="32"/>
          <w:szCs w:val="32"/>
        </w:rPr>
        <w:t xml:space="preserve">中医外科  </w:t>
      </w:r>
    </w:p>
    <w:p>
      <w:pPr>
        <w:autoSpaceDE w:val="0"/>
        <w:autoSpaceDN w:val="0"/>
        <w:adjustRightInd w:val="0"/>
        <w:snapToGrid w:val="0"/>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培训时间为2个月。在中医外科（疮疡、乳腺、周围血管、其他专病专科）、中医肛肠科、中医皮肤科中选择2个科室，各进行1个月培训。中医外科（疮疡、乳腺、周围血管、其他专病专科）、中医肛肠科以病房培训为主，</w:t>
      </w:r>
      <w:r>
        <w:rPr>
          <w:rFonts w:ascii="仿宋_GB2312" w:eastAsia="仿宋_GB2312" w:hAnsi="仿宋_GB2312" w:cs="仿宋_GB2312" w:hint="eastAsia"/>
          <w:kern w:val="0"/>
          <w:sz w:val="32"/>
          <w:szCs w:val="32"/>
        </w:rPr>
        <w:t>每周参加不少于1次的门诊培训。</w:t>
      </w:r>
      <w:r>
        <w:rPr>
          <w:rFonts w:ascii="仿宋_GB2312" w:eastAsia="仿宋_GB2312" w:hAnsi="仿宋_GB2312" w:cs="仿宋_GB2312" w:hint="eastAsia"/>
          <w:sz w:val="32"/>
          <w:szCs w:val="32"/>
        </w:rPr>
        <w:t>中医皮肤科以门诊培训为主。</w:t>
      </w:r>
    </w:p>
    <w:p>
      <w:pPr>
        <w:autoSpaceDE w:val="0"/>
        <w:autoSpaceDN w:val="0"/>
        <w:spacing w:line="600" w:lineRule="exact"/>
        <w:ind w:firstLine="640" w:firstLineChars="200"/>
        <w:jc w:val="left"/>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5</w:t>
      </w:r>
      <w:r>
        <w:rPr>
          <w:rFonts w:ascii="仿宋_GB2312" w:eastAsia="仿宋_GB2312" w:hAnsi="仿宋_GB2312" w:cs="仿宋_GB2312"/>
          <w:b/>
          <w:bCs/>
          <w:sz w:val="32"/>
          <w:szCs w:val="32"/>
        </w:rPr>
        <w:t>.</w:t>
      </w:r>
      <w:r>
        <w:rPr>
          <w:rFonts w:ascii="仿宋_GB2312" w:eastAsia="仿宋_GB2312" w:hAnsi="仿宋_GB2312" w:cs="仿宋_GB2312" w:hint="eastAsia"/>
          <w:b/>
          <w:bCs/>
          <w:kern w:val="0"/>
          <w:sz w:val="32"/>
          <w:szCs w:val="32"/>
        </w:rPr>
        <w:t xml:space="preserve">中医妇科 </w:t>
      </w:r>
      <w:r>
        <w:rPr>
          <w:rFonts w:ascii="仿宋_GB2312" w:eastAsia="仿宋_GB2312" w:hAnsi="仿宋_GB2312" w:cs="仿宋_GB2312"/>
          <w:b/>
          <w:bCs/>
          <w:kern w:val="0"/>
          <w:sz w:val="32"/>
          <w:szCs w:val="32"/>
        </w:rPr>
        <w:t xml:space="preserve"> </w:t>
      </w:r>
      <w:r>
        <w:rPr>
          <w:rFonts w:ascii="仿宋_GB2312" w:eastAsia="仿宋_GB2312" w:hAnsi="仿宋_GB2312" w:cs="仿宋_GB2312" w:hint="eastAsia"/>
          <w:kern w:val="0"/>
          <w:sz w:val="32"/>
          <w:szCs w:val="32"/>
        </w:rPr>
        <w:t>培训时间为1个月。以门诊培训为主</w:t>
      </w:r>
      <w:r>
        <w:rPr>
          <w:rFonts w:ascii="仿宋_GB2312" w:eastAsia="仿宋_GB2312" w:hAnsi="仿宋_GB2312" w:cs="仿宋_GB2312" w:hint="eastAsia"/>
          <w:sz w:val="32"/>
          <w:szCs w:val="32"/>
        </w:rPr>
        <w:t>。</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b/>
          <w:bCs/>
          <w:kern w:val="0"/>
          <w:sz w:val="32"/>
          <w:szCs w:val="32"/>
        </w:rPr>
        <w:t>6</w:t>
      </w:r>
      <w:r>
        <w:rPr>
          <w:rFonts w:ascii="仿宋_GB2312" w:eastAsia="仿宋_GB2312" w:hAnsi="仿宋_GB2312" w:cs="仿宋_GB2312"/>
          <w:b/>
          <w:bCs/>
          <w:sz w:val="32"/>
          <w:szCs w:val="32"/>
        </w:rPr>
        <w:t>.</w:t>
      </w:r>
      <w:r>
        <w:rPr>
          <w:rFonts w:ascii="仿宋_GB2312" w:eastAsia="仿宋_GB2312" w:hAnsi="仿宋_GB2312" w:cs="仿宋_GB2312" w:hint="eastAsia"/>
          <w:b/>
          <w:bCs/>
          <w:kern w:val="0"/>
          <w:sz w:val="32"/>
          <w:szCs w:val="32"/>
        </w:rPr>
        <w:t xml:space="preserve">中医儿科 </w:t>
      </w:r>
      <w:r>
        <w:rPr>
          <w:rFonts w:ascii="仿宋_GB2312" w:eastAsia="仿宋_GB2312" w:hAnsi="仿宋_GB2312" w:cs="仿宋_GB2312"/>
          <w:b/>
          <w:bCs/>
          <w:kern w:val="0"/>
          <w:sz w:val="32"/>
          <w:szCs w:val="32"/>
        </w:rPr>
        <w:t xml:space="preserve"> </w:t>
      </w:r>
      <w:r>
        <w:rPr>
          <w:rFonts w:ascii="仿宋_GB2312" w:eastAsia="仿宋_GB2312" w:hAnsi="仿宋_GB2312" w:cs="仿宋_GB2312" w:hint="eastAsia"/>
          <w:kern w:val="0"/>
          <w:sz w:val="32"/>
          <w:szCs w:val="32"/>
        </w:rPr>
        <w:t>培训</w:t>
      </w:r>
      <w:r>
        <w:rPr>
          <w:rFonts w:ascii="仿宋_GB2312" w:eastAsia="仿宋_GB2312" w:hAnsi="仿宋_GB2312" w:cs="仿宋_GB2312" w:hint="eastAsia"/>
          <w:sz w:val="32"/>
          <w:szCs w:val="32"/>
        </w:rPr>
        <w:t>时间为2个月。</w:t>
      </w:r>
      <w:r>
        <w:rPr>
          <w:rFonts w:ascii="仿宋_GB2312" w:eastAsia="仿宋_GB2312" w:hAnsi="仿宋_GB2312" w:cs="仿宋_GB2312"/>
          <w:sz w:val="32"/>
          <w:szCs w:val="32"/>
        </w:rPr>
        <w:t>在中医儿科病房</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门诊</w:t>
      </w:r>
      <w:r>
        <w:rPr>
          <w:rFonts w:ascii="仿宋_GB2312" w:eastAsia="仿宋_GB2312" w:hAnsi="仿宋_GB2312" w:cs="仿宋_GB2312" w:hint="eastAsia"/>
          <w:sz w:val="32"/>
          <w:szCs w:val="32"/>
        </w:rPr>
        <w:t>各</w:t>
      </w:r>
      <w:r>
        <w:rPr>
          <w:rFonts w:ascii="仿宋_GB2312" w:eastAsia="仿宋_GB2312" w:hAnsi="仿宋_GB2312" w:cs="仿宋_GB2312"/>
          <w:sz w:val="32"/>
          <w:szCs w:val="32"/>
        </w:rPr>
        <w:t>培训</w:t>
      </w:r>
      <w:r>
        <w:rPr>
          <w:rFonts w:ascii="仿宋_GB2312" w:eastAsia="仿宋_GB2312" w:hAnsi="仿宋_GB2312" w:cs="仿宋_GB2312" w:hint="eastAsia"/>
          <w:sz w:val="32"/>
          <w:szCs w:val="32"/>
        </w:rPr>
        <w:t>1个月</w:t>
      </w:r>
      <w:r>
        <w:rPr>
          <w:rFonts w:ascii="仿宋_GB2312" w:eastAsia="仿宋_GB2312" w:hAnsi="仿宋_GB2312" w:cs="仿宋_GB2312"/>
          <w:sz w:val="32"/>
          <w:szCs w:val="32"/>
        </w:rPr>
        <w:t>。</w:t>
      </w:r>
    </w:p>
    <w:p>
      <w:pPr>
        <w:autoSpaceDE w:val="0"/>
        <w:autoSpaceDN w:val="0"/>
        <w:spacing w:line="600" w:lineRule="exact"/>
        <w:ind w:firstLine="640" w:firstLineChars="200"/>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7</w:t>
      </w:r>
      <w:r>
        <w:rPr>
          <w:rFonts w:ascii="仿宋_GB2312" w:eastAsia="仿宋_GB2312" w:hAnsi="仿宋_GB2312" w:cs="仿宋_GB2312"/>
          <w:b/>
          <w:bCs/>
          <w:sz w:val="32"/>
          <w:szCs w:val="32"/>
        </w:rPr>
        <w:t>.</w:t>
      </w:r>
      <w:r>
        <w:rPr>
          <w:rFonts w:ascii="仿宋_GB2312" w:eastAsia="仿宋_GB2312" w:hAnsi="仿宋_GB2312" w:cs="仿宋_GB2312" w:hint="eastAsia"/>
          <w:b/>
          <w:bCs/>
          <w:kern w:val="0"/>
          <w:sz w:val="32"/>
          <w:szCs w:val="32"/>
        </w:rPr>
        <w:t xml:space="preserve">针灸科、推拿科、中医康复科 </w:t>
      </w:r>
      <w:r>
        <w:rPr>
          <w:rFonts w:ascii="仿宋_GB2312" w:eastAsia="仿宋_GB2312" w:hAnsi="仿宋_GB2312" w:cs="仿宋_GB2312"/>
          <w:b/>
          <w:bCs/>
          <w:kern w:val="0"/>
          <w:sz w:val="32"/>
          <w:szCs w:val="32"/>
        </w:rPr>
        <w:t xml:space="preserve"> </w:t>
      </w:r>
      <w:r>
        <w:rPr>
          <w:rFonts w:ascii="仿宋_GB2312" w:eastAsia="仿宋_GB2312" w:hAnsi="仿宋_GB2312" w:cs="仿宋_GB2312" w:hint="eastAsia"/>
          <w:kern w:val="0"/>
          <w:sz w:val="32"/>
          <w:szCs w:val="32"/>
        </w:rPr>
        <w:t>培训时间为3个月。每个科室各培训1个月。针灸科</w:t>
      </w:r>
      <w:r>
        <w:rPr>
          <w:rFonts w:ascii="仿宋_GB2312" w:eastAsia="仿宋_GB2312" w:hAnsi="仿宋_GB2312" w:cs="仿宋_GB2312" w:hint="eastAsia"/>
          <w:sz w:val="32"/>
          <w:szCs w:val="32"/>
        </w:rPr>
        <w:t>可在</w:t>
      </w:r>
      <w:r>
        <w:rPr>
          <w:rFonts w:ascii="仿宋_GB2312" w:eastAsia="仿宋_GB2312" w:hAnsi="仿宋_GB2312" w:cs="仿宋_GB2312"/>
          <w:sz w:val="32"/>
          <w:szCs w:val="32"/>
        </w:rPr>
        <w:t>病房</w:t>
      </w:r>
      <w:r>
        <w:rPr>
          <w:rFonts w:ascii="仿宋_GB2312" w:eastAsia="仿宋_GB2312" w:hAnsi="仿宋_GB2312" w:cs="仿宋_GB2312" w:hint="eastAsia"/>
          <w:sz w:val="32"/>
          <w:szCs w:val="32"/>
        </w:rPr>
        <w:t>、门诊</w:t>
      </w:r>
      <w:r>
        <w:rPr>
          <w:rFonts w:ascii="仿宋_GB2312" w:eastAsia="仿宋_GB2312" w:hAnsi="仿宋_GB2312" w:cs="仿宋_GB2312"/>
          <w:sz w:val="32"/>
          <w:szCs w:val="32"/>
        </w:rPr>
        <w:t>培训</w:t>
      </w:r>
      <w:r>
        <w:rPr>
          <w:rFonts w:ascii="仿宋_GB2312" w:eastAsia="仿宋_GB2312" w:hAnsi="仿宋_GB2312" w:cs="仿宋_GB2312" w:hint="eastAsia"/>
          <w:sz w:val="32"/>
          <w:szCs w:val="32"/>
        </w:rPr>
        <w:t>，其他科室以门诊培训</w:t>
      </w:r>
      <w:r>
        <w:rPr>
          <w:rFonts w:ascii="仿宋_GB2312" w:eastAsia="仿宋_GB2312" w:hAnsi="仿宋_GB2312" w:cs="仿宋_GB2312"/>
          <w:sz w:val="32"/>
          <w:szCs w:val="32"/>
        </w:rPr>
        <w:t>为主。</w:t>
      </w:r>
      <w:r>
        <w:rPr>
          <w:rFonts w:ascii="仿宋_GB2312" w:eastAsia="仿宋_GB2312" w:hAnsi="仿宋_GB2312" w:cs="仿宋_GB2312" w:hint="eastAsia"/>
          <w:sz w:val="32"/>
          <w:szCs w:val="32"/>
        </w:rPr>
        <w:t>以病房培训为主时</w:t>
      </w:r>
      <w:r>
        <w:rPr>
          <w:rFonts w:ascii="仿宋_GB2312" w:eastAsia="仿宋_GB2312" w:hAnsi="仿宋_GB2312" w:cs="仿宋_GB2312" w:hint="eastAsia"/>
          <w:kern w:val="0"/>
          <w:sz w:val="32"/>
          <w:szCs w:val="32"/>
        </w:rPr>
        <w:t>每周参加不少于1次的门诊培训。</w:t>
      </w:r>
    </w:p>
    <w:p>
      <w:pPr>
        <w:autoSpaceDE w:val="0"/>
        <w:autoSpaceDN w:val="0"/>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b/>
          <w:bCs/>
          <w:kern w:val="0"/>
          <w:sz w:val="32"/>
          <w:szCs w:val="32"/>
        </w:rPr>
        <w:t>8</w:t>
      </w:r>
      <w:r>
        <w:rPr>
          <w:rFonts w:ascii="仿宋_GB2312" w:eastAsia="仿宋_GB2312" w:hAnsi="仿宋_GB2312" w:cs="仿宋_GB2312"/>
          <w:b/>
          <w:bCs/>
          <w:sz w:val="32"/>
          <w:szCs w:val="32"/>
        </w:rPr>
        <w:t>.</w:t>
      </w:r>
      <w:r>
        <w:rPr>
          <w:rFonts w:ascii="仿宋_GB2312" w:eastAsia="仿宋_GB2312" w:hAnsi="仿宋_GB2312" w:cs="仿宋_GB2312" w:hint="eastAsia"/>
          <w:b/>
          <w:bCs/>
          <w:kern w:val="0"/>
          <w:sz w:val="32"/>
          <w:szCs w:val="32"/>
        </w:rPr>
        <w:t xml:space="preserve">中医骨伤科 </w:t>
      </w:r>
      <w:r>
        <w:rPr>
          <w:rFonts w:ascii="仿宋_GB2312" w:eastAsia="仿宋_GB2312" w:hAnsi="仿宋_GB2312" w:cs="仿宋_GB2312"/>
          <w:b/>
          <w:bCs/>
          <w:kern w:val="0"/>
          <w:sz w:val="32"/>
          <w:szCs w:val="32"/>
        </w:rPr>
        <w:t xml:space="preserve"> </w:t>
      </w:r>
      <w:r>
        <w:rPr>
          <w:rFonts w:ascii="仿宋_GB2312" w:eastAsia="仿宋_GB2312" w:hAnsi="仿宋_GB2312" w:cs="仿宋_GB2312" w:hint="eastAsia"/>
          <w:kern w:val="0"/>
          <w:sz w:val="32"/>
          <w:szCs w:val="32"/>
        </w:rPr>
        <w:t>培训</w:t>
      </w:r>
      <w:r>
        <w:rPr>
          <w:rFonts w:ascii="仿宋_GB2312" w:eastAsia="仿宋_GB2312" w:hAnsi="仿宋_GB2312" w:cs="仿宋_GB2312" w:hint="eastAsia"/>
          <w:sz w:val="32"/>
          <w:szCs w:val="32"/>
        </w:rPr>
        <w:t>时间为1个月。在</w:t>
      </w:r>
      <w:r>
        <w:rPr>
          <w:rFonts w:ascii="仿宋_GB2312" w:eastAsia="仿宋_GB2312" w:hAnsi="仿宋_GB2312" w:cs="仿宋_GB2312" w:hint="eastAsia"/>
          <w:kern w:val="0"/>
          <w:sz w:val="32"/>
          <w:szCs w:val="32"/>
        </w:rPr>
        <w:t>中医骨伤科</w:t>
      </w:r>
      <w:r>
        <w:rPr>
          <w:rFonts w:ascii="仿宋_GB2312" w:eastAsia="仿宋_GB2312" w:hAnsi="仿宋_GB2312" w:cs="仿宋_GB2312" w:hint="eastAsia"/>
          <w:sz w:val="32"/>
          <w:szCs w:val="32"/>
        </w:rPr>
        <w:t>病房培训，</w:t>
      </w:r>
      <w:r>
        <w:rPr>
          <w:rFonts w:ascii="仿宋_GB2312" w:eastAsia="仿宋_GB2312" w:hAnsi="仿宋_GB2312" w:cs="仿宋_GB2312" w:hint="eastAsia"/>
          <w:kern w:val="0"/>
          <w:sz w:val="32"/>
          <w:szCs w:val="32"/>
        </w:rPr>
        <w:t>每周参加不少于</w:t>
      </w:r>
      <w:r>
        <w:rPr>
          <w:rFonts w:ascii="仿宋_GB2312" w:eastAsia="仿宋_GB2312" w:hAnsi="仿宋_GB2312" w:cs="仿宋_GB2312"/>
          <w:kern w:val="0"/>
          <w:sz w:val="32"/>
          <w:szCs w:val="32"/>
        </w:rPr>
        <w:t>1次</w:t>
      </w:r>
      <w:r>
        <w:rPr>
          <w:rFonts w:ascii="仿宋_GB2312" w:eastAsia="仿宋_GB2312" w:hAnsi="仿宋_GB2312" w:cs="仿宋_GB2312" w:hint="eastAsia"/>
          <w:kern w:val="0"/>
          <w:sz w:val="32"/>
          <w:szCs w:val="32"/>
        </w:rPr>
        <w:t>的门诊培训</w:t>
      </w:r>
      <w:r>
        <w:rPr>
          <w:rFonts w:ascii="仿宋_GB2312" w:eastAsia="仿宋_GB2312" w:hAnsi="仿宋_GB2312" w:cs="仿宋_GB2312" w:hint="eastAsia"/>
          <w:sz w:val="32"/>
          <w:szCs w:val="32"/>
        </w:rPr>
        <w:t>。</w:t>
      </w:r>
    </w:p>
    <w:p>
      <w:pPr>
        <w:autoSpaceDE w:val="0"/>
        <w:autoSpaceDN w:val="0"/>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b/>
          <w:bCs/>
          <w:kern w:val="0"/>
          <w:sz w:val="32"/>
          <w:szCs w:val="32"/>
        </w:rPr>
        <w:t>9</w:t>
      </w:r>
      <w:r>
        <w:rPr>
          <w:rFonts w:ascii="仿宋_GB2312" w:eastAsia="仿宋_GB2312" w:hAnsi="仿宋_GB2312" w:cs="仿宋_GB2312"/>
          <w:b/>
          <w:bCs/>
          <w:sz w:val="32"/>
          <w:szCs w:val="32"/>
        </w:rPr>
        <w:t>.中医眼科</w:t>
      </w:r>
      <w:r>
        <w:rPr>
          <w:rFonts w:ascii="仿宋_GB2312" w:eastAsia="仿宋_GB2312" w:hAnsi="仿宋_GB2312" w:cs="仿宋_GB2312" w:hint="eastAsia"/>
          <w:b/>
          <w:bCs/>
          <w:sz w:val="32"/>
          <w:szCs w:val="32"/>
        </w:rPr>
        <w:t>和</w:t>
      </w:r>
      <w:r>
        <w:rPr>
          <w:rFonts w:ascii="仿宋_GB2312" w:eastAsia="仿宋_GB2312" w:hAnsi="仿宋_GB2312" w:cs="仿宋_GB2312"/>
          <w:b/>
          <w:bCs/>
          <w:sz w:val="32"/>
          <w:szCs w:val="32"/>
        </w:rPr>
        <w:t>中医耳鼻咽喉科</w:t>
      </w: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sz w:val="32"/>
          <w:szCs w:val="32"/>
        </w:rPr>
        <w:t>培训时间为1个月。</w:t>
      </w:r>
      <w:r>
        <w:rPr>
          <w:rFonts w:ascii="仿宋_GB2312" w:eastAsia="仿宋_GB2312" w:hAnsi="仿宋_GB2312" w:cs="仿宋_GB2312"/>
          <w:kern w:val="0"/>
          <w:sz w:val="32"/>
          <w:szCs w:val="32"/>
        </w:rPr>
        <w:t>在中医眼科、中医耳鼻咽喉门诊</w:t>
      </w:r>
      <w:r>
        <w:rPr>
          <w:rFonts w:ascii="仿宋_GB2312" w:eastAsia="仿宋_GB2312" w:hAnsi="仿宋_GB2312" w:cs="仿宋_GB2312" w:hint="eastAsia"/>
          <w:kern w:val="0"/>
          <w:sz w:val="32"/>
          <w:szCs w:val="32"/>
        </w:rPr>
        <w:t>（</w:t>
      </w:r>
      <w:r>
        <w:rPr>
          <w:rFonts w:ascii="仿宋_GB2312" w:eastAsia="仿宋_GB2312" w:hAnsi="仿宋_GB2312" w:cs="仿宋_GB2312"/>
          <w:kern w:val="0"/>
          <w:sz w:val="32"/>
          <w:szCs w:val="32"/>
        </w:rPr>
        <w:t>含检查室、治疗室</w:t>
      </w:r>
      <w:r>
        <w:rPr>
          <w:rFonts w:ascii="仿宋_GB2312" w:eastAsia="仿宋_GB2312" w:hAnsi="仿宋_GB2312" w:cs="仿宋_GB2312" w:hint="eastAsia"/>
          <w:kern w:val="0"/>
          <w:sz w:val="32"/>
          <w:szCs w:val="32"/>
        </w:rPr>
        <w:t>）</w:t>
      </w:r>
      <w:r>
        <w:rPr>
          <w:rFonts w:ascii="仿宋_GB2312" w:eastAsia="仿宋_GB2312" w:hAnsi="仿宋_GB2312" w:cs="仿宋_GB2312"/>
          <w:kern w:val="0"/>
          <w:sz w:val="32"/>
          <w:szCs w:val="32"/>
        </w:rPr>
        <w:t>各参加</w:t>
      </w:r>
      <w:r>
        <w:rPr>
          <w:rFonts w:ascii="仿宋_GB2312" w:eastAsia="仿宋_GB2312" w:hAnsi="仿宋_GB2312" w:cs="仿宋_GB2312" w:hint="eastAsia"/>
          <w:kern w:val="0"/>
          <w:sz w:val="32"/>
          <w:szCs w:val="32"/>
        </w:rPr>
        <w:t>半</w:t>
      </w:r>
      <w:r>
        <w:rPr>
          <w:rFonts w:ascii="仿宋_GB2312" w:eastAsia="仿宋_GB2312" w:hAnsi="仿宋_GB2312" w:cs="仿宋_GB2312"/>
          <w:kern w:val="0"/>
          <w:sz w:val="32"/>
          <w:szCs w:val="32"/>
        </w:rPr>
        <w:t>个月的培</w:t>
      </w:r>
      <w:r>
        <w:rPr>
          <w:rFonts w:ascii="仿宋_GB2312" w:eastAsia="仿宋_GB2312" w:hAnsi="仿宋_GB2312" w:cs="仿宋_GB2312" w:hint="eastAsia"/>
          <w:kern w:val="0"/>
          <w:sz w:val="32"/>
          <w:szCs w:val="32"/>
        </w:rPr>
        <w:t>训</w:t>
      </w:r>
      <w:r>
        <w:rPr>
          <w:rFonts w:ascii="仿宋_GB2312" w:eastAsia="仿宋_GB2312" w:hAnsi="仿宋_GB2312" w:cs="仿宋_GB2312"/>
          <w:kern w:val="0"/>
          <w:sz w:val="32"/>
          <w:szCs w:val="32"/>
        </w:rPr>
        <w:t>。</w:t>
      </w:r>
    </w:p>
    <w:p>
      <w:pPr>
        <w:spacing w:line="600" w:lineRule="exact"/>
        <w:ind w:firstLine="640" w:firstLineChars="200"/>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10</w:t>
      </w:r>
      <w:r>
        <w:rPr>
          <w:rFonts w:ascii="仿宋_GB2312" w:eastAsia="仿宋_GB2312" w:hAnsi="仿宋_GB2312" w:cs="仿宋_GB2312"/>
          <w:b/>
          <w:bCs/>
          <w:kern w:val="0"/>
          <w:sz w:val="32"/>
          <w:szCs w:val="32"/>
        </w:rPr>
        <w:t>.</w:t>
      </w:r>
      <w:r>
        <w:rPr>
          <w:rFonts w:ascii="仿宋_GB2312" w:eastAsia="仿宋_GB2312" w:hAnsi="仿宋_GB2312" w:cs="仿宋_GB2312" w:hint="eastAsia"/>
          <w:b/>
          <w:bCs/>
          <w:kern w:val="0"/>
          <w:sz w:val="32"/>
          <w:szCs w:val="32"/>
        </w:rPr>
        <w:t xml:space="preserve">急诊科 </w:t>
      </w:r>
      <w:r>
        <w:rPr>
          <w:rFonts w:ascii="仿宋_GB2312" w:eastAsia="仿宋_GB2312" w:hAnsi="仿宋_GB2312" w:cs="仿宋_GB2312"/>
          <w:b/>
          <w:bCs/>
          <w:kern w:val="0"/>
          <w:sz w:val="32"/>
          <w:szCs w:val="32"/>
        </w:rPr>
        <w:t xml:space="preserve"> </w:t>
      </w:r>
      <w:r>
        <w:rPr>
          <w:rFonts w:ascii="仿宋_GB2312" w:eastAsia="仿宋_GB2312" w:hAnsi="仿宋_GB2312" w:cs="仿宋_GB2312" w:hint="eastAsia"/>
          <w:kern w:val="0"/>
          <w:sz w:val="32"/>
          <w:szCs w:val="32"/>
        </w:rPr>
        <w:t>培训时间为2个月。</w:t>
      </w:r>
      <w:r>
        <w:rPr>
          <w:rFonts w:ascii="仿宋_GB2312" w:eastAsia="仿宋_GB2312" w:hAnsi="仿宋_GB2312" w:cs="仿宋_GB2312"/>
          <w:sz w:val="32"/>
          <w:szCs w:val="32"/>
        </w:rPr>
        <w:t>在急诊门诊、病房</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含重症监护室</w:t>
      </w:r>
      <w:r>
        <w:rPr>
          <w:rFonts w:ascii="仿宋_GB2312" w:eastAsia="仿宋_GB2312" w:hAnsi="仿宋_GB2312" w:cs="仿宋_GB2312" w:hint="eastAsia"/>
          <w:sz w:val="32"/>
          <w:szCs w:val="32"/>
        </w:rPr>
        <w:t>）培训各1</w:t>
      </w:r>
      <w:r>
        <w:rPr>
          <w:rFonts w:ascii="仿宋_GB2312" w:eastAsia="仿宋_GB2312" w:hAnsi="仿宋_GB2312" w:cs="仿宋_GB2312"/>
          <w:sz w:val="32"/>
          <w:szCs w:val="32"/>
        </w:rPr>
        <w:t>个</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w:t>
      </w:r>
    </w:p>
    <w:p>
      <w:pPr>
        <w:autoSpaceDE w:val="0"/>
        <w:autoSpaceDN w:val="0"/>
        <w:spacing w:line="600" w:lineRule="exact"/>
        <w:ind w:firstLine="640" w:firstLineChars="200"/>
        <w:rPr>
          <w:rFonts w:ascii="仿宋_GB2312" w:eastAsia="仿宋_GB2312" w:hAnsi="仿宋_GB2312" w:cs="仿宋_GB2312"/>
          <w:kern w:val="0"/>
          <w:sz w:val="32"/>
          <w:szCs w:val="32"/>
        </w:rPr>
      </w:pPr>
      <w:r>
        <w:rPr>
          <w:rFonts w:ascii="仿宋_GB2312" w:eastAsia="仿宋_GB2312" w:hAnsi="仿宋_GB2312" w:cs="仿宋_GB2312"/>
          <w:b/>
          <w:bCs/>
          <w:kern w:val="0"/>
          <w:sz w:val="32"/>
          <w:szCs w:val="32"/>
        </w:rPr>
        <w:t>1</w:t>
      </w:r>
      <w:r>
        <w:rPr>
          <w:rFonts w:ascii="仿宋_GB2312" w:eastAsia="仿宋_GB2312" w:hAnsi="仿宋_GB2312" w:cs="仿宋_GB2312" w:hint="eastAsia"/>
          <w:b/>
          <w:bCs/>
          <w:kern w:val="0"/>
          <w:sz w:val="32"/>
          <w:szCs w:val="32"/>
        </w:rPr>
        <w:t>1</w:t>
      </w:r>
      <w:r>
        <w:rPr>
          <w:rFonts w:ascii="仿宋_GB2312" w:eastAsia="仿宋_GB2312" w:hAnsi="仿宋_GB2312" w:cs="仿宋_GB2312"/>
          <w:b/>
          <w:bCs/>
          <w:kern w:val="0"/>
          <w:sz w:val="32"/>
          <w:szCs w:val="32"/>
        </w:rPr>
        <w:t>.辅助</w:t>
      </w:r>
      <w:r>
        <w:rPr>
          <w:rFonts w:ascii="仿宋_GB2312" w:eastAsia="仿宋_GB2312" w:hAnsi="仿宋_GB2312" w:cs="仿宋_GB2312" w:hint="eastAsia"/>
          <w:b/>
          <w:bCs/>
          <w:kern w:val="0"/>
          <w:sz w:val="32"/>
          <w:szCs w:val="32"/>
        </w:rPr>
        <w:t xml:space="preserve">科室 </w:t>
      </w:r>
      <w:r>
        <w:rPr>
          <w:rFonts w:ascii="仿宋_GB2312" w:eastAsia="仿宋_GB2312" w:hAnsi="仿宋_GB2312" w:cs="仿宋_GB2312"/>
          <w:b/>
          <w:bCs/>
          <w:kern w:val="0"/>
          <w:sz w:val="32"/>
          <w:szCs w:val="32"/>
        </w:rPr>
        <w:t xml:space="preserve"> </w:t>
      </w:r>
      <w:r>
        <w:rPr>
          <w:rFonts w:ascii="仿宋_GB2312" w:eastAsia="仿宋_GB2312" w:hAnsi="仿宋_GB2312" w:cs="仿宋_GB2312" w:hint="eastAsia"/>
          <w:sz w:val="32"/>
          <w:szCs w:val="32"/>
        </w:rPr>
        <w:t>培训时间为2个月。在</w:t>
      </w:r>
      <w:r>
        <w:rPr>
          <w:rFonts w:ascii="仿宋_GB2312" w:eastAsia="仿宋_GB2312" w:hAnsi="仿宋_GB2312" w:cs="仿宋_GB2312" w:hint="eastAsia"/>
          <w:kern w:val="0"/>
          <w:sz w:val="32"/>
          <w:szCs w:val="32"/>
        </w:rPr>
        <w:t>医学影像科、心电图室、超声医学科、中药房中的4个科室各进行半个月培训。</w:t>
      </w:r>
    </w:p>
    <w:p>
      <w:pPr>
        <w:spacing w:line="600" w:lineRule="exact"/>
        <w:ind w:firstLine="640" w:firstLineChars="200"/>
        <w:jc w:val="left"/>
        <w:outlineLvl w:val="0"/>
        <w:rPr>
          <w:rFonts w:ascii="仿宋_GB2312" w:eastAsia="仿宋_GB2312" w:hAnsi="仿宋_GB2312" w:cs="仿宋_GB2312"/>
          <w:kern w:val="0"/>
          <w:sz w:val="32"/>
          <w:szCs w:val="32"/>
        </w:rPr>
      </w:pPr>
      <w:r>
        <w:rPr>
          <w:rFonts w:ascii="楷体_GB2312" w:eastAsia="楷体_GB2312" w:hAnsi="楷体_GB2312" w:cs="楷体_GB2312" w:hint="eastAsia"/>
          <w:b/>
          <w:sz w:val="32"/>
          <w:szCs w:val="32"/>
        </w:rPr>
        <w:t>（三）第二阶段（基层培养基地实践，时间为6</w:t>
      </w:r>
      <w:r>
        <w:rPr>
          <w:rFonts w:ascii="楷体_GB2312" w:eastAsia="楷体_GB2312" w:hAnsi="楷体_GB2312" w:cs="楷体_GB2312"/>
          <w:b/>
          <w:sz w:val="32"/>
          <w:szCs w:val="32"/>
        </w:rPr>
        <w:t>个月）</w:t>
      </w:r>
    </w:p>
    <w:p>
      <w:pPr>
        <w:spacing w:line="600" w:lineRule="exact"/>
        <w:ind w:firstLine="640" w:firstLineChars="200"/>
        <w:textAlignment w:val="baseline"/>
        <w:rPr>
          <w:rFonts w:ascii="仿宋_GB2312" w:eastAsia="仿宋_GB2312" w:hAnsi="仿宋_GB2312" w:cs="仿宋_GB2312"/>
          <w:kern w:val="0"/>
          <w:sz w:val="32"/>
          <w:szCs w:val="32"/>
        </w:rPr>
        <w:sectPr>
          <w:footerReference w:type="default" r:id="rId11"/>
          <w:type w:val="nextPage"/>
          <w:pgSz w:w="11906" w:h="16838"/>
          <w:pgMar w:top="1701" w:right="1531" w:bottom="1701" w:left="1531" w:header="851" w:footer="992" w:gutter="0"/>
          <w:pgNumType w:start="7"/>
          <w:cols w:num="1" w:space="425"/>
          <w:titlePg w:val="0"/>
          <w:docGrid w:type="lines" w:linePitch="312" w:charSpace="0"/>
        </w:sectPr>
      </w:pPr>
      <w:r>
        <w:rPr>
          <w:rFonts w:ascii="仿宋_GB2312" w:eastAsia="仿宋_GB2312" w:hAnsi="仿宋_GB2312" w:cs="仿宋_GB2312" w:hint="eastAsia"/>
          <w:kern w:val="0"/>
          <w:sz w:val="32"/>
          <w:szCs w:val="32"/>
        </w:rPr>
        <w:t>培训对象通过基层培养基地实践，直接参加社区全科医疗实践和居民健康管理，利用中医药为社区个体与群体提供连续性、综合性、协调性、人性化中医药服务。培训时间为6个月，其中</w:t>
      </w:r>
    </w:p>
    <w:p>
      <w:pPr>
        <w:spacing w:line="600" w:lineRule="exact"/>
        <w:ind w:firstLine="640" w:firstLineChars="200"/>
        <w:textAlignment w:val="baseline"/>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全科医疗科</w:t>
      </w:r>
      <w:r>
        <w:rPr>
          <w:rFonts w:ascii="仿宋_GB2312" w:eastAsia="仿宋_GB2312" w:hAnsi="仿宋_GB2312" w:cs="仿宋_GB2312"/>
          <w:sz w:val="32"/>
          <w:szCs w:val="32"/>
        </w:rPr>
        <w:t>2个月，中医全科（或中医科）2个月，康复科（包括中医适宜技术）1个月，预防保健科（含妇保、儿保和精防管理）1个月</w:t>
      </w:r>
      <w:r>
        <w:rPr>
          <w:rFonts w:ascii="仿宋_GB2312" w:eastAsia="仿宋_GB2312" w:hAnsi="仿宋_GB2312" w:cs="仿宋_GB2312" w:hint="eastAsia"/>
          <w:kern w:val="0"/>
          <w:sz w:val="32"/>
          <w:szCs w:val="32"/>
        </w:rPr>
        <w:t>。</w:t>
      </w:r>
    </w:p>
    <w:p>
      <w:pPr>
        <w:spacing w:line="600" w:lineRule="exact"/>
        <w:ind w:firstLine="640" w:firstLineChars="200"/>
        <w:jc w:val="left"/>
        <w:outlineLvl w:val="0"/>
        <w:rPr>
          <w:rFonts w:ascii="楷体_GB2312" w:eastAsia="楷体_GB2312" w:hAnsi="楷体_GB2312" w:cs="楷体_GB2312"/>
          <w:b/>
          <w:sz w:val="32"/>
          <w:szCs w:val="32"/>
        </w:rPr>
      </w:pPr>
      <w:r>
        <w:rPr>
          <w:rFonts w:ascii="楷体_GB2312" w:eastAsia="楷体_GB2312" w:hAnsi="楷体_GB2312" w:cs="楷体_GB2312" w:hint="eastAsia"/>
          <w:b/>
          <w:sz w:val="32"/>
          <w:szCs w:val="32"/>
        </w:rPr>
        <w:t>（四）其他要求</w:t>
      </w:r>
    </w:p>
    <w:p>
      <w:pPr>
        <w:autoSpaceDE w:val="0"/>
        <w:autoSpaceDN w:val="0"/>
        <w:spacing w:line="600" w:lineRule="exact"/>
        <w:ind w:firstLine="640" w:firstLineChars="200"/>
        <w:rPr>
          <w:rFonts w:ascii="仿宋_GB2312" w:eastAsia="仿宋_GB2312" w:hAnsi="仿宋_GB2312" w:cs="仿宋_GB2312"/>
          <w:b/>
          <w:bCs/>
          <w:sz w:val="32"/>
          <w:szCs w:val="32"/>
        </w:rPr>
      </w:pPr>
      <w:r>
        <w:rPr>
          <w:rFonts w:ascii="仿宋_GB2312" w:eastAsia="仿宋_GB2312" w:hAnsi="仿宋_GB2312" w:cs="仿宋_GB2312" w:hint="eastAsia"/>
          <w:b/>
          <w:bCs/>
          <w:kern w:val="0"/>
          <w:sz w:val="32"/>
          <w:szCs w:val="32"/>
        </w:rPr>
        <w:t>1.教学、科研要求</w:t>
      </w:r>
    </w:p>
    <w:p>
      <w:pPr>
        <w:spacing w:line="600" w:lineRule="exact"/>
        <w:ind w:firstLine="640" w:firstLineChars="200"/>
        <w:textAlignment w:val="baseline"/>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（1）阅读本专业相关书籍，结合中医全科临床工作实践，三年内撰写与临床相关的论文（临床总结、文献综述、临床研究等）。</w:t>
      </w:r>
    </w:p>
    <w:p>
      <w:pPr>
        <w:spacing w:line="600" w:lineRule="exact"/>
        <w:ind w:firstLine="640" w:firstLineChars="200"/>
        <w:textAlignment w:val="baseline"/>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（2）参加本科生的见习、实习等教学工作，包括参与临床带教、教学查房和小讲课等教学活动。</w:t>
      </w:r>
    </w:p>
    <w:p>
      <w:pPr>
        <w:spacing w:line="600" w:lineRule="exact"/>
        <w:ind w:firstLine="640" w:firstLineChars="200"/>
        <w:textAlignment w:val="baseline"/>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（3）参加院内专题讲座、学术活动及病例讨论会。</w:t>
      </w:r>
    </w:p>
    <w:p>
      <w:pPr>
        <w:autoSpaceDE w:val="0"/>
        <w:autoSpaceDN w:val="0"/>
        <w:spacing w:line="600" w:lineRule="exact"/>
        <w:ind w:firstLine="640" w:firstLineChars="200"/>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 xml:space="preserve">2.公共卫生科目 </w:t>
      </w:r>
      <w:r>
        <w:rPr>
          <w:rFonts w:ascii="仿宋_GB2312" w:eastAsia="仿宋_GB2312" w:hAnsi="仿宋_GB2312" w:cs="仿宋_GB2312"/>
          <w:b/>
          <w:bCs/>
          <w:kern w:val="0"/>
          <w:sz w:val="32"/>
          <w:szCs w:val="32"/>
        </w:rPr>
        <w:t xml:space="preserve"> </w:t>
      </w:r>
      <w:r>
        <w:rPr>
          <w:rFonts w:ascii="仿宋_GB2312" w:eastAsia="仿宋_GB2312" w:hAnsi="仿宋_GB2312" w:cs="仿宋_GB2312" w:hint="eastAsia"/>
          <w:kern w:val="0"/>
          <w:sz w:val="32"/>
          <w:szCs w:val="32"/>
        </w:rPr>
        <w:t>按照医疗机构以及临床医生执业的有关要求，培训对象均应参加公共卫生科目学习，并结合中医全科医生特点适当增加必要的课程。公共卫生科目包括医学伦理、卫生法规、循证医学、传染病防治、流行病学、精神卫生、职业病防治、食源性疾病防治、临床思维与沟通技能、</w:t>
      </w:r>
      <w:r>
        <w:rPr>
          <w:rFonts w:ascii="仿宋_GB2312" w:eastAsia="仿宋_GB2312" w:hAnsi="仿宋_GB2312" w:cs="仿宋_GB2312" w:hint="eastAsia"/>
          <w:sz w:val="32"/>
          <w:szCs w:val="32"/>
        </w:rPr>
        <w:t>中国</w:t>
      </w:r>
      <w:r>
        <w:rPr>
          <w:rFonts w:ascii="仿宋_GB2312" w:eastAsia="仿宋_GB2312" w:hAnsi="仿宋_GB2312" w:cs="仿宋_GB2312"/>
          <w:sz w:val="32"/>
          <w:szCs w:val="32"/>
        </w:rPr>
        <w:t>文化</w:t>
      </w:r>
      <w:r>
        <w:rPr>
          <w:rFonts w:ascii="仿宋_GB2312" w:eastAsia="仿宋_GB2312" w:hAnsi="仿宋_GB2312" w:cs="仿宋_GB2312" w:hint="eastAsia"/>
          <w:kern w:val="0"/>
          <w:sz w:val="32"/>
          <w:szCs w:val="32"/>
        </w:rPr>
        <w:t>、中医经典导读、疫病防控知识和技能等内容。</w:t>
      </w:r>
    </w:p>
    <w:p>
      <w:pPr>
        <w:spacing w:line="600" w:lineRule="exact"/>
        <w:ind w:firstLine="640" w:firstLineChars="200"/>
        <w:rPr>
          <w:rFonts w:ascii="黑体" w:eastAsia="黑体" w:hAnsi="黑体" w:cs="黑体"/>
          <w:sz w:val="32"/>
          <w:szCs w:val="32"/>
        </w:rPr>
      </w:pPr>
    </w:p>
    <w:p>
      <w:pPr>
        <w:spacing w:line="600" w:lineRule="exact"/>
        <w:ind w:firstLine="640" w:firstLineChars="200"/>
        <w:jc w:val="left"/>
        <w:outlineLvl w:val="0"/>
        <w:rPr>
          <w:rFonts w:ascii="黑体" w:eastAsia="黑体" w:hAnsi="黑体" w:cs="黑体"/>
          <w:sz w:val="32"/>
          <w:szCs w:val="32"/>
        </w:rPr>
      </w:pPr>
      <w:r>
        <w:rPr>
          <w:rFonts w:ascii="黑体" w:eastAsia="黑体" w:hAnsi="黑体" w:cs="黑体" w:hint="eastAsia"/>
          <w:sz w:val="32"/>
          <w:szCs w:val="32"/>
        </w:rPr>
        <w:t>五、培训考核</w:t>
      </w:r>
    </w:p>
    <w:p>
      <w:pPr>
        <w:spacing w:line="600" w:lineRule="exact"/>
        <w:ind w:firstLine="640" w:firstLineChars="200"/>
        <w:rPr>
          <w:rFonts w:ascii="仿宋_GB2312" w:eastAsia="仿宋_GB2312" w:hAnsi="仿宋_GB2312" w:cs="仿宋_GB2312"/>
          <w:sz w:val="32"/>
          <w:szCs w:val="32"/>
        </w:rPr>
        <w:sectPr>
          <w:footerReference w:type="default" r:id="rId12"/>
          <w:type w:val="nextPage"/>
          <w:pgSz w:w="11906" w:h="16838"/>
          <w:pgMar w:top="1701" w:right="1531" w:bottom="1701" w:left="1531" w:header="851" w:footer="992" w:gutter="0"/>
          <w:pgNumType w:start="8"/>
          <w:cols w:num="1" w:space="425"/>
          <w:titlePg w:val="0"/>
          <w:docGrid w:type="lines" w:linePitch="312" w:charSpace="0"/>
        </w:sectPr>
      </w:pPr>
      <w:r>
        <w:rPr>
          <w:rFonts w:ascii="仿宋_GB2312" w:eastAsia="仿宋_GB2312" w:hAnsi="仿宋_GB2312" w:cs="仿宋_GB2312"/>
          <w:sz w:val="32"/>
          <w:szCs w:val="32"/>
        </w:rPr>
        <w:t>包括过程考核、师承考核和结业考核，以过程考核为重点</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过程考核包括日常考核、出科考核、模块考核。日常考核由轮转科室组织实施</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出科考核由轮转科室</w:t>
      </w:r>
      <w:r>
        <w:rPr>
          <w:rFonts w:ascii="仿宋_GB2312" w:eastAsia="仿宋_GB2312" w:hAnsi="仿宋_GB2312" w:cs="仿宋_GB2312" w:hint="eastAsia"/>
          <w:sz w:val="32"/>
          <w:szCs w:val="32"/>
        </w:rPr>
        <w:t>或</w:t>
      </w:r>
      <w:r>
        <w:rPr>
          <w:rFonts w:ascii="仿宋_GB2312" w:eastAsia="仿宋_GB2312" w:hAnsi="仿宋_GB2312" w:cs="仿宋_GB2312"/>
          <w:sz w:val="32"/>
          <w:szCs w:val="32"/>
        </w:rPr>
        <w:t>规培职能管理部门</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hint="eastAsia"/>
          <w:sz w:val="32"/>
          <w:szCs w:val="32"/>
        </w:rPr>
        <w:t>组织实施</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模块</w:t>
      </w:r>
      <w:r>
        <w:rPr>
          <w:rFonts w:ascii="仿宋_GB2312" w:eastAsia="仿宋_GB2312" w:hAnsi="仿宋_GB2312" w:cs="仿宋_GB2312"/>
          <w:sz w:val="32"/>
          <w:szCs w:val="32"/>
        </w:rPr>
        <w:t>考核、师承考核由培训基地统一组织实施，培训科室配合；结业考核由省级中医药管理部门统一组织，考核基地具体实施</w:t>
      </w:r>
      <w:r>
        <w:rPr>
          <w:rFonts w:ascii="仿宋_GB2312" w:eastAsia="仿宋_GB2312" w:hAnsi="仿宋_GB2312" w:cs="仿宋_GB2312" w:hint="eastAsia"/>
          <w:sz w:val="32"/>
          <w:szCs w:val="32"/>
        </w:rPr>
        <w:t>。</w:t>
      </w:r>
    </w:p>
    <w:p>
      <w:pPr>
        <w:spacing w:line="600" w:lineRule="exact"/>
        <w:ind w:firstLine="640" w:firstLineChars="200"/>
        <w:outlineLvl w:val="0"/>
        <w:rPr>
          <w:rFonts w:ascii="楷体_GB2312" w:eastAsia="楷体_GB2312" w:hAnsi="楷体_GB2312" w:cs="楷体_GB2312"/>
          <w:b/>
          <w:sz w:val="32"/>
          <w:szCs w:val="32"/>
        </w:rPr>
      </w:pPr>
      <w:r>
        <w:rPr>
          <w:rFonts w:ascii="楷体_GB2312" w:eastAsia="楷体_GB2312" w:hAnsi="楷体_GB2312" w:cs="楷体_GB2312" w:hint="eastAsia"/>
          <w:b/>
          <w:sz w:val="32"/>
          <w:szCs w:val="32"/>
        </w:rPr>
        <w:t>（一）</w:t>
      </w:r>
      <w:r>
        <w:rPr>
          <w:rFonts w:ascii="楷体_GB2312" w:eastAsia="楷体_GB2312" w:hAnsi="楷体_GB2312" w:cs="楷体_GB2312"/>
          <w:b/>
          <w:sz w:val="32"/>
          <w:szCs w:val="32"/>
        </w:rPr>
        <w:t>考核内容</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b/>
          <w:sz w:val="32"/>
          <w:szCs w:val="32"/>
        </w:rPr>
        <w:t xml:space="preserve">1.日常考核  </w:t>
      </w:r>
      <w:r>
        <w:rPr>
          <w:rFonts w:ascii="仿宋_GB2312" w:eastAsia="仿宋_GB2312" w:hAnsi="仿宋_GB2312" w:cs="仿宋_GB2312"/>
          <w:sz w:val="32"/>
          <w:szCs w:val="32"/>
        </w:rPr>
        <w:t>主要考核日常培训情况，包括出勤情况、医德医风、工作</w:t>
      </w:r>
      <w:r>
        <w:rPr>
          <w:rFonts w:ascii="仿宋_GB2312" w:eastAsia="仿宋_GB2312" w:hAnsi="仿宋_GB2312" w:cs="仿宋_GB2312" w:hint="eastAsia"/>
          <w:sz w:val="32"/>
          <w:szCs w:val="32"/>
        </w:rPr>
        <w:t>数</w:t>
      </w:r>
      <w:r>
        <w:rPr>
          <w:rFonts w:ascii="仿宋_GB2312" w:eastAsia="仿宋_GB2312" w:hAnsi="仿宋_GB2312" w:cs="仿宋_GB2312"/>
          <w:sz w:val="32"/>
          <w:szCs w:val="32"/>
        </w:rPr>
        <w:t>量与质量、完成病证病种数、医疗文书书写、培训及学习态度等内容。应在出科前完成。</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b/>
          <w:sz w:val="32"/>
          <w:szCs w:val="32"/>
        </w:rPr>
        <w:t xml:space="preserve">2.出科考核  </w:t>
      </w:r>
      <w:r>
        <w:rPr>
          <w:rFonts w:ascii="仿宋_GB2312" w:eastAsia="仿宋_GB2312" w:hAnsi="仿宋_GB2312" w:cs="仿宋_GB2312"/>
          <w:sz w:val="32"/>
          <w:szCs w:val="32"/>
        </w:rPr>
        <w:t>分为理论考核和技能操作考核。理论考核以各专业培训标准为依据，主要考核中医思维</w:t>
      </w:r>
      <w:r>
        <w:rPr>
          <w:rFonts w:ascii="仿宋_GB2312" w:eastAsia="仿宋_GB2312" w:hAnsi="仿宋_GB2312" w:cs="仿宋_GB2312" w:hint="eastAsia"/>
          <w:sz w:val="32"/>
          <w:szCs w:val="32"/>
        </w:rPr>
        <w:t>与</w:t>
      </w:r>
      <w:r>
        <w:rPr>
          <w:rFonts w:ascii="仿宋_GB2312" w:eastAsia="仿宋_GB2312" w:hAnsi="仿宋_GB2312" w:cs="仿宋_GB2312"/>
          <w:sz w:val="32"/>
          <w:szCs w:val="32"/>
        </w:rPr>
        <w:t>临床诊疗能力，中医内容比例不</w:t>
      </w:r>
      <w:r>
        <w:rPr>
          <w:rFonts w:ascii="仿宋_GB2312" w:eastAsia="仿宋_GB2312" w:hAnsi="仿宋_GB2312" w:cs="仿宋_GB2312" w:hint="eastAsia"/>
          <w:sz w:val="32"/>
          <w:szCs w:val="32"/>
        </w:rPr>
        <w:t>得</w:t>
      </w:r>
      <w:r>
        <w:rPr>
          <w:rFonts w:ascii="仿宋_GB2312" w:eastAsia="仿宋_GB2312" w:hAnsi="仿宋_GB2312" w:cs="仿宋_GB2312"/>
          <w:sz w:val="32"/>
          <w:szCs w:val="32"/>
        </w:rPr>
        <w:t>低于70%；技能考核以本专业常见操作技能为重点。应在出科前</w:t>
      </w:r>
      <w:r>
        <w:rPr>
          <w:rFonts w:ascii="仿宋_GB2312" w:eastAsia="仿宋_GB2312" w:hAnsi="仿宋_GB2312" w:cs="仿宋_GB2312" w:hint="eastAsia"/>
          <w:sz w:val="32"/>
          <w:szCs w:val="32"/>
        </w:rPr>
        <w:t>3天</w:t>
      </w:r>
      <w:r>
        <w:rPr>
          <w:rFonts w:ascii="仿宋_GB2312" w:eastAsia="仿宋_GB2312" w:hAnsi="仿宋_GB2312" w:cs="仿宋_GB2312"/>
          <w:sz w:val="32"/>
          <w:szCs w:val="32"/>
        </w:rPr>
        <w:t>完成。</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b/>
          <w:sz w:val="32"/>
          <w:szCs w:val="32"/>
        </w:rPr>
        <w:t xml:space="preserve">3.模块考核  </w:t>
      </w:r>
      <w:r>
        <w:rPr>
          <w:rFonts w:ascii="仿宋_GB2312" w:eastAsia="仿宋_GB2312" w:hAnsi="仿宋_GB2312" w:cs="仿宋_GB2312"/>
          <w:sz w:val="32"/>
          <w:szCs w:val="32"/>
        </w:rPr>
        <w:t>包括中医经典理论、中药方剂知识、接诊能力、中医</w:t>
      </w:r>
      <w:r>
        <w:rPr>
          <w:rFonts w:ascii="仿宋_GB2312" w:eastAsia="仿宋_GB2312" w:hAnsi="仿宋_GB2312" w:cs="仿宋_GB2312" w:hint="eastAsia"/>
          <w:sz w:val="32"/>
          <w:szCs w:val="32"/>
        </w:rPr>
        <w:t>临床</w:t>
      </w:r>
      <w:r>
        <w:rPr>
          <w:rFonts w:ascii="仿宋_GB2312" w:eastAsia="仿宋_GB2312" w:hAnsi="仿宋_GB2312" w:cs="仿宋_GB2312"/>
          <w:sz w:val="32"/>
          <w:szCs w:val="32"/>
        </w:rPr>
        <w:t>技能、</w:t>
      </w:r>
      <w:r>
        <w:rPr>
          <w:rFonts w:ascii="仿宋_GB2312" w:eastAsia="仿宋_GB2312" w:hAnsi="仿宋_GB2312" w:cs="仿宋_GB2312" w:hint="eastAsia"/>
          <w:sz w:val="32"/>
          <w:szCs w:val="32"/>
        </w:rPr>
        <w:t>西医基本</w:t>
      </w:r>
      <w:r>
        <w:rPr>
          <w:rFonts w:ascii="仿宋_GB2312" w:eastAsia="仿宋_GB2312" w:hAnsi="仿宋_GB2312" w:cs="仿宋_GB2312"/>
          <w:sz w:val="32"/>
          <w:szCs w:val="32"/>
        </w:rPr>
        <w:t>技能</w:t>
      </w:r>
      <w:r>
        <w:rPr>
          <w:rFonts w:ascii="仿宋_GB2312" w:eastAsia="仿宋_GB2312" w:hAnsi="仿宋_GB2312" w:cs="仿宋_GB2312" w:hint="eastAsia"/>
          <w:sz w:val="32"/>
          <w:szCs w:val="32"/>
        </w:rPr>
        <w:t>（含急救）</w:t>
      </w:r>
      <w:r>
        <w:rPr>
          <w:rFonts w:ascii="仿宋_GB2312" w:eastAsia="仿宋_GB2312" w:hAnsi="仿宋_GB2312" w:cs="仿宋_GB2312"/>
          <w:sz w:val="32"/>
          <w:szCs w:val="32"/>
        </w:rPr>
        <w:t>等模块。</w:t>
      </w:r>
      <w:r>
        <w:rPr>
          <w:rFonts w:ascii="仿宋_GB2312" w:eastAsia="仿宋_GB2312" w:hAnsi="仿宋_GB2312" w:cs="仿宋_GB2312" w:hint="eastAsia"/>
          <w:sz w:val="32"/>
          <w:szCs w:val="32"/>
        </w:rPr>
        <w:t>中医经典理论模块参加国家统一组织的考核，其他模块由培训基地组织实施。</w:t>
      </w:r>
      <w:r>
        <w:rPr>
          <w:rFonts w:ascii="仿宋_GB2312" w:eastAsia="仿宋_GB2312" w:hAnsi="仿宋_GB2312" w:cs="仿宋_GB2312"/>
          <w:sz w:val="32"/>
          <w:szCs w:val="32"/>
        </w:rPr>
        <w:t>应在第二阶段培训前完成</w:t>
      </w:r>
      <w:r>
        <w:rPr>
          <w:rFonts w:ascii="仿宋_GB2312" w:eastAsia="仿宋_GB2312" w:hAnsi="仿宋_GB2312" w:cs="仿宋_GB2312" w:hint="eastAsia"/>
          <w:sz w:val="32"/>
          <w:szCs w:val="32"/>
        </w:rPr>
        <w:t>。</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b/>
          <w:sz w:val="32"/>
          <w:szCs w:val="32"/>
        </w:rPr>
        <w:t xml:space="preserve">4.师承考核  </w:t>
      </w:r>
      <w:r>
        <w:rPr>
          <w:rFonts w:ascii="仿宋_GB2312" w:eastAsia="仿宋_GB2312" w:hAnsi="仿宋_GB2312" w:cs="仿宋_GB2312"/>
          <w:sz w:val="32"/>
          <w:szCs w:val="32"/>
        </w:rPr>
        <w:t>包括跟师考勤情况和跟师笔记、典型医案总结、师承</w:t>
      </w:r>
      <w:r>
        <w:rPr>
          <w:rFonts w:ascii="仿宋_GB2312" w:eastAsia="仿宋_GB2312" w:hAnsi="仿宋_GB2312" w:cs="仿宋_GB2312" w:hint="eastAsia"/>
          <w:sz w:val="32"/>
          <w:szCs w:val="32"/>
        </w:rPr>
        <w:t>带教老师</w:t>
      </w:r>
      <w:r>
        <w:rPr>
          <w:rFonts w:ascii="仿宋_GB2312" w:eastAsia="仿宋_GB2312" w:hAnsi="仿宋_GB2312" w:cs="仿宋_GB2312"/>
          <w:sz w:val="32"/>
          <w:szCs w:val="32"/>
        </w:rPr>
        <w:t>临床经验总结完成情况。应在结业考核前完成。</w:t>
      </w:r>
    </w:p>
    <w:p>
      <w:pPr>
        <w:spacing w:line="600" w:lineRule="exact"/>
        <w:ind w:firstLine="640" w:firstLineChars="200"/>
        <w:rPr>
          <w:rFonts w:ascii="仿宋_GB2312" w:eastAsia="仿宋_GB2312" w:hAnsi="仿宋_GB2312" w:cs="仿宋_GB2312"/>
          <w:sz w:val="32"/>
          <w:szCs w:val="32"/>
        </w:rPr>
        <w:sectPr>
          <w:footerReference w:type="default" r:id="rId13"/>
          <w:type w:val="nextPage"/>
          <w:pgSz w:w="11906" w:h="16838"/>
          <w:pgMar w:top="1701" w:right="1531" w:bottom="1701" w:left="1531" w:header="851" w:footer="992" w:gutter="0"/>
          <w:pgNumType w:start="9"/>
          <w:cols w:num="1" w:space="425"/>
          <w:titlePg w:val="0"/>
          <w:docGrid w:type="lines" w:linePitch="312" w:charSpace="0"/>
        </w:sectPr>
      </w:pPr>
      <w:r>
        <w:rPr>
          <w:rFonts w:ascii="仿宋_GB2312" w:eastAsia="仿宋_GB2312" w:hAnsi="仿宋_GB2312" w:cs="仿宋_GB2312"/>
          <w:b/>
          <w:sz w:val="32"/>
          <w:szCs w:val="32"/>
        </w:rPr>
        <w:t xml:space="preserve">5.结业考核  </w:t>
      </w:r>
      <w:r>
        <w:rPr>
          <w:rFonts w:ascii="仿宋_GB2312" w:eastAsia="仿宋_GB2312" w:hAnsi="仿宋_GB2312" w:cs="仿宋_GB2312" w:hint="eastAsia"/>
          <w:sz w:val="32"/>
          <w:szCs w:val="32"/>
        </w:rPr>
        <w:t>过程考核、师承考核合格并获得中医类别执业医师资格证书后可参加结业考核。结业考核合格标准为理论考核和实践技能考核均合格。</w:t>
      </w:r>
      <w:r>
        <w:rPr>
          <w:rFonts w:ascii="仿宋_GB2312" w:eastAsia="仿宋_GB2312" w:hAnsi="仿宋_GB2312" w:cs="仿宋_GB2312"/>
          <w:sz w:val="32"/>
          <w:szCs w:val="32"/>
        </w:rPr>
        <w:t>理论考核主要包括中医</w:t>
      </w:r>
      <w:r>
        <w:rPr>
          <w:rFonts w:ascii="仿宋_GB2312" w:eastAsia="仿宋_GB2312" w:hAnsi="仿宋_GB2312" w:cs="仿宋_GB2312" w:hint="eastAsia"/>
          <w:sz w:val="32"/>
          <w:szCs w:val="32"/>
        </w:rPr>
        <w:t>基础</w:t>
      </w:r>
      <w:r>
        <w:rPr>
          <w:rFonts w:ascii="仿宋_GB2312" w:eastAsia="仿宋_GB2312" w:hAnsi="仿宋_GB2312" w:cs="仿宋_GB2312"/>
          <w:sz w:val="32"/>
          <w:szCs w:val="32"/>
        </w:rPr>
        <w:t>理论、基本知识、中医思维、诊疗能力</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技能考核主要考核临床综合诊</w:t>
      </w:r>
      <w:r>
        <w:rPr>
          <w:rFonts w:ascii="仿宋_GB2312" w:eastAsia="仿宋_GB2312" w:hAnsi="仿宋_GB2312" w:cs="仿宋_GB2312" w:hint="eastAsia"/>
          <w:sz w:val="32"/>
          <w:szCs w:val="32"/>
        </w:rPr>
        <w:t>疗</w:t>
      </w:r>
      <w:r>
        <w:rPr>
          <w:rFonts w:ascii="仿宋_GB2312" w:eastAsia="仿宋_GB2312" w:hAnsi="仿宋_GB2312" w:cs="仿宋_GB2312"/>
          <w:sz w:val="32"/>
          <w:szCs w:val="32"/>
        </w:rPr>
        <w:t>能力、中医临床技能。</w:t>
      </w:r>
      <w:r>
        <w:rPr>
          <w:rFonts w:ascii="仿宋_GB2312" w:eastAsia="仿宋_GB2312" w:hAnsi="仿宋_GB2312" w:cs="仿宋_GB2312" w:hint="eastAsia"/>
          <w:sz w:val="32"/>
          <w:szCs w:val="32"/>
        </w:rPr>
        <w:t>应在培训结束前完成。</w:t>
      </w:r>
    </w:p>
    <w:p>
      <w:pPr>
        <w:spacing w:line="600" w:lineRule="exact"/>
        <w:ind w:firstLine="640" w:firstLineChars="200"/>
        <w:outlineLvl w:val="0"/>
        <w:rPr>
          <w:rFonts w:ascii="楷体_GB2312" w:eastAsia="楷体_GB2312" w:hAnsi="楷体_GB2312" w:cs="楷体_GB2312"/>
          <w:b/>
          <w:sz w:val="32"/>
          <w:szCs w:val="32"/>
        </w:rPr>
      </w:pPr>
      <w:r>
        <w:rPr>
          <w:rFonts w:ascii="楷体_GB2312" w:eastAsia="楷体_GB2312" w:hAnsi="楷体_GB2312" w:cs="楷体_GB2312" w:hint="eastAsia"/>
          <w:b/>
          <w:sz w:val="32"/>
          <w:szCs w:val="32"/>
        </w:rPr>
        <w:t>（二）</w:t>
      </w:r>
      <w:r>
        <w:rPr>
          <w:rFonts w:ascii="楷体_GB2312" w:eastAsia="楷体_GB2312" w:hAnsi="楷体_GB2312" w:cs="楷体_GB2312"/>
          <w:b/>
          <w:sz w:val="32"/>
          <w:szCs w:val="32"/>
        </w:rPr>
        <w:t>考核标准</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b/>
          <w:sz w:val="32"/>
          <w:szCs w:val="32"/>
        </w:rPr>
        <w:t xml:space="preserve">1.日常考核  </w:t>
      </w:r>
      <w:r>
        <w:rPr>
          <w:rFonts w:ascii="仿宋_GB2312" w:eastAsia="仿宋_GB2312" w:hAnsi="仿宋_GB2312" w:cs="仿宋_GB2312"/>
          <w:sz w:val="32"/>
          <w:szCs w:val="32"/>
        </w:rPr>
        <w:t>出勤率95%以上；服从培训基地及轮转科室管理，无缺勤、脱岗等现象；尊重</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关爱</w:t>
      </w:r>
      <w:r>
        <w:rPr>
          <w:rFonts w:ascii="仿宋_GB2312" w:eastAsia="仿宋_GB2312" w:hAnsi="仿宋_GB2312" w:cs="仿宋_GB2312" w:hint="eastAsia"/>
          <w:sz w:val="32"/>
          <w:szCs w:val="32"/>
        </w:rPr>
        <w:t>患者</w:t>
      </w:r>
      <w:r>
        <w:rPr>
          <w:rFonts w:ascii="仿宋_GB2312" w:eastAsia="仿宋_GB2312" w:hAnsi="仿宋_GB2312" w:cs="仿宋_GB2312"/>
          <w:sz w:val="32"/>
          <w:szCs w:val="32"/>
        </w:rPr>
        <w:t>，善于沟通</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无违反医德医风情况；管理病床数不低于4张，病证病种、技能操作数达到培训要求的90%以上；无乙级病历。</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b/>
          <w:sz w:val="32"/>
          <w:szCs w:val="32"/>
        </w:rPr>
        <w:t xml:space="preserve">2.出科考核  </w:t>
      </w:r>
      <w:r>
        <w:rPr>
          <w:rFonts w:ascii="仿宋_GB2312" w:eastAsia="仿宋_GB2312" w:hAnsi="仿宋_GB2312" w:cs="仿宋_GB2312"/>
          <w:sz w:val="32"/>
          <w:szCs w:val="32"/>
        </w:rPr>
        <w:t>理论考核达到本专业中医理论培训要求；技能考核达到本专业技能培训要求；理论考核和技能考核均</w:t>
      </w:r>
      <w:r>
        <w:rPr>
          <w:rFonts w:ascii="仿宋_GB2312" w:eastAsia="仿宋_GB2312" w:hAnsi="仿宋_GB2312" w:cs="仿宋_GB2312" w:hint="eastAsia"/>
          <w:sz w:val="32"/>
          <w:szCs w:val="32"/>
        </w:rPr>
        <w:t>获得</w:t>
      </w:r>
      <w:r>
        <w:rPr>
          <w:rFonts w:ascii="仿宋_GB2312" w:eastAsia="仿宋_GB2312" w:hAnsi="仿宋_GB2312" w:cs="仿宋_GB2312"/>
          <w:sz w:val="32"/>
          <w:szCs w:val="32"/>
        </w:rPr>
        <w:t>通过。</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b/>
          <w:sz w:val="32"/>
          <w:szCs w:val="32"/>
        </w:rPr>
        <w:t xml:space="preserve">3.模块考核  </w:t>
      </w:r>
      <w:r>
        <w:rPr>
          <w:rFonts w:ascii="仿宋_GB2312" w:eastAsia="仿宋_GB2312" w:hAnsi="仿宋_GB2312" w:cs="仿宋_GB2312"/>
          <w:sz w:val="32"/>
          <w:szCs w:val="32"/>
        </w:rPr>
        <w:t>进入第二阶段培训前，参加培训基地组织的中医经典理论、中药方剂知识、接诊能力、中医</w:t>
      </w:r>
      <w:r>
        <w:rPr>
          <w:rFonts w:ascii="仿宋_GB2312" w:eastAsia="仿宋_GB2312" w:hAnsi="仿宋_GB2312" w:cs="仿宋_GB2312" w:hint="eastAsia"/>
          <w:sz w:val="32"/>
          <w:szCs w:val="32"/>
        </w:rPr>
        <w:t>临床</w:t>
      </w:r>
      <w:r>
        <w:rPr>
          <w:rFonts w:ascii="仿宋_GB2312" w:eastAsia="仿宋_GB2312" w:hAnsi="仿宋_GB2312" w:cs="仿宋_GB2312"/>
          <w:sz w:val="32"/>
          <w:szCs w:val="32"/>
        </w:rPr>
        <w:t>技能</w:t>
      </w:r>
      <w:r>
        <w:rPr>
          <w:rFonts w:ascii="仿宋_GB2312" w:eastAsia="仿宋_GB2312" w:hAnsi="仿宋_GB2312" w:cs="仿宋_GB2312" w:hint="eastAsia"/>
          <w:sz w:val="32"/>
          <w:szCs w:val="32"/>
        </w:rPr>
        <w:t>、西医基本</w:t>
      </w:r>
      <w:r>
        <w:rPr>
          <w:rFonts w:ascii="仿宋_GB2312" w:eastAsia="仿宋_GB2312" w:hAnsi="仿宋_GB2312" w:cs="仿宋_GB2312"/>
          <w:sz w:val="32"/>
          <w:szCs w:val="32"/>
        </w:rPr>
        <w:t>技能</w:t>
      </w:r>
      <w:r>
        <w:rPr>
          <w:rFonts w:ascii="仿宋_GB2312" w:eastAsia="仿宋_GB2312" w:hAnsi="仿宋_GB2312" w:cs="仿宋_GB2312" w:hint="eastAsia"/>
          <w:sz w:val="32"/>
          <w:szCs w:val="32"/>
        </w:rPr>
        <w:t>（含急救）</w:t>
      </w:r>
      <w:r>
        <w:rPr>
          <w:rFonts w:ascii="仿宋_GB2312" w:eastAsia="仿宋_GB2312" w:hAnsi="仿宋_GB2312" w:cs="仿宋_GB2312"/>
          <w:sz w:val="32"/>
          <w:szCs w:val="32"/>
        </w:rPr>
        <w:t>等模块考核且全部通过。</w:t>
      </w:r>
    </w:p>
    <w:p>
      <w:pPr>
        <w:spacing w:line="600" w:lineRule="exact"/>
        <w:ind w:firstLine="640" w:firstLineChars="200"/>
        <w:rPr>
          <w:rFonts w:ascii="仿宋_GB2312" w:eastAsia="仿宋_GB2312" w:hAnsi="仿宋_GB2312" w:cs="仿宋_GB2312"/>
          <w:sz w:val="32"/>
          <w:szCs w:val="32"/>
        </w:rPr>
      </w:pPr>
      <w:r>
        <w:rPr>
          <w:rFonts w:ascii="仿宋_GB2312" w:eastAsia="仿宋_GB2312" w:hAnsi="仿宋_GB2312" w:cs="仿宋_GB2312"/>
          <w:b/>
          <w:sz w:val="32"/>
          <w:szCs w:val="32"/>
        </w:rPr>
        <w:t xml:space="preserve">4.师承考核  </w:t>
      </w:r>
      <w:r>
        <w:rPr>
          <w:rFonts w:ascii="仿宋_GB2312" w:eastAsia="仿宋_GB2312" w:hAnsi="仿宋_GB2312" w:cs="仿宋_GB2312"/>
          <w:sz w:val="32"/>
          <w:szCs w:val="32"/>
        </w:rPr>
        <w:t>跟师次数每年达到35次以上</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跟师</w:t>
      </w:r>
      <w:r>
        <w:rPr>
          <w:rFonts w:ascii="仿宋_GB2312" w:eastAsia="仿宋_GB2312" w:hAnsi="仿宋_GB2312" w:cs="仿宋_GB2312" w:hint="eastAsia"/>
          <w:sz w:val="32"/>
          <w:szCs w:val="32"/>
        </w:rPr>
        <w:t>心得</w:t>
      </w:r>
      <w:r>
        <w:rPr>
          <w:rFonts w:ascii="仿宋_GB2312" w:eastAsia="仿宋_GB2312" w:hAnsi="仿宋_GB2312" w:cs="仿宋_GB2312"/>
          <w:sz w:val="32"/>
          <w:szCs w:val="32"/>
        </w:rPr>
        <w:t>每</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在3份以上</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典型医案总结每年在10份以上</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不少于3000字的</w:t>
      </w:r>
      <w:r>
        <w:rPr>
          <w:rFonts w:ascii="仿宋_GB2312" w:eastAsia="仿宋_GB2312" w:hAnsi="仿宋_GB2312" w:cs="仿宋_GB2312" w:hint="eastAsia"/>
          <w:sz w:val="32"/>
          <w:szCs w:val="32"/>
        </w:rPr>
        <w:t>师承老师</w:t>
      </w:r>
      <w:r>
        <w:rPr>
          <w:rFonts w:ascii="仿宋_GB2312" w:eastAsia="仿宋_GB2312" w:hAnsi="仿宋_GB2312" w:cs="仿宋_GB2312"/>
          <w:sz w:val="32"/>
          <w:szCs w:val="32"/>
        </w:rPr>
        <w:t>临床经验总结1篇</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中医典籍</w:t>
      </w:r>
      <w:r>
        <w:rPr>
          <w:rFonts w:ascii="仿宋_GB2312" w:eastAsia="仿宋_GB2312" w:hAnsi="仿宋_GB2312" w:cs="仿宋_GB2312" w:hint="eastAsia"/>
          <w:sz w:val="32"/>
          <w:szCs w:val="32"/>
        </w:rPr>
        <w:t>学习体会</w:t>
      </w:r>
      <w:r>
        <w:rPr>
          <w:rFonts w:ascii="仿宋_GB2312" w:eastAsia="仿宋_GB2312" w:hAnsi="仿宋_GB2312" w:cs="仿宋_GB2312"/>
          <w:sz w:val="32"/>
          <w:szCs w:val="32"/>
        </w:rPr>
        <w:t>1篇。</w:t>
      </w:r>
    </w:p>
    <w:p>
      <w:pPr>
        <w:spacing w:line="600" w:lineRule="exact"/>
        <w:ind w:firstLine="640" w:firstLineChars="200"/>
        <w:rPr>
          <w:sz w:val="32"/>
          <w:szCs w:val="32"/>
        </w:rPr>
      </w:pPr>
      <w:r>
        <w:rPr>
          <w:rFonts w:ascii="仿宋_GB2312" w:eastAsia="仿宋_GB2312" w:hAnsi="仿宋_GB2312" w:cs="仿宋_GB2312"/>
          <w:b/>
          <w:sz w:val="32"/>
          <w:szCs w:val="32"/>
        </w:rPr>
        <w:t xml:space="preserve">5.结业考核  </w:t>
      </w:r>
      <w:r>
        <w:rPr>
          <w:rFonts w:ascii="仿宋_GB2312" w:eastAsia="仿宋_GB2312" w:hAnsi="仿宋_GB2312" w:cs="仿宋_GB2312"/>
          <w:sz w:val="32"/>
          <w:szCs w:val="32"/>
        </w:rPr>
        <w:t>过程考核、师承考核合格并获得中医类别执业医师资格证书后可参加结业考核。结业考核合格标准为理论考核和实践技能考核均合格。</w:t>
      </w:r>
    </w:p>
    <w:p>
      <w:pPr>
        <w:spacing w:line="540" w:lineRule="exact"/>
        <w:ind w:left="12" w:firstLine="640" w:firstLineChars="200"/>
        <w:rPr>
          <w:rFonts w:ascii="仿宋_GB2312" w:eastAsia="仿宋_GB2312" w:hAnsi="仿宋_GB2312" w:cs="仿宋_GB2312"/>
          <w:spacing w:val="-3"/>
          <w:sz w:val="32"/>
          <w:szCs w:val="32"/>
        </w:rPr>
      </w:pPr>
      <w:r>
        <w:rPr>
          <w:rFonts w:ascii="仿宋_GB2312" w:eastAsia="仿宋_GB2312" w:hAnsi="仿宋_GB2312" w:cs="仿宋_GB2312"/>
          <w:spacing w:val="-3"/>
          <w:sz w:val="32"/>
          <w:szCs w:val="32"/>
        </w:rPr>
        <w:t xml:space="preserve"> </w:t>
      </w:r>
    </w:p>
    <w:p>
      <w:pPr>
        <w:autoSpaceDE w:val="0"/>
        <w:autoSpaceDN w:val="0"/>
        <w:spacing w:line="540" w:lineRule="exact"/>
        <w:jc w:val="center"/>
        <w:rPr>
          <w:rFonts w:ascii="仿宋_GB2312" w:eastAsia="仿宋_GB2312" w:hAnsi="仿宋_GB2312" w:cs="仿宋_GB2312"/>
          <w:b/>
          <w:bCs/>
          <w:kern w:val="0"/>
          <w:sz w:val="32"/>
          <w:szCs w:val="32"/>
        </w:rPr>
      </w:pPr>
      <w:r>
        <w:rPr>
          <w:rFonts w:ascii="宋体" w:eastAsia="宋体" w:hAnsi="宋体" w:cs="宋体" w:hint="eastAsia"/>
          <w:b/>
          <w:bCs/>
          <w:kern w:val="0"/>
          <w:sz w:val="32"/>
          <w:szCs w:val="32"/>
        </w:rPr>
        <w:t>中医全科医生培训方案</w:t>
      </w:r>
    </w:p>
    <w:tbl>
      <w:tblPr>
        <w:tblStyle w:val="TableNormal"/>
        <w:tblW w:w="107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10"/>
        <w:gridCol w:w="2267"/>
        <w:gridCol w:w="2077"/>
        <w:gridCol w:w="1542"/>
        <w:gridCol w:w="3144"/>
      </w:tblGrid>
      <w:tr>
        <w:tblPrEx>
          <w:tblW w:w="107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50"/>
          <w:tblHeader/>
          <w:jc w:val="center"/>
        </w:trPr>
        <w:tc>
          <w:tcPr>
            <w:tcW w:w="1710" w:type="dxa"/>
            <w:shd w:val="clear" w:color="auto" w:fill="FFFFFF"/>
            <w:vAlign w:val="center"/>
          </w:tcPr>
          <w:p>
            <w:pPr>
              <w:widowControl/>
              <w:spacing w:line="420" w:lineRule="exact"/>
              <w:jc w:val="center"/>
              <w:textAlignment w:val="center"/>
              <w:rPr>
                <w:rFonts w:ascii="仿宋_GB2312" w:eastAsia="仿宋_GB2312" w:hAnsi="宋体" w:cs="仿宋_GB2312"/>
                <w:b/>
                <w:bCs/>
                <w:sz w:val="32"/>
                <w:szCs w:val="32"/>
              </w:rPr>
            </w:pPr>
            <w:r>
              <w:rPr>
                <w:rFonts w:ascii="仿宋_GB2312" w:eastAsia="仿宋_GB2312" w:hAnsi="宋体" w:cs="仿宋_GB2312" w:hint="eastAsia"/>
                <w:b/>
                <w:bCs/>
                <w:kern w:val="0"/>
                <w:sz w:val="32"/>
                <w:szCs w:val="32"/>
              </w:rPr>
              <w:t>阶段</w:t>
            </w:r>
          </w:p>
        </w:tc>
        <w:tc>
          <w:tcPr>
            <w:tcW w:w="4344" w:type="dxa"/>
            <w:gridSpan w:val="2"/>
            <w:shd w:val="clear" w:color="auto" w:fill="FFFFFF"/>
            <w:vAlign w:val="center"/>
          </w:tcPr>
          <w:p>
            <w:pPr>
              <w:widowControl/>
              <w:spacing w:line="420" w:lineRule="exact"/>
              <w:jc w:val="center"/>
              <w:textAlignment w:val="center"/>
              <w:rPr>
                <w:rFonts w:ascii="仿宋_GB2312" w:eastAsia="仿宋_GB2312" w:hAnsi="宋体" w:cs="仿宋_GB2312"/>
                <w:b/>
                <w:bCs/>
                <w:sz w:val="32"/>
                <w:szCs w:val="32"/>
              </w:rPr>
            </w:pPr>
            <w:r>
              <w:rPr>
                <w:rFonts w:ascii="仿宋_GB2312" w:eastAsia="仿宋_GB2312" w:hAnsi="宋体" w:cs="仿宋_GB2312" w:hint="eastAsia"/>
                <w:b/>
                <w:bCs/>
                <w:kern w:val="0"/>
                <w:sz w:val="32"/>
                <w:szCs w:val="32"/>
              </w:rPr>
              <w:t>科室名称</w:t>
            </w:r>
          </w:p>
        </w:tc>
        <w:tc>
          <w:tcPr>
            <w:tcW w:w="1542" w:type="dxa"/>
            <w:shd w:val="clear" w:color="auto" w:fill="FFFFFF"/>
            <w:vAlign w:val="center"/>
          </w:tcPr>
          <w:p>
            <w:pPr>
              <w:widowControl/>
              <w:spacing w:line="420" w:lineRule="exact"/>
              <w:jc w:val="center"/>
              <w:textAlignment w:val="center"/>
              <w:rPr>
                <w:rFonts w:ascii="仿宋_GB2312" w:eastAsia="仿宋_GB2312" w:hAnsi="宋体" w:cs="仿宋_GB2312"/>
                <w:b/>
                <w:bCs/>
                <w:kern w:val="0"/>
                <w:sz w:val="32"/>
                <w:szCs w:val="32"/>
              </w:rPr>
            </w:pPr>
            <w:r>
              <w:rPr>
                <w:rFonts w:ascii="仿宋_GB2312" w:eastAsia="仿宋_GB2312" w:hAnsi="宋体" w:cs="仿宋_GB2312" w:hint="eastAsia"/>
                <w:b/>
                <w:bCs/>
                <w:kern w:val="0"/>
                <w:sz w:val="32"/>
                <w:szCs w:val="32"/>
              </w:rPr>
              <w:t>培训时间</w:t>
            </w:r>
          </w:p>
          <w:p>
            <w:pPr>
              <w:widowControl/>
              <w:spacing w:line="420" w:lineRule="exact"/>
              <w:jc w:val="center"/>
              <w:textAlignment w:val="center"/>
              <w:rPr>
                <w:rFonts w:ascii="仿宋_GB2312" w:eastAsia="仿宋_GB2312" w:hAnsi="宋体" w:cs="仿宋_GB2312"/>
                <w:b/>
                <w:bCs/>
                <w:sz w:val="32"/>
                <w:szCs w:val="32"/>
              </w:rPr>
            </w:pPr>
            <w:r>
              <w:rPr>
                <w:rFonts w:ascii="仿宋_GB2312" w:eastAsia="仿宋_GB2312" w:hAnsi="宋体" w:cs="仿宋_GB2312" w:hint="eastAsia"/>
                <w:b/>
                <w:bCs/>
                <w:kern w:val="0"/>
                <w:sz w:val="32"/>
                <w:szCs w:val="32"/>
              </w:rPr>
              <w:t>（月）</w:t>
            </w:r>
          </w:p>
        </w:tc>
        <w:tc>
          <w:tcPr>
            <w:tcW w:w="3144" w:type="dxa"/>
            <w:shd w:val="clear" w:color="auto" w:fill="FFFFFF"/>
            <w:noWrap/>
            <w:vAlign w:val="center"/>
          </w:tcPr>
          <w:p>
            <w:pPr>
              <w:widowControl/>
              <w:spacing w:line="420" w:lineRule="exact"/>
              <w:jc w:val="center"/>
              <w:textAlignment w:val="center"/>
              <w:rPr>
                <w:rFonts w:ascii="仿宋_GB2312" w:eastAsia="仿宋_GB2312" w:hAnsi="宋体" w:cs="仿宋_GB2312"/>
                <w:b/>
                <w:bCs/>
                <w:sz w:val="32"/>
                <w:szCs w:val="32"/>
              </w:rPr>
            </w:pPr>
            <w:r>
              <w:rPr>
                <w:rFonts w:ascii="仿宋_GB2312" w:eastAsia="仿宋_GB2312" w:hAnsi="宋体" w:cs="仿宋_GB2312" w:hint="eastAsia"/>
                <w:b/>
                <w:bCs/>
                <w:kern w:val="0"/>
                <w:sz w:val="32"/>
                <w:szCs w:val="32"/>
              </w:rPr>
              <w:t>培训方式</w:t>
            </w:r>
          </w:p>
        </w:tc>
      </w:tr>
      <w:tr>
        <w:tblPrEx>
          <w:tblW w:w="10740" w:type="dxa"/>
          <w:jc w:val="center"/>
          <w:tblLayout w:type="fixed"/>
          <w:tblCellMar>
            <w:top w:w="0" w:type="dxa"/>
            <w:left w:w="108" w:type="dxa"/>
            <w:bottom w:w="0" w:type="dxa"/>
            <w:right w:w="108" w:type="dxa"/>
          </w:tblCellMar>
        </w:tblPrEx>
        <w:trPr>
          <w:trHeight w:val="380"/>
          <w:jc w:val="center"/>
        </w:trPr>
        <w:tc>
          <w:tcPr>
            <w:tcW w:w="1710" w:type="dxa"/>
            <w:shd w:val="clear" w:color="auto" w:fill="auto"/>
            <w:vAlign w:val="center"/>
          </w:tcPr>
          <w:p>
            <w:pPr>
              <w:widowControl/>
              <w:spacing w:line="420" w:lineRule="exact"/>
              <w:jc w:val="center"/>
              <w:textAlignment w:val="center"/>
              <w:rPr>
                <w:rFonts w:ascii="仿宋_GB2312" w:eastAsia="仿宋_GB2312" w:hAnsi="宋体" w:cs="仿宋_GB2312"/>
                <w:kern w:val="0"/>
                <w:sz w:val="32"/>
                <w:szCs w:val="32"/>
              </w:rPr>
            </w:pPr>
            <w:r>
              <w:rPr>
                <w:rFonts w:ascii="仿宋_GB2312" w:eastAsia="仿宋_GB2312" w:hAnsi="宋体" w:cs="仿宋_GB2312" w:hint="eastAsia"/>
                <w:kern w:val="0"/>
                <w:sz w:val="32"/>
                <w:szCs w:val="32"/>
              </w:rPr>
              <w:t>第一阶段</w:t>
            </w:r>
          </w:p>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（27个月）</w:t>
            </w:r>
          </w:p>
        </w:tc>
        <w:tc>
          <w:tcPr>
            <w:tcW w:w="2267" w:type="dxa"/>
            <w:shd w:val="clear" w:color="auto" w:fill="auto"/>
            <w:vAlign w:val="center"/>
          </w:tcPr>
          <w:p>
            <w:pPr>
              <w:widowControl/>
              <w:spacing w:after="0" w:line="420" w:lineRule="exact"/>
              <w:jc w:val="center"/>
              <w:textAlignment w:val="center"/>
              <w:rPr>
                <w:rFonts w:ascii="仿宋_GB2312" w:eastAsia="仿宋_GB2312" w:hAnsi="宋体" w:cs="仿宋_GB2312"/>
                <w:sz w:val="32"/>
                <w:szCs w:val="32"/>
              </w:rPr>
            </w:pPr>
          </w:p>
        </w:tc>
        <w:tc>
          <w:tcPr>
            <w:tcW w:w="2077" w:type="dxa"/>
            <w:shd w:val="clear" w:color="auto" w:fill="auto"/>
            <w:vAlign w:val="center"/>
          </w:tcPr>
          <w:p>
            <w:pPr>
              <w:spacing w:line="420" w:lineRule="exact"/>
              <w:jc w:val="center"/>
              <w:rPr>
                <w:rFonts w:ascii="仿宋_GB2312" w:eastAsia="仿宋_GB2312" w:hAnsi="宋体" w:cs="仿宋_GB2312"/>
                <w:sz w:val="32"/>
                <w:szCs w:val="32"/>
              </w:rPr>
            </w:pPr>
          </w:p>
        </w:tc>
        <w:tc>
          <w:tcPr>
            <w:tcW w:w="1542" w:type="dxa"/>
            <w:shd w:val="clear" w:color="auto" w:fill="auto"/>
            <w:noWrap/>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2</w:t>
            </w:r>
          </w:p>
        </w:tc>
        <w:tc>
          <w:tcPr>
            <w:tcW w:w="3144" w:type="dxa"/>
            <w:shd w:val="clear" w:color="auto" w:fill="auto"/>
            <w:vAlign w:val="center"/>
          </w:tcPr>
          <w:p>
            <w:pPr>
              <w:widowControl/>
              <w:spacing w:line="420" w:lineRule="exact"/>
              <w:jc w:val="left"/>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以病房培训为主，每周参加不少于1次的门诊培训</w:t>
            </w:r>
          </w:p>
        </w:tc>
      </w:tr>
    </w:tbl>
    <w:p>
      <w:pPr>
        <w:sectPr>
          <w:footerReference w:type="default" r:id="rId14"/>
          <w:type w:val="nextPage"/>
          <w:pgSz w:w="11906" w:h="16838"/>
          <w:pgMar w:top="1701" w:right="1531" w:bottom="1701" w:left="1531" w:header="851" w:footer="992" w:gutter="0"/>
          <w:pgNumType w:start="10"/>
          <w:cols w:num="1" w:space="425"/>
          <w:titlePg w:val="0"/>
          <w:docGrid w:type="lines" w:linePitch="312" w:charSpace="0"/>
        </w:sectPr>
      </w:pPr>
    </w:p>
    <w:tbl>
      <w:tblPr>
        <w:tblStyle w:val="TableNormal"/>
        <w:tblW w:w="107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10"/>
        <w:gridCol w:w="2267"/>
        <w:gridCol w:w="2077"/>
        <w:gridCol w:w="1542"/>
        <w:gridCol w:w="3144"/>
      </w:tblGrid>
      <w:tr>
        <w:tblPrEx>
          <w:tblW w:w="107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80"/>
          <w:jc w:val="center"/>
        </w:trPr>
        <w:tc>
          <w:tcPr>
            <w:tcW w:w="1710" w:type="dxa"/>
            <w:vMerge w:val="restart"/>
            <w:shd w:val="clear" w:color="auto" w:fill="auto"/>
            <w:vAlign w:val="center"/>
          </w:tcPr>
          <w:p/>
        </w:tc>
        <w:tc>
          <w:tcPr>
            <w:tcW w:w="2267" w:type="dxa"/>
            <w:shd w:val="clear" w:color="auto" w:fill="auto"/>
            <w:vAlign w:val="center"/>
          </w:tcPr>
          <w:p>
            <w:pPr>
              <w:widowControl/>
              <w:spacing w:before="0"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中医全科医学科（或承担中医全科医学科培训任务的相关科室）</w:t>
            </w:r>
          </w:p>
        </w:tc>
        <w:tc>
          <w:tcPr>
            <w:tcW w:w="2077" w:type="dxa"/>
            <w:shd w:val="clear" w:color="auto" w:fill="auto"/>
            <w:vAlign w:val="center"/>
          </w:tcPr>
          <w:p/>
        </w:tc>
        <w:tc>
          <w:tcPr>
            <w:tcW w:w="1542" w:type="dxa"/>
            <w:shd w:val="clear" w:color="auto" w:fill="auto"/>
            <w:noWrap/>
            <w:vAlign w:val="center"/>
          </w:tcPr>
          <w:p/>
        </w:tc>
        <w:tc>
          <w:tcPr>
            <w:tcW w:w="3144" w:type="dxa"/>
            <w:shd w:val="clear" w:color="auto" w:fill="auto"/>
            <w:vAlign w:val="center"/>
          </w:tcPr>
          <w:p/>
        </w:tc>
      </w:tr>
      <w:tr>
        <w:tblPrEx>
          <w:tblW w:w="10740" w:type="dxa"/>
          <w:jc w:val="center"/>
          <w:tblLayout w:type="fixed"/>
          <w:tblCellMar>
            <w:top w:w="0" w:type="dxa"/>
            <w:left w:w="108" w:type="dxa"/>
            <w:bottom w:w="0" w:type="dxa"/>
            <w:right w:w="108" w:type="dxa"/>
          </w:tblCellMar>
        </w:tblPrEx>
        <w:trPr>
          <w:trHeight w:val="380"/>
          <w:jc w:val="center"/>
        </w:trPr>
        <w:tc>
          <w:tcPr>
            <w:tcW w:w="1710" w:type="dxa"/>
            <w:vMerge/>
            <w:shd w:val="clear" w:color="auto" w:fill="auto"/>
            <w:vAlign w:val="center"/>
          </w:tcPr>
          <w:p>
            <w:pPr>
              <w:widowControl/>
              <w:spacing w:line="420" w:lineRule="exact"/>
              <w:jc w:val="center"/>
              <w:textAlignment w:val="center"/>
              <w:rPr>
                <w:rFonts w:ascii="仿宋_GB2312" w:eastAsia="仿宋_GB2312" w:hAnsi="宋体" w:cs="仿宋_GB2312"/>
                <w:kern w:val="0"/>
                <w:sz w:val="32"/>
                <w:szCs w:val="32"/>
              </w:rPr>
            </w:pPr>
          </w:p>
        </w:tc>
        <w:tc>
          <w:tcPr>
            <w:tcW w:w="2267" w:type="dxa"/>
            <w:shd w:val="clear" w:color="auto" w:fill="auto"/>
            <w:vAlign w:val="center"/>
          </w:tcPr>
          <w:p>
            <w:pPr>
              <w:widowControl/>
              <w:spacing w:line="420" w:lineRule="exact"/>
              <w:jc w:val="center"/>
              <w:textAlignment w:val="center"/>
              <w:rPr>
                <w:rFonts w:ascii="仿宋_GB2312" w:eastAsia="仿宋_GB2312" w:hAnsi="宋体" w:cs="仿宋_GB2312"/>
                <w:kern w:val="0"/>
                <w:sz w:val="32"/>
                <w:szCs w:val="32"/>
              </w:rPr>
            </w:pPr>
            <w:r>
              <w:rPr>
                <w:rFonts w:ascii="仿宋_GB2312" w:eastAsia="仿宋_GB2312" w:hAnsi="宋体" w:cs="仿宋_GB2312" w:hint="eastAsia"/>
                <w:kern w:val="0"/>
                <w:sz w:val="32"/>
                <w:szCs w:val="32"/>
              </w:rPr>
              <w:t>中医老年病科</w:t>
            </w:r>
          </w:p>
        </w:tc>
        <w:tc>
          <w:tcPr>
            <w:tcW w:w="2077" w:type="dxa"/>
            <w:shd w:val="clear" w:color="auto" w:fill="auto"/>
            <w:vAlign w:val="center"/>
          </w:tcPr>
          <w:p>
            <w:pPr>
              <w:spacing w:line="420" w:lineRule="exact"/>
              <w:jc w:val="center"/>
              <w:rPr>
                <w:rFonts w:ascii="仿宋_GB2312" w:eastAsia="仿宋_GB2312" w:hAnsi="宋体" w:cs="仿宋_GB2312"/>
                <w:sz w:val="32"/>
                <w:szCs w:val="32"/>
              </w:rPr>
            </w:pPr>
          </w:p>
        </w:tc>
        <w:tc>
          <w:tcPr>
            <w:tcW w:w="1542" w:type="dxa"/>
            <w:shd w:val="clear" w:color="auto" w:fill="auto"/>
            <w:noWrap/>
            <w:vAlign w:val="center"/>
          </w:tcPr>
          <w:p>
            <w:pPr>
              <w:widowControl/>
              <w:spacing w:line="420" w:lineRule="exact"/>
              <w:jc w:val="center"/>
              <w:textAlignment w:val="center"/>
              <w:rPr>
                <w:rFonts w:ascii="仿宋_GB2312" w:eastAsia="仿宋_GB2312" w:hAnsi="宋体" w:cs="仿宋_GB2312"/>
                <w:kern w:val="0"/>
                <w:sz w:val="32"/>
                <w:szCs w:val="32"/>
              </w:rPr>
            </w:pPr>
            <w:r>
              <w:rPr>
                <w:rFonts w:ascii="仿宋_GB2312" w:eastAsia="仿宋_GB2312" w:hAnsi="宋体" w:cs="仿宋_GB2312" w:hint="eastAsia"/>
                <w:kern w:val="0"/>
                <w:sz w:val="32"/>
                <w:szCs w:val="32"/>
              </w:rPr>
              <w:t>1</w:t>
            </w:r>
          </w:p>
        </w:tc>
        <w:tc>
          <w:tcPr>
            <w:tcW w:w="3144" w:type="dxa"/>
            <w:shd w:val="clear" w:color="auto" w:fill="auto"/>
            <w:vAlign w:val="center"/>
          </w:tcPr>
          <w:p>
            <w:pPr>
              <w:widowControl/>
              <w:spacing w:line="420" w:lineRule="exact"/>
              <w:jc w:val="left"/>
              <w:textAlignment w:val="center"/>
              <w:rPr>
                <w:rFonts w:ascii="仿宋_GB2312" w:eastAsia="仿宋_GB2312" w:hAnsi="宋体" w:cs="仿宋_GB2312"/>
                <w:kern w:val="0"/>
                <w:sz w:val="32"/>
                <w:szCs w:val="32"/>
              </w:rPr>
            </w:pPr>
            <w:r>
              <w:rPr>
                <w:rFonts w:ascii="仿宋_GB2312" w:eastAsia="仿宋_GB2312" w:hAnsi="宋体" w:cs="仿宋_GB2312" w:hint="eastAsia"/>
                <w:kern w:val="0"/>
                <w:sz w:val="32"/>
                <w:szCs w:val="32"/>
              </w:rPr>
              <w:t>以病房培训为主，每周参加不少于1次的门诊培训</w:t>
            </w:r>
          </w:p>
        </w:tc>
      </w:tr>
      <w:tr>
        <w:tblPrEx>
          <w:tblW w:w="10740" w:type="dxa"/>
          <w:jc w:val="center"/>
          <w:tblLayout w:type="fixed"/>
          <w:tblCellMar>
            <w:top w:w="0" w:type="dxa"/>
            <w:left w:w="108" w:type="dxa"/>
            <w:bottom w:w="0" w:type="dxa"/>
            <w:right w:w="108" w:type="dxa"/>
          </w:tblCellMar>
        </w:tblPrEx>
        <w:trPr>
          <w:trHeight w:val="380"/>
          <w:jc w:val="center"/>
        </w:trPr>
        <w:tc>
          <w:tcPr>
            <w:tcW w:w="1710" w:type="dxa"/>
            <w:vMerge/>
            <w:shd w:val="clear" w:color="auto" w:fill="auto"/>
            <w:vAlign w:val="center"/>
          </w:tcPr>
          <w:p>
            <w:pPr>
              <w:widowControl/>
              <w:spacing w:line="420" w:lineRule="exact"/>
              <w:jc w:val="center"/>
              <w:textAlignment w:val="center"/>
              <w:rPr>
                <w:rFonts w:ascii="仿宋_GB2312" w:eastAsia="仿宋_GB2312" w:hAnsi="宋体" w:cs="仿宋_GB2312"/>
                <w:sz w:val="32"/>
                <w:szCs w:val="32"/>
              </w:rPr>
            </w:pPr>
          </w:p>
        </w:tc>
        <w:tc>
          <w:tcPr>
            <w:tcW w:w="2267" w:type="dxa"/>
            <w:vMerge w:val="restart"/>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中医内科</w:t>
            </w:r>
          </w:p>
        </w:tc>
        <w:tc>
          <w:tcPr>
            <w:tcW w:w="2077" w:type="dxa"/>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肺病科</w:t>
            </w:r>
          </w:p>
        </w:tc>
        <w:tc>
          <w:tcPr>
            <w:tcW w:w="1542" w:type="dxa"/>
            <w:vMerge w:val="restart"/>
            <w:shd w:val="clear" w:color="auto" w:fill="auto"/>
            <w:noWrap/>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10</w:t>
            </w:r>
          </w:p>
        </w:tc>
        <w:tc>
          <w:tcPr>
            <w:tcW w:w="3144" w:type="dxa"/>
            <w:vMerge w:val="restart"/>
            <w:shd w:val="clear" w:color="auto" w:fill="auto"/>
            <w:vAlign w:val="center"/>
          </w:tcPr>
          <w:p>
            <w:pPr>
              <w:widowControl/>
              <w:spacing w:line="420" w:lineRule="exact"/>
              <w:jc w:val="left"/>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所有科室必须轮转，以病房培训为主，每周参加不少于1次的门诊培训。肺病、脑病、心病培训时间为2个月，其余为1个月</w:t>
            </w:r>
          </w:p>
        </w:tc>
      </w:tr>
      <w:tr>
        <w:tblPrEx>
          <w:tblW w:w="10740" w:type="dxa"/>
          <w:jc w:val="center"/>
          <w:tblLayout w:type="fixed"/>
          <w:tblCellMar>
            <w:top w:w="0" w:type="dxa"/>
            <w:left w:w="108" w:type="dxa"/>
            <w:bottom w:w="0" w:type="dxa"/>
            <w:right w:w="108" w:type="dxa"/>
          </w:tblCellMar>
        </w:tblPrEx>
        <w:trPr>
          <w:trHeight w:val="380"/>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077" w:type="dxa"/>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脑病科</w:t>
            </w:r>
          </w:p>
        </w:tc>
        <w:tc>
          <w:tcPr>
            <w:tcW w:w="1542" w:type="dxa"/>
            <w:vMerge/>
            <w:shd w:val="clear" w:color="auto" w:fill="auto"/>
            <w:noWrap/>
            <w:vAlign w:val="center"/>
          </w:tcPr>
          <w:p>
            <w:pPr>
              <w:spacing w:line="420" w:lineRule="exact"/>
              <w:jc w:val="center"/>
              <w:rPr>
                <w:rFonts w:ascii="仿宋_GB2312" w:eastAsia="仿宋_GB2312" w:hAnsi="宋体" w:cs="仿宋_GB2312"/>
                <w:sz w:val="32"/>
                <w:szCs w:val="32"/>
              </w:rPr>
            </w:pPr>
          </w:p>
        </w:tc>
        <w:tc>
          <w:tcPr>
            <w:tcW w:w="3144" w:type="dxa"/>
            <w:vMerge/>
            <w:shd w:val="clear" w:color="auto" w:fill="auto"/>
            <w:vAlign w:val="center"/>
          </w:tcPr>
          <w:p>
            <w:pPr>
              <w:spacing w:line="420" w:lineRule="exact"/>
              <w:jc w:val="center"/>
              <w:rPr>
                <w:rFonts w:ascii="仿宋_GB2312" w:eastAsia="仿宋_GB2312" w:hAnsi="宋体" w:cs="仿宋_GB2312"/>
                <w:sz w:val="32"/>
                <w:szCs w:val="32"/>
              </w:rPr>
            </w:pPr>
          </w:p>
        </w:tc>
      </w:tr>
      <w:tr>
        <w:tblPrEx>
          <w:tblW w:w="10740" w:type="dxa"/>
          <w:jc w:val="center"/>
          <w:tblLayout w:type="fixed"/>
          <w:tblCellMar>
            <w:top w:w="0" w:type="dxa"/>
            <w:left w:w="108" w:type="dxa"/>
            <w:bottom w:w="0" w:type="dxa"/>
            <w:right w:w="108" w:type="dxa"/>
          </w:tblCellMar>
        </w:tblPrEx>
        <w:trPr>
          <w:trHeight w:val="380"/>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077" w:type="dxa"/>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心病科</w:t>
            </w:r>
          </w:p>
        </w:tc>
        <w:tc>
          <w:tcPr>
            <w:tcW w:w="1542" w:type="dxa"/>
            <w:vMerge/>
            <w:shd w:val="clear" w:color="auto" w:fill="auto"/>
            <w:noWrap/>
            <w:vAlign w:val="center"/>
          </w:tcPr>
          <w:p>
            <w:pPr>
              <w:spacing w:line="420" w:lineRule="exact"/>
              <w:jc w:val="center"/>
              <w:rPr>
                <w:rFonts w:ascii="仿宋_GB2312" w:eastAsia="仿宋_GB2312" w:hAnsi="宋体" w:cs="仿宋_GB2312"/>
                <w:sz w:val="32"/>
                <w:szCs w:val="32"/>
              </w:rPr>
            </w:pPr>
          </w:p>
        </w:tc>
        <w:tc>
          <w:tcPr>
            <w:tcW w:w="3144" w:type="dxa"/>
            <w:vMerge/>
            <w:shd w:val="clear" w:color="auto" w:fill="auto"/>
            <w:vAlign w:val="center"/>
          </w:tcPr>
          <w:p>
            <w:pPr>
              <w:spacing w:line="420" w:lineRule="exact"/>
              <w:jc w:val="center"/>
              <w:rPr>
                <w:rFonts w:ascii="仿宋_GB2312" w:eastAsia="仿宋_GB2312" w:hAnsi="宋体" w:cs="仿宋_GB2312"/>
                <w:sz w:val="32"/>
                <w:szCs w:val="32"/>
              </w:rPr>
            </w:pPr>
          </w:p>
        </w:tc>
      </w:tr>
      <w:tr>
        <w:tblPrEx>
          <w:tblW w:w="10740" w:type="dxa"/>
          <w:jc w:val="center"/>
          <w:tblLayout w:type="fixed"/>
          <w:tblCellMar>
            <w:top w:w="0" w:type="dxa"/>
            <w:left w:w="108" w:type="dxa"/>
            <w:bottom w:w="0" w:type="dxa"/>
            <w:right w:w="108" w:type="dxa"/>
          </w:tblCellMar>
        </w:tblPrEx>
        <w:trPr>
          <w:trHeight w:val="380"/>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077" w:type="dxa"/>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脾胃病科</w:t>
            </w:r>
          </w:p>
        </w:tc>
        <w:tc>
          <w:tcPr>
            <w:tcW w:w="1542" w:type="dxa"/>
            <w:vMerge/>
            <w:shd w:val="clear" w:color="auto" w:fill="auto"/>
            <w:noWrap/>
            <w:vAlign w:val="center"/>
          </w:tcPr>
          <w:p>
            <w:pPr>
              <w:spacing w:line="420" w:lineRule="exact"/>
              <w:jc w:val="center"/>
              <w:rPr>
                <w:rFonts w:ascii="仿宋_GB2312" w:eastAsia="仿宋_GB2312" w:hAnsi="宋体" w:cs="仿宋_GB2312"/>
                <w:sz w:val="32"/>
                <w:szCs w:val="32"/>
              </w:rPr>
            </w:pPr>
          </w:p>
        </w:tc>
        <w:tc>
          <w:tcPr>
            <w:tcW w:w="3144" w:type="dxa"/>
            <w:vMerge/>
            <w:shd w:val="clear" w:color="auto" w:fill="auto"/>
            <w:vAlign w:val="center"/>
          </w:tcPr>
          <w:p>
            <w:pPr>
              <w:spacing w:line="420" w:lineRule="exact"/>
              <w:jc w:val="center"/>
              <w:rPr>
                <w:rFonts w:ascii="仿宋_GB2312" w:eastAsia="仿宋_GB2312" w:hAnsi="宋体" w:cs="仿宋_GB2312"/>
                <w:sz w:val="32"/>
                <w:szCs w:val="32"/>
              </w:rPr>
            </w:pPr>
          </w:p>
        </w:tc>
      </w:tr>
      <w:tr>
        <w:tblPrEx>
          <w:tblW w:w="10740" w:type="dxa"/>
          <w:jc w:val="center"/>
          <w:tblLayout w:type="fixed"/>
          <w:tblCellMar>
            <w:top w:w="0" w:type="dxa"/>
            <w:left w:w="108" w:type="dxa"/>
            <w:bottom w:w="0" w:type="dxa"/>
            <w:right w:w="108" w:type="dxa"/>
          </w:tblCellMar>
        </w:tblPrEx>
        <w:trPr>
          <w:trHeight w:val="380"/>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077" w:type="dxa"/>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肾病科</w:t>
            </w:r>
          </w:p>
        </w:tc>
        <w:tc>
          <w:tcPr>
            <w:tcW w:w="1542" w:type="dxa"/>
            <w:vMerge/>
            <w:shd w:val="clear" w:color="auto" w:fill="auto"/>
            <w:noWrap/>
            <w:vAlign w:val="center"/>
          </w:tcPr>
          <w:p>
            <w:pPr>
              <w:spacing w:line="420" w:lineRule="exact"/>
              <w:jc w:val="center"/>
              <w:rPr>
                <w:rFonts w:ascii="仿宋_GB2312" w:eastAsia="仿宋_GB2312" w:hAnsi="宋体" w:cs="仿宋_GB2312"/>
                <w:sz w:val="32"/>
                <w:szCs w:val="32"/>
              </w:rPr>
            </w:pPr>
          </w:p>
        </w:tc>
        <w:tc>
          <w:tcPr>
            <w:tcW w:w="3144" w:type="dxa"/>
            <w:vMerge/>
            <w:shd w:val="clear" w:color="auto" w:fill="auto"/>
            <w:vAlign w:val="center"/>
          </w:tcPr>
          <w:p>
            <w:pPr>
              <w:spacing w:line="420" w:lineRule="exact"/>
              <w:jc w:val="center"/>
              <w:rPr>
                <w:rFonts w:ascii="仿宋_GB2312" w:eastAsia="仿宋_GB2312" w:hAnsi="宋体" w:cs="仿宋_GB2312"/>
                <w:sz w:val="32"/>
                <w:szCs w:val="32"/>
              </w:rPr>
            </w:pPr>
          </w:p>
        </w:tc>
      </w:tr>
      <w:tr>
        <w:tblPrEx>
          <w:tblW w:w="10740" w:type="dxa"/>
          <w:jc w:val="center"/>
          <w:tblLayout w:type="fixed"/>
          <w:tblCellMar>
            <w:top w:w="0" w:type="dxa"/>
            <w:left w:w="108" w:type="dxa"/>
            <w:bottom w:w="0" w:type="dxa"/>
            <w:right w:w="108" w:type="dxa"/>
          </w:tblCellMar>
        </w:tblPrEx>
        <w:trPr>
          <w:trHeight w:val="380"/>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077" w:type="dxa"/>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内分泌科</w:t>
            </w:r>
          </w:p>
        </w:tc>
        <w:tc>
          <w:tcPr>
            <w:tcW w:w="1542" w:type="dxa"/>
            <w:vMerge/>
            <w:shd w:val="clear" w:color="auto" w:fill="auto"/>
            <w:noWrap/>
            <w:vAlign w:val="center"/>
          </w:tcPr>
          <w:p>
            <w:pPr>
              <w:spacing w:line="420" w:lineRule="exact"/>
              <w:jc w:val="center"/>
              <w:rPr>
                <w:rFonts w:ascii="仿宋_GB2312" w:eastAsia="仿宋_GB2312" w:hAnsi="宋体" w:cs="仿宋_GB2312"/>
                <w:sz w:val="32"/>
                <w:szCs w:val="32"/>
              </w:rPr>
            </w:pPr>
          </w:p>
        </w:tc>
        <w:tc>
          <w:tcPr>
            <w:tcW w:w="3144" w:type="dxa"/>
            <w:vMerge/>
            <w:shd w:val="clear" w:color="auto" w:fill="auto"/>
            <w:vAlign w:val="center"/>
          </w:tcPr>
          <w:p>
            <w:pPr>
              <w:spacing w:line="420" w:lineRule="exact"/>
              <w:jc w:val="center"/>
              <w:rPr>
                <w:rFonts w:ascii="仿宋_GB2312" w:eastAsia="仿宋_GB2312" w:hAnsi="宋体" w:cs="仿宋_GB2312"/>
                <w:sz w:val="32"/>
                <w:szCs w:val="32"/>
              </w:rPr>
            </w:pPr>
          </w:p>
        </w:tc>
      </w:tr>
      <w:tr>
        <w:tblPrEx>
          <w:tblW w:w="10740" w:type="dxa"/>
          <w:jc w:val="center"/>
          <w:tblLayout w:type="fixed"/>
          <w:tblCellMar>
            <w:top w:w="0" w:type="dxa"/>
            <w:left w:w="108" w:type="dxa"/>
            <w:bottom w:w="0" w:type="dxa"/>
            <w:right w:w="108" w:type="dxa"/>
          </w:tblCellMar>
        </w:tblPrEx>
        <w:trPr>
          <w:trHeight w:val="375"/>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077" w:type="dxa"/>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风湿科</w:t>
            </w:r>
          </w:p>
        </w:tc>
        <w:tc>
          <w:tcPr>
            <w:tcW w:w="1542" w:type="dxa"/>
            <w:vMerge/>
            <w:shd w:val="clear" w:color="auto" w:fill="auto"/>
            <w:noWrap/>
            <w:vAlign w:val="center"/>
          </w:tcPr>
          <w:p>
            <w:pPr>
              <w:spacing w:line="420" w:lineRule="exact"/>
              <w:jc w:val="center"/>
              <w:rPr>
                <w:rFonts w:ascii="仿宋_GB2312" w:eastAsia="仿宋_GB2312" w:hAnsi="宋体" w:cs="仿宋_GB2312"/>
                <w:sz w:val="32"/>
                <w:szCs w:val="32"/>
              </w:rPr>
            </w:pPr>
          </w:p>
        </w:tc>
        <w:tc>
          <w:tcPr>
            <w:tcW w:w="3144" w:type="dxa"/>
            <w:vMerge/>
            <w:shd w:val="clear" w:color="auto" w:fill="auto"/>
            <w:vAlign w:val="center"/>
          </w:tcPr>
          <w:p>
            <w:pPr>
              <w:spacing w:line="420" w:lineRule="exact"/>
              <w:jc w:val="center"/>
              <w:rPr>
                <w:rFonts w:ascii="仿宋_GB2312" w:eastAsia="仿宋_GB2312" w:hAnsi="宋体" w:cs="仿宋_GB2312"/>
                <w:sz w:val="32"/>
                <w:szCs w:val="32"/>
              </w:rPr>
            </w:pPr>
          </w:p>
        </w:tc>
      </w:tr>
      <w:tr>
        <w:tblPrEx>
          <w:tblW w:w="10740" w:type="dxa"/>
          <w:jc w:val="center"/>
          <w:tblLayout w:type="fixed"/>
          <w:tblCellMar>
            <w:top w:w="0" w:type="dxa"/>
            <w:left w:w="108" w:type="dxa"/>
            <w:bottom w:w="0" w:type="dxa"/>
            <w:right w:w="108" w:type="dxa"/>
          </w:tblCellMar>
        </w:tblPrEx>
        <w:trPr>
          <w:trHeight w:val="1285"/>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vMerge w:val="restart"/>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中医外科</w:t>
            </w:r>
          </w:p>
        </w:tc>
        <w:tc>
          <w:tcPr>
            <w:tcW w:w="2077" w:type="dxa"/>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中医外科（疮疡、乳腺、周围血管、其他专病专科）</w:t>
            </w:r>
          </w:p>
        </w:tc>
        <w:tc>
          <w:tcPr>
            <w:tcW w:w="1542" w:type="dxa"/>
            <w:vMerge w:val="restart"/>
            <w:shd w:val="clear" w:color="auto" w:fill="auto"/>
            <w:noWrap/>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2</w:t>
            </w:r>
          </w:p>
        </w:tc>
        <w:tc>
          <w:tcPr>
            <w:tcW w:w="3144" w:type="dxa"/>
            <w:vMerge w:val="restart"/>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选择2个专业科室，各培训1个月。皮肤科以门诊培训为主；其他专业以病房培训为主，每周参加不少于1次的门诊培训</w:t>
            </w:r>
          </w:p>
        </w:tc>
      </w:tr>
      <w:tr>
        <w:tblPrEx>
          <w:tblW w:w="10740" w:type="dxa"/>
          <w:jc w:val="center"/>
          <w:tblLayout w:type="fixed"/>
          <w:tblCellMar>
            <w:top w:w="0" w:type="dxa"/>
            <w:left w:w="108" w:type="dxa"/>
            <w:bottom w:w="0" w:type="dxa"/>
            <w:right w:w="108" w:type="dxa"/>
          </w:tblCellMar>
        </w:tblPrEx>
        <w:trPr>
          <w:trHeight w:val="380"/>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077" w:type="dxa"/>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中医皮肤科</w:t>
            </w:r>
          </w:p>
        </w:tc>
        <w:tc>
          <w:tcPr>
            <w:tcW w:w="1542" w:type="dxa"/>
            <w:vMerge/>
            <w:shd w:val="clear" w:color="auto" w:fill="auto"/>
            <w:noWrap/>
            <w:vAlign w:val="center"/>
          </w:tcPr>
          <w:p>
            <w:pPr>
              <w:spacing w:line="420" w:lineRule="exact"/>
              <w:jc w:val="center"/>
              <w:rPr>
                <w:rFonts w:ascii="仿宋_GB2312" w:eastAsia="仿宋_GB2312" w:hAnsi="宋体" w:cs="仿宋_GB2312"/>
                <w:sz w:val="32"/>
                <w:szCs w:val="32"/>
              </w:rPr>
            </w:pPr>
          </w:p>
        </w:tc>
        <w:tc>
          <w:tcPr>
            <w:tcW w:w="3144" w:type="dxa"/>
            <w:vMerge/>
            <w:shd w:val="clear" w:color="auto" w:fill="auto"/>
            <w:vAlign w:val="center"/>
          </w:tcPr>
          <w:p>
            <w:pPr>
              <w:spacing w:line="420" w:lineRule="exact"/>
              <w:jc w:val="center"/>
              <w:rPr>
                <w:rFonts w:ascii="仿宋_GB2312" w:eastAsia="仿宋_GB2312" w:hAnsi="宋体" w:cs="仿宋_GB2312"/>
                <w:sz w:val="32"/>
                <w:szCs w:val="32"/>
              </w:rPr>
            </w:pPr>
          </w:p>
        </w:tc>
      </w:tr>
      <w:tr>
        <w:tblPrEx>
          <w:tblW w:w="10740" w:type="dxa"/>
          <w:jc w:val="center"/>
          <w:tblLayout w:type="fixed"/>
          <w:tblCellMar>
            <w:top w:w="0" w:type="dxa"/>
            <w:left w:w="108" w:type="dxa"/>
            <w:bottom w:w="0" w:type="dxa"/>
            <w:right w:w="108" w:type="dxa"/>
          </w:tblCellMar>
        </w:tblPrEx>
        <w:trPr>
          <w:trHeight w:val="380"/>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077" w:type="dxa"/>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中医肛肠科</w:t>
            </w:r>
          </w:p>
        </w:tc>
        <w:tc>
          <w:tcPr>
            <w:tcW w:w="1542" w:type="dxa"/>
            <w:vMerge/>
            <w:shd w:val="clear" w:color="auto" w:fill="auto"/>
            <w:noWrap/>
            <w:vAlign w:val="center"/>
          </w:tcPr>
          <w:p>
            <w:pPr>
              <w:spacing w:line="420" w:lineRule="exact"/>
              <w:jc w:val="center"/>
              <w:rPr>
                <w:rFonts w:ascii="仿宋_GB2312" w:eastAsia="仿宋_GB2312" w:hAnsi="宋体" w:cs="仿宋_GB2312"/>
                <w:sz w:val="32"/>
                <w:szCs w:val="32"/>
              </w:rPr>
            </w:pPr>
          </w:p>
        </w:tc>
        <w:tc>
          <w:tcPr>
            <w:tcW w:w="3144" w:type="dxa"/>
            <w:vMerge/>
            <w:shd w:val="clear" w:color="auto" w:fill="auto"/>
            <w:vAlign w:val="center"/>
          </w:tcPr>
          <w:p>
            <w:pPr>
              <w:spacing w:line="420" w:lineRule="exact"/>
              <w:jc w:val="center"/>
              <w:rPr>
                <w:rFonts w:ascii="仿宋_GB2312" w:eastAsia="仿宋_GB2312" w:hAnsi="宋体" w:cs="仿宋_GB2312"/>
                <w:sz w:val="32"/>
                <w:szCs w:val="32"/>
              </w:rPr>
            </w:pPr>
          </w:p>
        </w:tc>
      </w:tr>
      <w:tr>
        <w:tblPrEx>
          <w:tblW w:w="10740" w:type="dxa"/>
          <w:jc w:val="center"/>
          <w:tblLayout w:type="fixed"/>
          <w:tblCellMar>
            <w:top w:w="0" w:type="dxa"/>
            <w:left w:w="108" w:type="dxa"/>
            <w:bottom w:w="0" w:type="dxa"/>
            <w:right w:w="108" w:type="dxa"/>
          </w:tblCellMar>
        </w:tblPrEx>
        <w:trPr>
          <w:trHeight w:val="380"/>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中医妇科</w:t>
            </w:r>
          </w:p>
        </w:tc>
        <w:tc>
          <w:tcPr>
            <w:tcW w:w="2077" w:type="dxa"/>
            <w:shd w:val="clear" w:color="auto" w:fill="auto"/>
            <w:vAlign w:val="center"/>
          </w:tcPr>
          <w:p>
            <w:pPr>
              <w:spacing w:line="420" w:lineRule="exact"/>
              <w:jc w:val="center"/>
              <w:rPr>
                <w:rFonts w:ascii="仿宋_GB2312" w:eastAsia="仿宋_GB2312" w:hAnsi="宋体" w:cs="仿宋_GB2312"/>
                <w:sz w:val="32"/>
                <w:szCs w:val="32"/>
              </w:rPr>
            </w:pPr>
          </w:p>
        </w:tc>
        <w:tc>
          <w:tcPr>
            <w:tcW w:w="1542" w:type="dxa"/>
            <w:shd w:val="clear" w:color="auto" w:fill="auto"/>
            <w:noWrap/>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1</w:t>
            </w:r>
          </w:p>
        </w:tc>
        <w:tc>
          <w:tcPr>
            <w:tcW w:w="3144" w:type="dxa"/>
            <w:shd w:val="clear" w:color="auto" w:fill="auto"/>
            <w:vAlign w:val="center"/>
          </w:tcPr>
          <w:p>
            <w:pPr>
              <w:widowControl/>
              <w:spacing w:line="420" w:lineRule="exact"/>
              <w:jc w:val="left"/>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以门诊培训为主</w:t>
            </w:r>
          </w:p>
        </w:tc>
      </w:tr>
      <w:tr>
        <w:tblPrEx>
          <w:tblW w:w="10740" w:type="dxa"/>
          <w:jc w:val="center"/>
          <w:tblLayout w:type="fixed"/>
          <w:tblCellMar>
            <w:top w:w="0" w:type="dxa"/>
            <w:left w:w="108" w:type="dxa"/>
            <w:bottom w:w="0" w:type="dxa"/>
            <w:right w:w="108" w:type="dxa"/>
          </w:tblCellMar>
        </w:tblPrEx>
        <w:trPr>
          <w:trHeight w:val="380"/>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中医儿科</w:t>
            </w:r>
          </w:p>
        </w:tc>
        <w:tc>
          <w:tcPr>
            <w:tcW w:w="2077" w:type="dxa"/>
            <w:shd w:val="clear" w:color="auto" w:fill="auto"/>
            <w:vAlign w:val="center"/>
          </w:tcPr>
          <w:p>
            <w:pPr>
              <w:spacing w:line="420" w:lineRule="exact"/>
              <w:jc w:val="center"/>
              <w:rPr>
                <w:rFonts w:ascii="仿宋_GB2312" w:eastAsia="仿宋_GB2312" w:hAnsi="宋体" w:cs="仿宋_GB2312"/>
                <w:sz w:val="32"/>
                <w:szCs w:val="32"/>
              </w:rPr>
            </w:pPr>
          </w:p>
        </w:tc>
        <w:tc>
          <w:tcPr>
            <w:tcW w:w="1542" w:type="dxa"/>
            <w:shd w:val="clear" w:color="auto" w:fill="auto"/>
            <w:noWrap/>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2</w:t>
            </w:r>
          </w:p>
        </w:tc>
        <w:tc>
          <w:tcPr>
            <w:tcW w:w="3144" w:type="dxa"/>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病房、门诊各培训</w:t>
            </w:r>
            <w:r>
              <w:rPr>
                <w:rFonts w:ascii="仿宋_GB2312" w:eastAsia="仿宋_GB2312" w:hAnsi="宋体" w:cs="仿宋_GB2312"/>
                <w:kern w:val="0"/>
                <w:sz w:val="32"/>
                <w:szCs w:val="32"/>
              </w:rPr>
              <w:t>1个月</w:t>
            </w:r>
          </w:p>
        </w:tc>
      </w:tr>
      <w:tr>
        <w:tblPrEx>
          <w:tblW w:w="10740" w:type="dxa"/>
          <w:jc w:val="center"/>
          <w:tblLayout w:type="fixed"/>
          <w:tblCellMar>
            <w:top w:w="0" w:type="dxa"/>
            <w:left w:w="108" w:type="dxa"/>
            <w:bottom w:w="0" w:type="dxa"/>
            <w:right w:w="108" w:type="dxa"/>
          </w:tblCellMar>
        </w:tblPrEx>
        <w:trPr>
          <w:trHeight w:val="380"/>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vMerge w:val="restart"/>
            <w:shd w:val="clear" w:color="auto" w:fill="auto"/>
            <w:vAlign w:val="center"/>
          </w:tcPr>
          <w:p>
            <w:pPr>
              <w:widowControl/>
              <w:spacing w:line="420" w:lineRule="exact"/>
              <w:jc w:val="center"/>
              <w:textAlignment w:val="center"/>
              <w:rPr>
                <w:rFonts w:ascii="仿宋_GB2312" w:eastAsia="仿宋_GB2312" w:hAnsi="宋体" w:cs="仿宋_GB2312"/>
                <w:kern w:val="0"/>
                <w:sz w:val="32"/>
                <w:szCs w:val="32"/>
              </w:rPr>
            </w:pPr>
            <w:r>
              <w:rPr>
                <w:rFonts w:ascii="仿宋_GB2312" w:eastAsia="仿宋_GB2312" w:hAnsi="宋体" w:cs="仿宋_GB2312" w:hint="eastAsia"/>
                <w:kern w:val="0"/>
                <w:sz w:val="32"/>
                <w:szCs w:val="32"/>
              </w:rPr>
              <w:t>针灸推拿</w:t>
            </w:r>
          </w:p>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康复科</w:t>
            </w:r>
          </w:p>
        </w:tc>
        <w:tc>
          <w:tcPr>
            <w:tcW w:w="2077" w:type="dxa"/>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针灸科</w:t>
            </w:r>
          </w:p>
        </w:tc>
        <w:tc>
          <w:tcPr>
            <w:tcW w:w="1542" w:type="dxa"/>
            <w:vMerge w:val="restart"/>
            <w:shd w:val="clear" w:color="auto" w:fill="auto"/>
            <w:noWrap/>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3</w:t>
            </w:r>
          </w:p>
        </w:tc>
        <w:tc>
          <w:tcPr>
            <w:tcW w:w="3144" w:type="dxa"/>
            <w:vMerge w:val="restart"/>
            <w:shd w:val="clear" w:color="auto" w:fill="auto"/>
            <w:vAlign w:val="center"/>
          </w:tcPr>
          <w:p>
            <w:pPr>
              <w:widowControl/>
              <w:spacing w:line="420" w:lineRule="exact"/>
              <w:jc w:val="left"/>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每个科室培训1个月，针灸科可在</w:t>
            </w:r>
            <w:r>
              <w:rPr>
                <w:rFonts w:ascii="仿宋_GB2312" w:eastAsia="仿宋_GB2312" w:hAnsi="宋体" w:cs="仿宋_GB2312"/>
                <w:kern w:val="0"/>
                <w:sz w:val="32"/>
                <w:szCs w:val="32"/>
              </w:rPr>
              <w:t>病房</w:t>
            </w:r>
            <w:r>
              <w:rPr>
                <w:rFonts w:ascii="仿宋_GB2312" w:eastAsia="仿宋_GB2312" w:hAnsi="宋体" w:cs="仿宋_GB2312" w:hint="eastAsia"/>
                <w:kern w:val="0"/>
                <w:sz w:val="32"/>
                <w:szCs w:val="32"/>
              </w:rPr>
              <w:t>、门诊</w:t>
            </w:r>
            <w:r>
              <w:rPr>
                <w:rFonts w:ascii="仿宋_GB2312" w:eastAsia="仿宋_GB2312" w:hAnsi="宋体" w:cs="仿宋_GB2312"/>
                <w:kern w:val="0"/>
                <w:sz w:val="32"/>
                <w:szCs w:val="32"/>
              </w:rPr>
              <w:t>培训</w:t>
            </w:r>
            <w:r>
              <w:rPr>
                <w:rFonts w:ascii="仿宋_GB2312" w:eastAsia="仿宋_GB2312" w:hAnsi="宋体" w:cs="仿宋_GB2312" w:hint="eastAsia"/>
                <w:kern w:val="0"/>
                <w:sz w:val="32"/>
                <w:szCs w:val="32"/>
              </w:rPr>
              <w:t>；其他科室以门诊培训</w:t>
            </w:r>
            <w:r>
              <w:rPr>
                <w:rFonts w:ascii="仿宋_GB2312" w:eastAsia="仿宋_GB2312" w:hAnsi="宋体" w:cs="仿宋_GB2312"/>
                <w:kern w:val="0"/>
                <w:sz w:val="32"/>
                <w:szCs w:val="32"/>
              </w:rPr>
              <w:t>为主</w:t>
            </w:r>
          </w:p>
        </w:tc>
      </w:tr>
      <w:tr>
        <w:tblPrEx>
          <w:tblW w:w="10740" w:type="dxa"/>
          <w:jc w:val="center"/>
          <w:tblLayout w:type="fixed"/>
          <w:tblCellMar>
            <w:top w:w="0" w:type="dxa"/>
            <w:left w:w="108" w:type="dxa"/>
            <w:bottom w:w="0" w:type="dxa"/>
            <w:right w:w="108" w:type="dxa"/>
          </w:tblCellMar>
        </w:tblPrEx>
        <w:trPr>
          <w:trHeight w:val="380"/>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077" w:type="dxa"/>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推拿科</w:t>
            </w:r>
          </w:p>
        </w:tc>
        <w:tc>
          <w:tcPr>
            <w:tcW w:w="1542" w:type="dxa"/>
            <w:vMerge/>
            <w:shd w:val="clear" w:color="auto" w:fill="auto"/>
            <w:noWrap/>
            <w:vAlign w:val="center"/>
          </w:tcPr>
          <w:p>
            <w:pPr>
              <w:spacing w:line="420" w:lineRule="exact"/>
              <w:jc w:val="center"/>
              <w:rPr>
                <w:rFonts w:ascii="仿宋_GB2312" w:eastAsia="仿宋_GB2312" w:hAnsi="宋体" w:cs="仿宋_GB2312"/>
                <w:sz w:val="32"/>
                <w:szCs w:val="32"/>
              </w:rPr>
            </w:pPr>
          </w:p>
        </w:tc>
        <w:tc>
          <w:tcPr>
            <w:tcW w:w="3144" w:type="dxa"/>
            <w:vMerge/>
            <w:shd w:val="clear" w:color="auto" w:fill="auto"/>
            <w:vAlign w:val="center"/>
          </w:tcPr>
          <w:p>
            <w:pPr>
              <w:spacing w:line="420" w:lineRule="exact"/>
              <w:jc w:val="center"/>
              <w:rPr>
                <w:rFonts w:ascii="仿宋_GB2312" w:eastAsia="仿宋_GB2312" w:hAnsi="宋体" w:cs="仿宋_GB2312"/>
                <w:sz w:val="32"/>
                <w:szCs w:val="32"/>
              </w:rPr>
            </w:pPr>
          </w:p>
        </w:tc>
      </w:tr>
      <w:tr>
        <w:tblPrEx>
          <w:tblW w:w="10740" w:type="dxa"/>
          <w:jc w:val="center"/>
          <w:tblLayout w:type="fixed"/>
          <w:tblCellMar>
            <w:top w:w="0" w:type="dxa"/>
            <w:left w:w="108" w:type="dxa"/>
            <w:bottom w:w="0" w:type="dxa"/>
            <w:right w:w="108" w:type="dxa"/>
          </w:tblCellMar>
        </w:tblPrEx>
        <w:trPr>
          <w:trHeight w:val="380"/>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077" w:type="dxa"/>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康复科</w:t>
            </w:r>
          </w:p>
        </w:tc>
        <w:tc>
          <w:tcPr>
            <w:tcW w:w="1542" w:type="dxa"/>
            <w:vMerge/>
            <w:shd w:val="clear" w:color="auto" w:fill="auto"/>
            <w:noWrap/>
            <w:vAlign w:val="center"/>
          </w:tcPr>
          <w:p>
            <w:pPr>
              <w:spacing w:line="420" w:lineRule="exact"/>
              <w:jc w:val="center"/>
              <w:rPr>
                <w:rFonts w:ascii="仿宋_GB2312" w:eastAsia="仿宋_GB2312" w:hAnsi="宋体" w:cs="仿宋_GB2312"/>
                <w:sz w:val="32"/>
                <w:szCs w:val="32"/>
              </w:rPr>
            </w:pPr>
          </w:p>
        </w:tc>
        <w:tc>
          <w:tcPr>
            <w:tcW w:w="3144" w:type="dxa"/>
            <w:vMerge/>
            <w:shd w:val="clear" w:color="auto" w:fill="auto"/>
            <w:vAlign w:val="center"/>
          </w:tcPr>
          <w:p>
            <w:pPr>
              <w:spacing w:line="420" w:lineRule="exact"/>
              <w:jc w:val="center"/>
              <w:rPr>
                <w:rFonts w:ascii="仿宋_GB2312" w:eastAsia="仿宋_GB2312" w:hAnsi="宋体" w:cs="仿宋_GB2312"/>
                <w:sz w:val="32"/>
                <w:szCs w:val="32"/>
              </w:rPr>
            </w:pPr>
          </w:p>
        </w:tc>
      </w:tr>
      <w:tr>
        <w:tblPrEx>
          <w:tblW w:w="10740" w:type="dxa"/>
          <w:jc w:val="center"/>
          <w:tblLayout w:type="fixed"/>
          <w:tblCellMar>
            <w:top w:w="0" w:type="dxa"/>
            <w:left w:w="108" w:type="dxa"/>
            <w:bottom w:w="0" w:type="dxa"/>
            <w:right w:w="108" w:type="dxa"/>
          </w:tblCellMar>
        </w:tblPrEx>
        <w:trPr>
          <w:trHeight w:val="750"/>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中医骨伤科</w:t>
            </w:r>
          </w:p>
        </w:tc>
        <w:tc>
          <w:tcPr>
            <w:tcW w:w="2077" w:type="dxa"/>
            <w:shd w:val="clear" w:color="auto" w:fill="auto"/>
            <w:vAlign w:val="center"/>
          </w:tcPr>
          <w:p>
            <w:pPr>
              <w:spacing w:line="420" w:lineRule="exact"/>
              <w:jc w:val="center"/>
              <w:rPr>
                <w:rFonts w:ascii="仿宋_GB2312" w:eastAsia="仿宋_GB2312" w:hAnsi="宋体" w:cs="仿宋_GB2312"/>
                <w:sz w:val="32"/>
                <w:szCs w:val="32"/>
              </w:rPr>
            </w:pPr>
          </w:p>
        </w:tc>
        <w:tc>
          <w:tcPr>
            <w:tcW w:w="1542" w:type="dxa"/>
            <w:shd w:val="clear" w:color="auto" w:fill="auto"/>
            <w:noWrap/>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1</w:t>
            </w:r>
          </w:p>
        </w:tc>
        <w:tc>
          <w:tcPr>
            <w:tcW w:w="3144" w:type="dxa"/>
            <w:shd w:val="clear" w:color="auto" w:fill="auto"/>
            <w:vAlign w:val="center"/>
          </w:tcPr>
          <w:p>
            <w:pPr>
              <w:widowControl/>
              <w:spacing w:line="420" w:lineRule="exact"/>
              <w:jc w:val="left"/>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以病房培训为主，</w:t>
            </w:r>
            <w:r>
              <w:rPr>
                <w:rStyle w:val="font21"/>
                <w:rFonts w:hAnsi="宋体" w:hint="default"/>
                <w:color w:val="auto"/>
                <w:sz w:val="32"/>
                <w:szCs w:val="32"/>
              </w:rPr>
              <w:t>每周参加不少于1次的门诊培训</w:t>
            </w:r>
          </w:p>
        </w:tc>
      </w:tr>
      <w:tr>
        <w:tblPrEx>
          <w:tblW w:w="10740" w:type="dxa"/>
          <w:jc w:val="center"/>
          <w:tblLayout w:type="fixed"/>
          <w:tblCellMar>
            <w:top w:w="0" w:type="dxa"/>
            <w:left w:w="108" w:type="dxa"/>
            <w:bottom w:w="0" w:type="dxa"/>
            <w:right w:w="108" w:type="dxa"/>
          </w:tblCellMar>
        </w:tblPrEx>
        <w:trPr>
          <w:trHeight w:val="380"/>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中医眼科</w:t>
            </w:r>
          </w:p>
        </w:tc>
        <w:tc>
          <w:tcPr>
            <w:tcW w:w="2077" w:type="dxa"/>
            <w:vMerge w:val="restart"/>
            <w:shd w:val="clear" w:color="auto" w:fill="auto"/>
            <w:vAlign w:val="center"/>
          </w:tcPr>
          <w:p>
            <w:pPr>
              <w:spacing w:line="420" w:lineRule="exact"/>
              <w:jc w:val="center"/>
              <w:rPr>
                <w:rFonts w:ascii="仿宋_GB2312" w:eastAsia="仿宋_GB2312" w:hAnsi="宋体" w:cs="仿宋_GB2312"/>
                <w:sz w:val="32"/>
                <w:szCs w:val="32"/>
              </w:rPr>
            </w:pPr>
          </w:p>
        </w:tc>
        <w:tc>
          <w:tcPr>
            <w:tcW w:w="1542" w:type="dxa"/>
            <w:vMerge w:val="restart"/>
            <w:shd w:val="clear" w:color="auto" w:fill="auto"/>
            <w:noWrap/>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1</w:t>
            </w:r>
          </w:p>
        </w:tc>
        <w:tc>
          <w:tcPr>
            <w:tcW w:w="3144" w:type="dxa"/>
            <w:vMerge w:val="restart"/>
            <w:shd w:val="clear" w:color="auto" w:fill="auto"/>
            <w:noWrap/>
            <w:vAlign w:val="center"/>
          </w:tcPr>
          <w:p>
            <w:pPr>
              <w:widowControl/>
              <w:spacing w:line="420" w:lineRule="exact"/>
              <w:jc w:val="left"/>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门诊培训各半个月</w:t>
            </w:r>
          </w:p>
        </w:tc>
      </w:tr>
      <w:tr>
        <w:tblPrEx>
          <w:tblW w:w="10740" w:type="dxa"/>
          <w:jc w:val="center"/>
          <w:tblLayout w:type="fixed"/>
          <w:tblCellMar>
            <w:top w:w="0" w:type="dxa"/>
            <w:left w:w="108" w:type="dxa"/>
            <w:bottom w:w="0" w:type="dxa"/>
            <w:right w:w="108" w:type="dxa"/>
          </w:tblCellMar>
        </w:tblPrEx>
        <w:trPr>
          <w:trHeight w:val="380"/>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shd w:val="clear" w:color="auto" w:fill="auto"/>
            <w:vAlign w:val="center"/>
          </w:tcPr>
          <w:p>
            <w:pPr>
              <w:widowControl/>
              <w:spacing w:after="0" w:line="420" w:lineRule="exact"/>
              <w:jc w:val="center"/>
              <w:textAlignment w:val="center"/>
              <w:rPr>
                <w:rFonts w:ascii="仿宋_GB2312" w:eastAsia="仿宋_GB2312" w:hAnsi="宋体" w:cs="仿宋_GB2312"/>
                <w:sz w:val="32"/>
                <w:szCs w:val="32"/>
              </w:rPr>
            </w:pPr>
          </w:p>
        </w:tc>
        <w:tc>
          <w:tcPr>
            <w:tcW w:w="2077" w:type="dxa"/>
            <w:vMerge/>
            <w:shd w:val="clear" w:color="auto" w:fill="auto"/>
            <w:vAlign w:val="center"/>
          </w:tcPr>
          <w:p>
            <w:pPr>
              <w:spacing w:line="420" w:lineRule="exact"/>
              <w:jc w:val="center"/>
              <w:rPr>
                <w:rFonts w:ascii="仿宋_GB2312" w:eastAsia="仿宋_GB2312" w:hAnsi="宋体" w:cs="仿宋_GB2312"/>
                <w:sz w:val="32"/>
                <w:szCs w:val="32"/>
              </w:rPr>
            </w:pPr>
          </w:p>
        </w:tc>
        <w:tc>
          <w:tcPr>
            <w:tcW w:w="1542" w:type="dxa"/>
            <w:vMerge/>
            <w:shd w:val="clear" w:color="auto" w:fill="auto"/>
            <w:noWrap/>
            <w:vAlign w:val="center"/>
          </w:tcPr>
          <w:p>
            <w:pPr>
              <w:spacing w:line="420" w:lineRule="exact"/>
              <w:jc w:val="center"/>
              <w:rPr>
                <w:rFonts w:ascii="仿宋_GB2312" w:eastAsia="仿宋_GB2312" w:hAnsi="宋体" w:cs="仿宋_GB2312"/>
                <w:sz w:val="32"/>
                <w:szCs w:val="32"/>
              </w:rPr>
            </w:pPr>
          </w:p>
        </w:tc>
        <w:tc>
          <w:tcPr>
            <w:tcW w:w="3144" w:type="dxa"/>
            <w:vMerge/>
            <w:shd w:val="clear" w:color="auto" w:fill="auto"/>
            <w:noWrap/>
            <w:vAlign w:val="center"/>
          </w:tcPr>
          <w:p>
            <w:pPr>
              <w:spacing w:line="420" w:lineRule="exact"/>
              <w:jc w:val="center"/>
              <w:rPr>
                <w:rFonts w:ascii="仿宋_GB2312" w:eastAsia="仿宋_GB2312" w:hAnsi="宋体" w:cs="仿宋_GB2312"/>
                <w:sz w:val="32"/>
                <w:szCs w:val="32"/>
              </w:rPr>
            </w:pPr>
          </w:p>
        </w:tc>
      </w:tr>
    </w:tbl>
    <w:p>
      <w:pPr>
        <w:sectPr>
          <w:footerReference w:type="default" r:id="rId15"/>
          <w:type w:val="nextPage"/>
          <w:pgSz w:w="11906" w:h="16838"/>
          <w:pgMar w:top="1701" w:right="1531" w:bottom="1701" w:left="1531" w:header="851" w:footer="992" w:gutter="0"/>
          <w:pgNumType w:start="11"/>
          <w:cols w:num="1" w:space="425"/>
          <w:titlePg w:val="0"/>
          <w:docGrid w:type="lines" w:linePitch="312" w:charSpace="0"/>
        </w:sectPr>
      </w:pPr>
    </w:p>
    <w:tbl>
      <w:tblPr>
        <w:tblStyle w:val="TableNormal"/>
        <w:tblW w:w="107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10"/>
        <w:gridCol w:w="2267"/>
        <w:gridCol w:w="2077"/>
        <w:gridCol w:w="1542"/>
        <w:gridCol w:w="3144"/>
      </w:tblGrid>
      <w:tr>
        <w:tblPrEx>
          <w:tblW w:w="107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80"/>
          <w:jc w:val="center"/>
        </w:trPr>
        <w:tc>
          <w:tcPr>
            <w:tcW w:w="1710" w:type="dxa"/>
            <w:vMerge w:val="restart"/>
            <w:shd w:val="clear" w:color="auto" w:fill="auto"/>
            <w:vAlign w:val="center"/>
          </w:tcPr>
          <w:p/>
        </w:tc>
        <w:tc>
          <w:tcPr>
            <w:tcW w:w="2267" w:type="dxa"/>
            <w:shd w:val="clear" w:color="auto" w:fill="auto"/>
            <w:vAlign w:val="center"/>
          </w:tcPr>
          <w:p>
            <w:pPr>
              <w:widowControl/>
              <w:spacing w:before="0"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中医耳鼻咽喉科</w:t>
            </w:r>
          </w:p>
        </w:tc>
        <w:tc>
          <w:tcPr>
            <w:tcW w:w="2077" w:type="dxa"/>
            <w:shd w:val="clear" w:color="auto" w:fill="auto"/>
            <w:vAlign w:val="center"/>
          </w:tcPr>
          <w:p/>
        </w:tc>
        <w:tc>
          <w:tcPr>
            <w:tcW w:w="1542" w:type="dxa"/>
            <w:shd w:val="clear" w:color="auto" w:fill="auto"/>
            <w:noWrap/>
            <w:vAlign w:val="center"/>
          </w:tcPr>
          <w:p/>
        </w:tc>
        <w:tc>
          <w:tcPr>
            <w:tcW w:w="3144" w:type="dxa"/>
            <w:shd w:val="clear" w:color="auto" w:fill="auto"/>
            <w:noWrap/>
            <w:vAlign w:val="center"/>
          </w:tcPr>
          <w:p/>
        </w:tc>
      </w:tr>
      <w:tr>
        <w:tblPrEx>
          <w:tblW w:w="10740" w:type="dxa"/>
          <w:jc w:val="center"/>
          <w:tblLayout w:type="fixed"/>
          <w:tblCellMar>
            <w:top w:w="0" w:type="dxa"/>
            <w:left w:w="108" w:type="dxa"/>
            <w:bottom w:w="0" w:type="dxa"/>
            <w:right w:w="108" w:type="dxa"/>
          </w:tblCellMar>
        </w:tblPrEx>
        <w:trPr>
          <w:trHeight w:val="750"/>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中医急诊</w:t>
            </w:r>
          </w:p>
        </w:tc>
        <w:tc>
          <w:tcPr>
            <w:tcW w:w="2077" w:type="dxa"/>
            <w:shd w:val="clear" w:color="auto" w:fill="auto"/>
            <w:vAlign w:val="center"/>
          </w:tcPr>
          <w:p>
            <w:pPr>
              <w:spacing w:line="420" w:lineRule="exact"/>
              <w:jc w:val="center"/>
              <w:rPr>
                <w:rFonts w:ascii="仿宋_GB2312" w:eastAsia="仿宋_GB2312" w:hAnsi="宋体" w:cs="仿宋_GB2312"/>
                <w:sz w:val="32"/>
                <w:szCs w:val="32"/>
              </w:rPr>
            </w:pPr>
          </w:p>
        </w:tc>
        <w:tc>
          <w:tcPr>
            <w:tcW w:w="1542" w:type="dxa"/>
            <w:shd w:val="clear" w:color="auto" w:fill="auto"/>
            <w:noWrap/>
            <w:vAlign w:val="center"/>
          </w:tcPr>
          <w:p>
            <w:pPr>
              <w:spacing w:line="420" w:lineRule="exact"/>
              <w:jc w:val="center"/>
              <w:rPr>
                <w:rFonts w:ascii="仿宋_GB2312" w:eastAsia="仿宋_GB2312" w:hAnsi="宋体" w:cs="仿宋_GB2312"/>
                <w:sz w:val="32"/>
                <w:szCs w:val="32"/>
              </w:rPr>
            </w:pPr>
            <w:r>
              <w:rPr>
                <w:rFonts w:ascii="仿宋_GB2312" w:eastAsia="仿宋_GB2312" w:hAnsi="宋体" w:cs="仿宋_GB2312" w:hint="eastAsia"/>
                <w:sz w:val="32"/>
                <w:szCs w:val="32"/>
              </w:rPr>
              <w:t>2</w:t>
            </w:r>
          </w:p>
        </w:tc>
        <w:tc>
          <w:tcPr>
            <w:tcW w:w="3144" w:type="dxa"/>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在急诊门诊、病房（含重症监护室）各培训1个月</w:t>
            </w:r>
          </w:p>
        </w:tc>
      </w:tr>
      <w:tr>
        <w:tblPrEx>
          <w:tblW w:w="10740" w:type="dxa"/>
          <w:jc w:val="center"/>
          <w:tblLayout w:type="fixed"/>
          <w:tblCellMar>
            <w:top w:w="0" w:type="dxa"/>
            <w:left w:w="108" w:type="dxa"/>
            <w:bottom w:w="0" w:type="dxa"/>
            <w:right w:w="108" w:type="dxa"/>
          </w:tblCellMar>
        </w:tblPrEx>
        <w:trPr>
          <w:trHeight w:val="1500"/>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其他专业和辅助科室</w:t>
            </w:r>
          </w:p>
        </w:tc>
        <w:tc>
          <w:tcPr>
            <w:tcW w:w="2077" w:type="dxa"/>
            <w:shd w:val="clear" w:color="auto" w:fill="auto"/>
            <w:vAlign w:val="center"/>
          </w:tcPr>
          <w:p>
            <w:pPr>
              <w:spacing w:line="420" w:lineRule="exact"/>
              <w:jc w:val="center"/>
              <w:rPr>
                <w:rFonts w:ascii="仿宋_GB2312" w:eastAsia="仿宋_GB2312" w:hAnsi="宋体" w:cs="仿宋_GB2312"/>
                <w:sz w:val="32"/>
                <w:szCs w:val="32"/>
              </w:rPr>
            </w:pPr>
          </w:p>
        </w:tc>
        <w:tc>
          <w:tcPr>
            <w:tcW w:w="1542" w:type="dxa"/>
            <w:shd w:val="clear" w:color="auto" w:fill="auto"/>
            <w:noWrap/>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2</w:t>
            </w:r>
          </w:p>
        </w:tc>
        <w:tc>
          <w:tcPr>
            <w:tcW w:w="3144" w:type="dxa"/>
            <w:shd w:val="clear" w:color="auto" w:fill="auto"/>
            <w:vAlign w:val="center"/>
          </w:tcPr>
          <w:p>
            <w:pPr>
              <w:widowControl/>
              <w:spacing w:line="420" w:lineRule="exact"/>
              <w:jc w:val="left"/>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在医学影像科、心电图、超声医学科、中药房中的4个科室各进行0.5个月培训</w:t>
            </w:r>
          </w:p>
        </w:tc>
      </w:tr>
      <w:tr>
        <w:tblPrEx>
          <w:tblW w:w="10740" w:type="dxa"/>
          <w:jc w:val="center"/>
          <w:tblLayout w:type="fixed"/>
          <w:tblCellMar>
            <w:top w:w="0" w:type="dxa"/>
            <w:left w:w="108" w:type="dxa"/>
            <w:bottom w:w="0" w:type="dxa"/>
            <w:right w:w="108" w:type="dxa"/>
          </w:tblCellMar>
        </w:tblPrEx>
        <w:trPr>
          <w:trHeight w:val="380"/>
          <w:jc w:val="center"/>
        </w:trPr>
        <w:tc>
          <w:tcPr>
            <w:tcW w:w="1710" w:type="dxa"/>
            <w:vMerge w:val="restart"/>
            <w:shd w:val="clear" w:color="auto" w:fill="auto"/>
            <w:vAlign w:val="center"/>
          </w:tcPr>
          <w:p>
            <w:pPr>
              <w:spacing w:line="420" w:lineRule="exact"/>
              <w:jc w:val="center"/>
              <w:rPr>
                <w:rFonts w:ascii="仿宋_GB2312" w:eastAsia="仿宋_GB2312" w:hAnsi="宋体" w:cs="仿宋_GB2312"/>
                <w:kern w:val="0"/>
                <w:sz w:val="32"/>
                <w:szCs w:val="32"/>
              </w:rPr>
            </w:pPr>
            <w:r>
              <w:rPr>
                <w:rFonts w:ascii="仿宋_GB2312" w:eastAsia="仿宋_GB2312" w:hAnsi="宋体" w:cs="仿宋_GB2312" w:hint="eastAsia"/>
                <w:kern w:val="0"/>
                <w:sz w:val="32"/>
                <w:szCs w:val="32"/>
              </w:rPr>
              <w:t>第二阶段</w:t>
            </w:r>
          </w:p>
          <w:p>
            <w:pPr>
              <w:spacing w:line="420" w:lineRule="exact"/>
              <w:jc w:val="center"/>
              <w:rPr>
                <w:rFonts w:ascii="仿宋_GB2312" w:eastAsia="仿宋_GB2312" w:hAnsi="宋体" w:cs="仿宋_GB2312"/>
                <w:sz w:val="32"/>
                <w:szCs w:val="32"/>
              </w:rPr>
            </w:pPr>
            <w:r>
              <w:rPr>
                <w:rFonts w:ascii="仿宋_GB2312" w:eastAsia="仿宋_GB2312" w:hAnsi="宋体" w:cs="仿宋_GB2312" w:hint="eastAsia"/>
                <w:kern w:val="0"/>
                <w:sz w:val="32"/>
                <w:szCs w:val="32"/>
              </w:rPr>
              <w:t>（6个月）</w:t>
            </w:r>
          </w:p>
        </w:tc>
        <w:tc>
          <w:tcPr>
            <w:tcW w:w="2267" w:type="dxa"/>
            <w:vMerge w:val="restart"/>
            <w:shd w:val="clear" w:color="auto" w:fill="auto"/>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基层培养基地实践</w:t>
            </w:r>
          </w:p>
        </w:tc>
        <w:tc>
          <w:tcPr>
            <w:tcW w:w="2077" w:type="dxa"/>
            <w:shd w:val="clear" w:color="auto" w:fill="auto"/>
            <w:vAlign w:val="center"/>
          </w:tcPr>
          <w:p>
            <w:pPr>
              <w:widowControl/>
              <w:spacing w:line="380" w:lineRule="exact"/>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全科医疗科</w:t>
            </w:r>
          </w:p>
        </w:tc>
        <w:tc>
          <w:tcPr>
            <w:tcW w:w="1542" w:type="dxa"/>
            <w:shd w:val="clear" w:color="auto" w:fill="auto"/>
            <w:noWrap/>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kern w:val="0"/>
                <w:sz w:val="32"/>
                <w:szCs w:val="32"/>
              </w:rPr>
              <w:t>2</w:t>
            </w:r>
          </w:p>
        </w:tc>
        <w:tc>
          <w:tcPr>
            <w:tcW w:w="3144" w:type="dxa"/>
            <w:vMerge w:val="restart"/>
            <w:shd w:val="clear" w:color="auto" w:fill="auto"/>
            <w:vAlign w:val="center"/>
          </w:tcPr>
          <w:p>
            <w:pPr>
              <w:spacing w:line="420" w:lineRule="exact"/>
              <w:jc w:val="left"/>
              <w:rPr>
                <w:rFonts w:ascii="仿宋_GB2312" w:eastAsia="仿宋_GB2312" w:hAnsi="宋体" w:cs="仿宋_GB2312"/>
                <w:sz w:val="32"/>
                <w:szCs w:val="32"/>
              </w:rPr>
            </w:pPr>
            <w:r>
              <w:rPr>
                <w:rFonts w:ascii="仿宋_GB2312" w:eastAsia="仿宋_GB2312" w:hAnsi="宋体" w:cs="仿宋_GB2312" w:hint="eastAsia"/>
                <w:kern w:val="0"/>
                <w:sz w:val="32"/>
                <w:szCs w:val="32"/>
              </w:rPr>
              <w:t>门诊、家庭访视、社区巡诊、社区活动、慢病活动、健康教育等</w:t>
            </w:r>
          </w:p>
        </w:tc>
      </w:tr>
      <w:tr>
        <w:tblPrEx>
          <w:tblW w:w="10740" w:type="dxa"/>
          <w:jc w:val="center"/>
          <w:tblLayout w:type="fixed"/>
          <w:tblCellMar>
            <w:top w:w="0" w:type="dxa"/>
            <w:left w:w="108" w:type="dxa"/>
            <w:bottom w:w="0" w:type="dxa"/>
            <w:right w:w="108" w:type="dxa"/>
          </w:tblCellMar>
        </w:tblPrEx>
        <w:trPr>
          <w:trHeight w:val="560"/>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077" w:type="dxa"/>
            <w:shd w:val="clear" w:color="auto" w:fill="auto"/>
            <w:vAlign w:val="center"/>
          </w:tcPr>
          <w:p>
            <w:pPr>
              <w:widowControl/>
              <w:spacing w:line="380" w:lineRule="exact"/>
              <w:jc w:val="left"/>
              <w:rPr>
                <w:rFonts w:ascii="仿宋_GB2312" w:eastAsia="仿宋_GB2312" w:hAnsi="宋体" w:cs="仿宋_GB2312"/>
                <w:kern w:val="0"/>
                <w:sz w:val="32"/>
                <w:szCs w:val="32"/>
              </w:rPr>
            </w:pPr>
            <w:r>
              <w:rPr>
                <w:rFonts w:ascii="仿宋_GB2312" w:eastAsia="仿宋_GB2312" w:hAnsi="宋体" w:cs="仿宋_GB2312" w:hint="eastAsia"/>
                <w:kern w:val="0"/>
                <w:sz w:val="32"/>
                <w:szCs w:val="32"/>
              </w:rPr>
              <w:t>中医全科（中医科）</w:t>
            </w:r>
          </w:p>
        </w:tc>
        <w:tc>
          <w:tcPr>
            <w:tcW w:w="1542" w:type="dxa"/>
            <w:shd w:val="clear" w:color="auto" w:fill="auto"/>
            <w:noWrap/>
            <w:vAlign w:val="center"/>
          </w:tcPr>
          <w:p>
            <w:pPr>
              <w:widowControl/>
              <w:spacing w:line="420" w:lineRule="exact"/>
              <w:jc w:val="center"/>
              <w:textAlignment w:val="center"/>
              <w:rPr>
                <w:rFonts w:ascii="仿宋_GB2312" w:eastAsia="仿宋_GB2312" w:hAnsi="宋体" w:cs="仿宋_GB2312"/>
                <w:kern w:val="0"/>
                <w:sz w:val="32"/>
                <w:szCs w:val="32"/>
              </w:rPr>
            </w:pPr>
            <w:r>
              <w:rPr>
                <w:rFonts w:ascii="仿宋_GB2312" w:eastAsia="仿宋_GB2312" w:hAnsi="宋体" w:cs="仿宋_GB2312"/>
                <w:kern w:val="0"/>
                <w:sz w:val="32"/>
                <w:szCs w:val="32"/>
              </w:rPr>
              <w:t>2</w:t>
            </w:r>
          </w:p>
        </w:tc>
        <w:tc>
          <w:tcPr>
            <w:tcW w:w="3144" w:type="dxa"/>
            <w:vMerge/>
            <w:shd w:val="clear" w:color="auto" w:fill="auto"/>
            <w:vAlign w:val="center"/>
          </w:tcPr>
          <w:p>
            <w:pPr>
              <w:spacing w:line="420" w:lineRule="exact"/>
              <w:jc w:val="center"/>
              <w:rPr>
                <w:rFonts w:ascii="仿宋_GB2312" w:eastAsia="仿宋_GB2312" w:hAnsi="宋体" w:cs="仿宋_GB2312"/>
                <w:sz w:val="32"/>
                <w:szCs w:val="32"/>
              </w:rPr>
            </w:pPr>
          </w:p>
        </w:tc>
      </w:tr>
      <w:tr>
        <w:tblPrEx>
          <w:tblW w:w="10740" w:type="dxa"/>
          <w:jc w:val="center"/>
          <w:tblLayout w:type="fixed"/>
          <w:tblCellMar>
            <w:top w:w="0" w:type="dxa"/>
            <w:left w:w="108" w:type="dxa"/>
            <w:bottom w:w="0" w:type="dxa"/>
            <w:right w:w="108" w:type="dxa"/>
          </w:tblCellMar>
        </w:tblPrEx>
        <w:trPr>
          <w:trHeight w:val="872"/>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077" w:type="dxa"/>
            <w:shd w:val="clear" w:color="auto" w:fill="auto"/>
            <w:vAlign w:val="center"/>
          </w:tcPr>
          <w:p>
            <w:pPr>
              <w:widowControl/>
              <w:spacing w:line="380" w:lineRule="exact"/>
              <w:jc w:val="left"/>
              <w:rPr>
                <w:rFonts w:ascii="仿宋_GB2312" w:eastAsia="仿宋_GB2312" w:hAnsi="宋体" w:cs="仿宋_GB2312"/>
                <w:sz w:val="32"/>
                <w:szCs w:val="32"/>
              </w:rPr>
            </w:pPr>
            <w:r>
              <w:rPr>
                <w:rFonts w:ascii="仿宋_GB2312" w:eastAsia="仿宋_GB2312" w:hAnsi="宋体" w:cs="仿宋_GB2312" w:hint="eastAsia"/>
                <w:kern w:val="0"/>
                <w:sz w:val="32"/>
                <w:szCs w:val="32"/>
              </w:rPr>
              <w:t>康复科（</w:t>
            </w:r>
            <w:r>
              <w:rPr>
                <w:rFonts w:ascii="仿宋_GB2312" w:eastAsia="仿宋_GB2312" w:hAnsi="宋体" w:cs="仿宋_GB2312"/>
                <w:kern w:val="0"/>
                <w:sz w:val="32"/>
                <w:szCs w:val="32"/>
              </w:rPr>
              <w:t>包括中医适宜技术</w:t>
            </w:r>
            <w:r>
              <w:rPr>
                <w:rFonts w:ascii="仿宋_GB2312" w:eastAsia="仿宋_GB2312" w:hAnsi="宋体" w:cs="仿宋_GB2312" w:hint="eastAsia"/>
                <w:kern w:val="0"/>
                <w:sz w:val="32"/>
                <w:szCs w:val="32"/>
              </w:rPr>
              <w:t>）</w:t>
            </w:r>
          </w:p>
        </w:tc>
        <w:tc>
          <w:tcPr>
            <w:tcW w:w="1542" w:type="dxa"/>
            <w:shd w:val="clear" w:color="auto" w:fill="auto"/>
            <w:noWrap/>
            <w:vAlign w:val="center"/>
          </w:tcPr>
          <w:p>
            <w:pPr>
              <w:widowControl/>
              <w:spacing w:line="420" w:lineRule="exact"/>
              <w:jc w:val="center"/>
              <w:textAlignment w:val="center"/>
              <w:rPr>
                <w:rFonts w:ascii="仿宋_GB2312" w:eastAsia="仿宋_GB2312" w:hAnsi="宋体" w:cs="仿宋_GB2312"/>
                <w:sz w:val="32"/>
                <w:szCs w:val="32"/>
                <w:highlight w:val="cyan"/>
              </w:rPr>
            </w:pPr>
            <w:r>
              <w:rPr>
                <w:rFonts w:ascii="仿宋_GB2312" w:eastAsia="仿宋_GB2312" w:hAnsi="宋体" w:cs="仿宋_GB2312"/>
                <w:kern w:val="0"/>
                <w:sz w:val="32"/>
                <w:szCs w:val="32"/>
              </w:rPr>
              <w:t>1</w:t>
            </w:r>
          </w:p>
        </w:tc>
        <w:tc>
          <w:tcPr>
            <w:tcW w:w="3144" w:type="dxa"/>
            <w:vMerge/>
            <w:shd w:val="clear" w:color="auto" w:fill="auto"/>
            <w:vAlign w:val="center"/>
          </w:tcPr>
          <w:p>
            <w:pPr>
              <w:spacing w:line="420" w:lineRule="exact"/>
              <w:jc w:val="center"/>
              <w:rPr>
                <w:rFonts w:ascii="仿宋_GB2312" w:eastAsia="仿宋_GB2312" w:hAnsi="宋体" w:cs="仿宋_GB2312"/>
                <w:sz w:val="32"/>
                <w:szCs w:val="32"/>
              </w:rPr>
            </w:pPr>
          </w:p>
        </w:tc>
      </w:tr>
      <w:tr>
        <w:tblPrEx>
          <w:tblW w:w="10740" w:type="dxa"/>
          <w:jc w:val="center"/>
          <w:tblLayout w:type="fixed"/>
          <w:tblCellMar>
            <w:top w:w="0" w:type="dxa"/>
            <w:left w:w="108" w:type="dxa"/>
            <w:bottom w:w="0" w:type="dxa"/>
            <w:right w:w="108" w:type="dxa"/>
          </w:tblCellMar>
        </w:tblPrEx>
        <w:trPr>
          <w:trHeight w:val="380"/>
          <w:jc w:val="center"/>
        </w:trPr>
        <w:tc>
          <w:tcPr>
            <w:tcW w:w="1710"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267" w:type="dxa"/>
            <w:vMerge/>
            <w:shd w:val="clear" w:color="auto" w:fill="auto"/>
            <w:vAlign w:val="center"/>
          </w:tcPr>
          <w:p>
            <w:pPr>
              <w:spacing w:line="420" w:lineRule="exact"/>
              <w:jc w:val="center"/>
              <w:rPr>
                <w:rFonts w:ascii="仿宋_GB2312" w:eastAsia="仿宋_GB2312" w:hAnsi="宋体" w:cs="仿宋_GB2312"/>
                <w:sz w:val="32"/>
                <w:szCs w:val="32"/>
              </w:rPr>
            </w:pPr>
          </w:p>
        </w:tc>
        <w:tc>
          <w:tcPr>
            <w:tcW w:w="2077" w:type="dxa"/>
            <w:shd w:val="clear" w:color="auto" w:fill="auto"/>
            <w:vAlign w:val="center"/>
          </w:tcPr>
          <w:p>
            <w:pPr>
              <w:widowControl/>
              <w:spacing w:line="380" w:lineRule="exact"/>
              <w:textAlignment w:val="center"/>
              <w:rPr>
                <w:rFonts w:ascii="仿宋_GB2312" w:eastAsia="仿宋_GB2312" w:hAnsi="宋体" w:cs="仿宋_GB2312"/>
                <w:sz w:val="32"/>
                <w:szCs w:val="32"/>
              </w:rPr>
            </w:pPr>
            <w:r>
              <w:rPr>
                <w:rFonts w:ascii="仿宋_GB2312" w:eastAsia="仿宋_GB2312" w:hAnsi="宋体" w:cs="仿宋_GB2312" w:hint="eastAsia"/>
                <w:kern w:val="0"/>
                <w:sz w:val="32"/>
                <w:szCs w:val="32"/>
              </w:rPr>
              <w:t>预防保健科</w:t>
            </w:r>
          </w:p>
        </w:tc>
        <w:tc>
          <w:tcPr>
            <w:tcW w:w="1542" w:type="dxa"/>
            <w:shd w:val="clear" w:color="auto" w:fill="auto"/>
            <w:noWrap/>
            <w:vAlign w:val="center"/>
          </w:tcPr>
          <w:p>
            <w:pPr>
              <w:widowControl/>
              <w:spacing w:line="420" w:lineRule="exact"/>
              <w:jc w:val="center"/>
              <w:textAlignment w:val="center"/>
              <w:rPr>
                <w:rFonts w:ascii="仿宋_GB2312" w:eastAsia="仿宋_GB2312" w:hAnsi="宋体" w:cs="仿宋_GB2312"/>
                <w:sz w:val="32"/>
                <w:szCs w:val="32"/>
              </w:rPr>
            </w:pPr>
            <w:r>
              <w:rPr>
                <w:rFonts w:ascii="仿宋_GB2312" w:eastAsia="仿宋_GB2312" w:hAnsi="宋体" w:cs="仿宋_GB2312"/>
                <w:kern w:val="0"/>
                <w:sz w:val="32"/>
                <w:szCs w:val="32"/>
              </w:rPr>
              <w:t>1</w:t>
            </w:r>
          </w:p>
        </w:tc>
        <w:tc>
          <w:tcPr>
            <w:tcW w:w="3144" w:type="dxa"/>
            <w:vMerge/>
            <w:shd w:val="clear" w:color="auto" w:fill="auto"/>
            <w:vAlign w:val="center"/>
          </w:tcPr>
          <w:p>
            <w:pPr>
              <w:spacing w:line="420" w:lineRule="exact"/>
              <w:jc w:val="center"/>
              <w:rPr>
                <w:rFonts w:ascii="仿宋_GB2312" w:eastAsia="仿宋_GB2312" w:hAnsi="宋体" w:cs="仿宋_GB2312"/>
                <w:sz w:val="32"/>
                <w:szCs w:val="32"/>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https://d.book118.com/308101022054006032</w:t>
        </w:r>
      </w:hyperlink>
    </w:p>
    <w:p/>
    <w:sectPr>
      <w:footerReference w:type="default" r:id="rId17"/>
      <w:type w:val="nextPage"/>
      <w:pgSz w:w="11906" w:h="16838"/>
      <w:pgMar w:top="1701" w:right="1531" w:bottom="1701" w:left="1531"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方正舒体"/>
    <w:panose1 w:val="02010601030101010101"/>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1</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1</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0580367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3</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3</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91383814"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4</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4</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30679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4</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4</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7103928"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5</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5</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18282561"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6</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6</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79522534"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8</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8</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197730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8</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8</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92173580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9</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9</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45485911"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10</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10</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721929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12</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12</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852914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12</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sz w:val="32"/>
                        <w:szCs w:val="32"/>
                      </w:rPr>
                      <w:t>12</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8"/>
    <w:multiLevelType w:val="multilevel"/>
    <w:tmpl w:val="00000008"/>
    <w:lvl w:ilvl="0">
      <w:start w:val="1"/>
      <w:numFmt w:val="decimal"/>
      <w:pStyle w:val="1"/>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295DAC"/>
    <w:rsid w:val="00000039"/>
    <w:rsid w:val="0001709A"/>
    <w:rsid w:val="00060AAC"/>
    <w:rsid w:val="000762C9"/>
    <w:rsid w:val="00124AE4"/>
    <w:rsid w:val="001442AB"/>
    <w:rsid w:val="001F625C"/>
    <w:rsid w:val="00305A32"/>
    <w:rsid w:val="00311774"/>
    <w:rsid w:val="00356EF0"/>
    <w:rsid w:val="003B2B17"/>
    <w:rsid w:val="003D05A7"/>
    <w:rsid w:val="00493248"/>
    <w:rsid w:val="004B7303"/>
    <w:rsid w:val="004D3398"/>
    <w:rsid w:val="004D4D80"/>
    <w:rsid w:val="005644FE"/>
    <w:rsid w:val="00680A63"/>
    <w:rsid w:val="00715B90"/>
    <w:rsid w:val="007A2946"/>
    <w:rsid w:val="008532DD"/>
    <w:rsid w:val="009A791A"/>
    <w:rsid w:val="009E2940"/>
    <w:rsid w:val="00A8094B"/>
    <w:rsid w:val="00B9369F"/>
    <w:rsid w:val="00CA7C21"/>
    <w:rsid w:val="00D35DD7"/>
    <w:rsid w:val="00D7207E"/>
    <w:rsid w:val="00D843E4"/>
    <w:rsid w:val="00E311D3"/>
    <w:rsid w:val="00E529EE"/>
    <w:rsid w:val="00F71BEC"/>
    <w:rsid w:val="00F83B22"/>
    <w:rsid w:val="00F87A83"/>
    <w:rsid w:val="00FD470D"/>
    <w:rsid w:val="00FF2CDD"/>
    <w:rsid w:val="03A526DD"/>
    <w:rsid w:val="0A0E7DBC"/>
    <w:rsid w:val="0C295DAC"/>
    <w:rsid w:val="1E2F298D"/>
    <w:rsid w:val="24D60729"/>
    <w:rsid w:val="2D136E3C"/>
    <w:rsid w:val="2FCB7CD8"/>
    <w:rsid w:val="34B47E75"/>
    <w:rsid w:val="37231B6D"/>
    <w:rsid w:val="3A404499"/>
    <w:rsid w:val="3BDC22A4"/>
    <w:rsid w:val="3DC0619B"/>
    <w:rsid w:val="41A67A1E"/>
    <w:rsid w:val="50F20E9D"/>
    <w:rsid w:val="538B52C3"/>
    <w:rsid w:val="54CE0705"/>
    <w:rsid w:val="563A12C6"/>
    <w:rsid w:val="5BFD27D5"/>
    <w:rsid w:val="61FEE72B"/>
    <w:rsid w:val="624E3E07"/>
    <w:rsid w:val="63DD0C9B"/>
    <w:rsid w:val="65BA37D3"/>
    <w:rsid w:val="669C1802"/>
    <w:rsid w:val="69842EB6"/>
    <w:rsid w:val="69977DBC"/>
    <w:rsid w:val="6EB904EA"/>
    <w:rsid w:val="7062763F"/>
    <w:rsid w:val="72D84869"/>
    <w:rsid w:val="7423036E"/>
    <w:rsid w:val="75724F5A"/>
    <w:rsid w:val="75765B1C"/>
    <w:rsid w:val="79F22737"/>
    <w:rsid w:val="7DFC70BD"/>
  </w:rsids>
  <w:docVars>
    <w:docVar w:name="commondata" w:val="eyJoZGlkIjoiNGUwOTFlNWM0N2RjMmZmNTgzM2NkYzhkNGZlYjlmOD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nhideWhenUsed="0" w:qFormat="1"/>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uiPriority="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er"/>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line="576" w:lineRule="auto"/>
      <w:outlineLvl w:val="0"/>
    </w:pPr>
    <w:rPr>
      <w:b/>
      <w:kern w:val="44"/>
      <w:sz w:val="44"/>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Header">
    <w:name w:val="header"/>
    <w:basedOn w:val="Normal"/>
    <w:autoRedefine/>
    <w:qFormat/>
    <w:pPr>
      <w:pBdr>
        <w:bottom w:val="single" w:sz="6" w:space="1" w:color="auto"/>
      </w:pBdr>
      <w:tabs>
        <w:tab w:val="center" w:pos="4153"/>
        <w:tab w:val="right" w:pos="8306"/>
      </w:tabs>
      <w:snapToGrid w:val="0"/>
      <w:jc w:val="center"/>
    </w:pPr>
    <w:rPr>
      <w:sz w:val="18"/>
      <w:szCs w:val="18"/>
    </w:rPr>
  </w:style>
  <w:style w:type="paragraph" w:styleId="CommentText">
    <w:name w:val="annotation text"/>
    <w:basedOn w:val="Normal"/>
    <w:autoRedefine/>
    <w:uiPriority w:val="99"/>
    <w:qFormat/>
    <w:rPr>
      <w:rFonts w:ascii="宋体" w:eastAsia="宋体" w:cs="宋体"/>
      <w:sz w:val="18"/>
      <w:szCs w:val="18"/>
    </w:rPr>
  </w:style>
  <w:style w:type="paragraph" w:styleId="BalloonText">
    <w:name w:val="Balloon Text"/>
    <w:basedOn w:val="Normal"/>
    <w:link w:val="a"/>
    <w:autoRedefine/>
    <w:qFormat/>
    <w:rPr>
      <w:sz w:val="18"/>
      <w:szCs w:val="18"/>
    </w:rPr>
  </w:style>
  <w:style w:type="paragraph" w:styleId="Footer">
    <w:name w:val="footer"/>
    <w:basedOn w:val="Normal"/>
    <w:autoRedefine/>
    <w:uiPriority w:val="99"/>
    <w:qFormat/>
    <w:pPr>
      <w:tabs>
        <w:tab w:val="center" w:pos="4153"/>
        <w:tab w:val="right" w:pos="8306"/>
      </w:tabs>
      <w:snapToGrid w:val="0"/>
      <w:jc w:val="left"/>
    </w:pPr>
    <w:rPr>
      <w:sz w:val="18"/>
      <w:szCs w:val="18"/>
    </w:rPr>
  </w:style>
  <w:style w:type="character" w:customStyle="1" w:styleId="font31">
    <w:name w:val="font31"/>
    <w:basedOn w:val="DefaultParagraphFont"/>
    <w:qFormat/>
    <w:rPr>
      <w:rFonts w:ascii="仿宋" w:eastAsia="仿宋" w:hAnsi="仿宋" w:cs="仿宋" w:hint="eastAsia"/>
      <w:color w:val="000000"/>
      <w:sz w:val="30"/>
      <w:szCs w:val="30"/>
      <w:u w:val="none"/>
    </w:rPr>
  </w:style>
  <w:style w:type="paragraph" w:customStyle="1" w:styleId="07">
    <w:name w:val="07我的正文"/>
    <w:basedOn w:val="Normal"/>
    <w:autoRedefine/>
    <w:qFormat/>
    <w:pPr>
      <w:autoSpaceDE w:val="0"/>
      <w:autoSpaceDN w:val="0"/>
      <w:adjustRightInd w:val="0"/>
      <w:snapToGrid w:val="0"/>
      <w:spacing w:line="360" w:lineRule="auto"/>
      <w:ind w:firstLine="480" w:firstLineChars="200"/>
    </w:pPr>
    <w:rPr>
      <w:rFonts w:ascii="仿宋" w:eastAsia="仿宋" w:hAnsiTheme="majorHAnsi" w:cstheme="minorHAnsi"/>
      <w:kern w:val="0"/>
      <w:sz w:val="24"/>
    </w:rPr>
  </w:style>
  <w:style w:type="character" w:customStyle="1" w:styleId="font21">
    <w:name w:val="font21"/>
    <w:basedOn w:val="DefaultParagraphFont"/>
    <w:qFormat/>
    <w:rPr>
      <w:rFonts w:ascii="仿宋_GB2312" w:eastAsia="仿宋_GB2312" w:cs="仿宋_GB2312" w:hint="eastAsia"/>
      <w:color w:val="000000"/>
      <w:sz w:val="28"/>
      <w:szCs w:val="28"/>
      <w:u w:val="none"/>
    </w:rPr>
  </w:style>
  <w:style w:type="paragraph" w:customStyle="1" w:styleId="1">
    <w:name w:val="(1)"/>
    <w:basedOn w:val="Normal"/>
    <w:autoRedefine/>
    <w:qFormat/>
    <w:pPr>
      <w:numPr>
        <w:ilvl w:val="0"/>
        <w:numId w:val="1"/>
      </w:numPr>
      <w:autoSpaceDE w:val="0"/>
      <w:autoSpaceDN w:val="0"/>
      <w:spacing w:line="360" w:lineRule="auto"/>
    </w:pPr>
    <w:rPr>
      <w:rFonts w:ascii="仿宋_GB2312" w:eastAsia="仿宋_GB2312" w:hAnsi="Calibri" w:cs="Times New Roman"/>
      <w:kern w:val="0"/>
      <w:sz w:val="24"/>
    </w:rPr>
  </w:style>
  <w:style w:type="character" w:customStyle="1" w:styleId="a">
    <w:name w:val="批注框文本 字符"/>
    <w:basedOn w:val="DefaultParagraphFont"/>
    <w:link w:val="BalloonText"/>
    <w:autoRedefine/>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hyperlink" Target="https://d.book118.com/308101022054006032" TargetMode="External" /><Relationship Id="rId17" Type="http://schemas.openxmlformats.org/officeDocument/2006/relationships/footer" Target="footer1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16</Pages>
  <Words>4794</Words>
  <Characters>27328</Characters>
  <Application>Microsoft Office Word</Application>
  <DocSecurity>0</DocSecurity>
  <Lines>227</Lines>
  <Paragraphs>64</Paragraphs>
  <ScaleCrop>false</ScaleCrop>
  <Company>Microsoft</Company>
  <LinksUpToDate>false</LinksUpToDate>
  <CharactersWithSpaces>32058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谢鹏</dc:creator>
  <cp:lastModifiedBy>丽娜</cp:lastModifiedBy>
  <cp:revision>23</cp:revision>
  <cp:lastPrinted>2023-10-20T02:13:00Z</cp:lastPrinted>
  <dcterms:created xsi:type="dcterms:W3CDTF">2023-08-02T09:56:00Z</dcterms:created>
  <dcterms:modified xsi:type="dcterms:W3CDTF">2024-01-29T11:30:45Z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7F4E887DDBA44FA38FAB86CA4082BDDE_11</vt:lpwstr>
  </property>
  <property fmtid="{D5CDD505-2E9C-101B-9397-08002B2CF9AE}" pid="3" name="KSOProductBuildVer">
    <vt:lpwstr>2052-12.1.0.16120</vt:lpwstr>
  </property>
</Properties>
</file>