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4"/>
        <w:ind w:left="0"/>
        <w:rPr>
          <w:rFonts w:ascii="Times New Roman"/>
          <w:sz w:val="2"/>
        </w:rPr>
      </w:pPr>
    </w:p>
    <w:tbl>
      <w:tblPr>
        <w:tblStyle w:val="TableNormal"/>
        <w:tblW w:w="0" w:type="auto"/>
        <w:jc w:val="left"/>
        <w:tblInd w:w="429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34"/>
        <w:gridCol w:w="2387"/>
      </w:tblGrid>
      <w:tr>
        <w:tblPrEx>
          <w:tblW w:w="0" w:type="auto"/>
          <w:jc w:val="left"/>
          <w:tblInd w:w="4295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2"/>
          <w:jc w:val="left"/>
        </w:trPr>
        <w:tc>
          <w:tcPr>
            <w:tcW w:w="2734" w:type="dxa"/>
            <w:tcBorders>
              <w:top w:val="nil"/>
              <w:left w:val="nil"/>
              <w:right w:val="single" w:sz="4" w:space="0" w:color="000000"/>
            </w:tcBorders>
          </w:tcPr>
          <w:p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" w:line="245" w:lineRule="exact"/>
              <w:ind w:left="161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JNJL/QR/05/04/1.0</w:t>
            </w:r>
          </w:p>
        </w:tc>
      </w:tr>
      <w:tr>
        <w:tblPrEx>
          <w:tblW w:w="0" w:type="auto"/>
          <w:jc w:val="left"/>
          <w:tblInd w:w="42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34" w:type="dxa"/>
            <w:tcBorders>
              <w:bottom w:val="single" w:sz="4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before="13" w:line="240" w:lineRule="auto"/>
              <w:ind w:left="93"/>
              <w:rPr>
                <w:sz w:val="21"/>
              </w:rPr>
            </w:pPr>
            <w:r>
              <w:rPr>
                <w:sz w:val="21"/>
              </w:rPr>
              <w:t>JNJL/QR/QB-</w:t>
            </w:r>
            <w:r>
              <w:rPr>
                <w:spacing w:val="-2"/>
                <w:sz w:val="21"/>
              </w:rPr>
              <w:t>4.0/D17/1.0</w:t>
            </w:r>
          </w:p>
        </w:tc>
        <w:tc>
          <w:tcPr>
            <w:tcW w:w="2387" w:type="dxa"/>
            <w:tcBorders>
              <w:top w:val="single" w:sz="4" w:space="0" w:color="000000"/>
              <w:left w:val="thickThinMediumGap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 w:line="278" w:lineRule="exact"/>
              <w:ind w:left="136"/>
              <w:rPr>
                <w:sz w:val="24"/>
              </w:rPr>
            </w:pPr>
            <w:r>
              <w:rPr>
                <w:rFonts w:ascii="Times New Roman" w:eastAsia="Times New Roman"/>
                <w:spacing w:val="-5"/>
                <w:sz w:val="24"/>
              </w:rPr>
              <w:t>No</w:t>
            </w:r>
            <w:r>
              <w:rPr>
                <w:spacing w:val="-5"/>
                <w:sz w:val="24"/>
              </w:rPr>
              <w:t>：</w:t>
            </w:r>
          </w:p>
        </w:tc>
      </w:tr>
      <w:tr>
        <w:tblPrEx>
          <w:tblW w:w="0" w:type="auto"/>
          <w:jc w:val="left"/>
          <w:tblInd w:w="42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2"/>
          <w:jc w:val="left"/>
        </w:trPr>
        <w:tc>
          <w:tcPr>
            <w:tcW w:w="2734" w:type="dxa"/>
            <w:tcBorders>
              <w:top w:val="single" w:sz="4" w:space="0" w:color="000000"/>
            </w:tcBorders>
          </w:tcPr>
          <w:p>
            <w:pPr>
              <w:pStyle w:val="TableParagraph"/>
              <w:tabs>
                <w:tab w:val="left" w:pos="2187"/>
              </w:tabs>
              <w:spacing w:before="0" w:line="283" w:lineRule="exact"/>
              <w:rPr>
                <w:rFonts w:ascii="Microsoft JhengHei" w:eastAsia="Microsoft JhengHei" w:hAnsi="Microsoft JhengHei"/>
                <w:b/>
                <w:sz w:val="21"/>
              </w:rPr>
            </w:pPr>
            <w:r>
              <w:rPr>
                <w:rFonts w:ascii="Times New Roman" w:eastAsia="Times New Roman" w:hAnsi="Times New Roman"/>
                <w:spacing w:val="-2"/>
                <w:sz w:val="21"/>
              </w:rPr>
              <w:t>No</w:t>
            </w:r>
            <w:r>
              <w:rPr>
                <w:spacing w:val="-2"/>
                <w:sz w:val="21"/>
              </w:rPr>
              <w:t>：</w:t>
            </w:r>
            <w:r>
              <w:rPr>
                <w:rFonts w:ascii="Times New Roman" w:eastAsia="Times New Roman" w:hAnsi="Times New Roman"/>
                <w:b/>
                <w:spacing w:val="-2"/>
                <w:sz w:val="21"/>
              </w:rPr>
              <w:t>D17</w:t>
            </w:r>
            <w:r>
              <w:rPr>
                <w:rFonts w:ascii="Microsoft JhengHei" w:eastAsia="Microsoft JhengHei" w:hAnsi="Microsoft JhengHei"/>
                <w:b/>
                <w:spacing w:val="-2"/>
                <w:sz w:val="21"/>
              </w:rPr>
              <w:t>—</w:t>
            </w:r>
            <w:r>
              <w:rPr>
                <w:rFonts w:ascii="Microsoft JhengHei" w:eastAsia="Microsoft JhengHei" w:hAnsi="Microsoft JhengHei"/>
                <w:b/>
                <w:sz w:val="21"/>
                <w:u w:val="thick"/>
              </w:rPr>
              <w:tab/>
            </w:r>
          </w:p>
        </w:tc>
        <w:tc>
          <w:tcPr>
            <w:tcW w:w="2387" w:type="dxa"/>
            <w:tcBorders>
              <w:top w:val="single" w:sz="4" w:space="0" w:color="000000"/>
              <w:bottom w:val="nil"/>
              <w:right w:val="nil"/>
            </w:tcBorders>
          </w:tcPr>
          <w:p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Title"/>
      </w:pPr>
      <w:r>
        <w:rPr>
          <w:spacing w:val="-2"/>
        </w:rPr>
        <w:t>监理实施细则</w:t>
      </w:r>
    </w:p>
    <w:p>
      <w:pPr>
        <w:pStyle w:val="BodyText"/>
        <w:spacing w:before="16"/>
        <w:ind w:left="0"/>
        <w:rPr>
          <w:rFonts w:ascii="Microsoft JhengHei"/>
          <w:b/>
          <w:sz w:val="75"/>
        </w:rPr>
      </w:pPr>
    </w:p>
    <w:p>
      <w:pPr>
        <w:tabs>
          <w:tab w:val="left" w:pos="7078"/>
        </w:tabs>
        <w:spacing w:before="0"/>
        <w:ind w:left="1833" w:right="0" w:firstLine="0"/>
        <w:jc w:val="left"/>
        <w:rPr>
          <w:rFonts w:ascii="Times New Roman" w:eastAsia="Times New Roman"/>
          <w:sz w:val="28"/>
        </w:rPr>
      </w:pPr>
      <w:r>
        <w:rPr>
          <w:sz w:val="28"/>
        </w:rPr>
        <w:t>工程名称</w:t>
      </w:r>
      <w:r>
        <w:rPr>
          <w:spacing w:val="-10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ab/>
      </w:r>
    </w:p>
    <w:p>
      <w:pPr>
        <w:pStyle w:val="BodyText"/>
        <w:spacing w:before="0"/>
        <w:ind w:left="0"/>
        <w:rPr>
          <w:rFonts w:ascii="Times New Roman"/>
          <w:sz w:val="17"/>
        </w:rPr>
      </w:pPr>
    </w:p>
    <w:p>
      <w:pPr>
        <w:tabs>
          <w:tab w:val="left" w:pos="839"/>
          <w:tab w:val="left" w:pos="1819"/>
          <w:tab w:val="left" w:pos="5384"/>
        </w:tabs>
        <w:spacing w:before="70"/>
        <w:ind w:left="0" w:right="571" w:firstLine="0"/>
        <w:jc w:val="center"/>
        <w:rPr>
          <w:rFonts w:ascii="Times New Roman" w:eastAsia="Times New Roman"/>
          <w:sz w:val="28"/>
        </w:rPr>
      </w:pPr>
      <w:r>
        <w:rPr>
          <w:spacing w:val="-10"/>
          <w:sz w:val="28"/>
        </w:rPr>
        <w:t>专</w:t>
      </w:r>
      <w:r>
        <w:rPr>
          <w:sz w:val="28"/>
        </w:rPr>
        <w:tab/>
        <w:t>业</w:t>
      </w:r>
      <w:r>
        <w:rPr>
          <w:spacing w:val="-10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ab/>
      </w:r>
      <w:r>
        <w:rPr>
          <w:sz w:val="28"/>
        </w:rPr>
        <w:t xml:space="preserve">钢结构子分部工程 </w:t>
      </w:r>
      <w:r>
        <w:rPr>
          <w:rFonts w:ascii="Times New Roman" w:eastAsia="Times New Roman"/>
          <w:sz w:val="28"/>
          <w:u w:val="single"/>
        </w:rPr>
        <w:tab/>
      </w: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Heading2"/>
        <w:tabs>
          <w:tab w:val="left" w:pos="5466"/>
          <w:tab w:val="left" w:pos="7775"/>
        </w:tabs>
        <w:spacing w:before="106"/>
        <w:ind w:left="275"/>
        <w:jc w:val="center"/>
        <w:rPr>
          <w:rFonts w:ascii="Times New Roman" w:eastAsia="Times New Roman"/>
        </w:rPr>
      </w:pPr>
      <w:r>
        <w:rPr>
          <w:rFonts w:ascii="宋体" w:eastAsia="宋体"/>
          <w:b w:val="0"/>
        </w:rPr>
        <w:t>编制</w:t>
      </w:r>
      <w:r>
        <w:t>（</w:t>
      </w:r>
      <w:r>
        <w:t>专</w:t>
      </w:r>
      <w:r>
        <w:t>业</w:t>
      </w:r>
      <w:r>
        <w:t>监</w:t>
      </w:r>
      <w:r>
        <w:t>理</w:t>
      </w:r>
      <w:r>
        <w:t>工</w:t>
      </w:r>
      <w:r>
        <w:t>程</w:t>
      </w:r>
      <w:r>
        <w:t>师</w:t>
      </w:r>
      <w:r>
        <w:rPr>
          <w:spacing w:val="-5"/>
        </w:rPr>
        <w:t>）：</w:t>
      </w:r>
      <w:r>
        <w:rPr>
          <w:rFonts w:ascii="Times New Roman" w:eastAsia="Times New Roman"/>
          <w:u w:val="thick"/>
        </w:rPr>
        <w:tab/>
      </w:r>
      <w:r>
        <w:t>日</w:t>
      </w:r>
      <w:r>
        <w:t>期</w:t>
      </w:r>
      <w:r>
        <w:rPr>
          <w:spacing w:val="-10"/>
        </w:rPr>
        <w:t>：</w:t>
      </w:r>
      <w:r>
        <w:rPr>
          <w:rFonts w:ascii="Times New Roman" w:eastAsia="Times New Roman"/>
          <w:u w:val="thick"/>
        </w:rPr>
        <w:tab/>
      </w:r>
    </w:p>
    <w:p>
      <w:pPr>
        <w:pStyle w:val="BodyText"/>
        <w:spacing w:before="5"/>
        <w:ind w:left="0"/>
        <w:rPr>
          <w:rFonts w:ascii="Times New Roman"/>
          <w:b/>
          <w:sz w:val="9"/>
        </w:rPr>
      </w:pPr>
    </w:p>
    <w:p>
      <w:pPr>
        <w:tabs>
          <w:tab w:val="left" w:pos="5464"/>
          <w:tab w:val="left" w:pos="7772"/>
        </w:tabs>
        <w:spacing w:before="0" w:line="492" w:lineRule="exact"/>
        <w:ind w:left="274" w:right="0" w:firstLine="0"/>
        <w:jc w:val="center"/>
        <w:rPr>
          <w:rFonts w:ascii="Times New Roman" w:eastAsia="Times New Roman"/>
          <w:b/>
          <w:sz w:val="28"/>
        </w:rPr>
      </w:pPr>
      <w:r>
        <w:rPr>
          <w:sz w:val="28"/>
        </w:rPr>
        <w:t>审核</w:t>
      </w:r>
      <w:r>
        <w:rPr>
          <w:rFonts w:ascii="Microsoft JhengHei" w:eastAsia="Microsoft JhengHei"/>
          <w:b/>
          <w:sz w:val="28"/>
        </w:rPr>
        <w:t>（</w:t>
      </w:r>
      <w:r>
        <w:rPr>
          <w:rFonts w:ascii="Microsoft JhengHei" w:eastAsia="Microsoft JhengHei"/>
          <w:b/>
          <w:spacing w:val="73"/>
          <w:sz w:val="28"/>
        </w:rPr>
        <w:t xml:space="preserve"> </w:t>
      </w:r>
      <w:r>
        <w:rPr>
          <w:rFonts w:ascii="Microsoft JhengHei" w:eastAsia="Microsoft JhengHei"/>
          <w:b/>
          <w:sz w:val="28"/>
        </w:rPr>
        <w:t>总</w:t>
      </w:r>
      <w:r>
        <w:rPr>
          <w:rFonts w:ascii="Microsoft JhengHei" w:eastAsia="Microsoft JhengHei"/>
          <w:b/>
          <w:sz w:val="28"/>
        </w:rPr>
        <w:t>监</w:t>
      </w:r>
      <w:r>
        <w:rPr>
          <w:rFonts w:ascii="Microsoft JhengHei" w:eastAsia="Microsoft JhengHei"/>
          <w:b/>
          <w:sz w:val="28"/>
        </w:rPr>
        <w:t>理</w:t>
      </w:r>
      <w:r>
        <w:rPr>
          <w:rFonts w:ascii="Microsoft JhengHei" w:eastAsia="Microsoft JhengHei"/>
          <w:b/>
          <w:sz w:val="28"/>
        </w:rPr>
        <w:t>工</w:t>
      </w:r>
      <w:r>
        <w:rPr>
          <w:rFonts w:ascii="Microsoft JhengHei" w:eastAsia="Microsoft JhengHei"/>
          <w:b/>
          <w:sz w:val="28"/>
        </w:rPr>
        <w:t>程</w:t>
      </w:r>
      <w:r>
        <w:rPr>
          <w:rFonts w:ascii="Microsoft JhengHei" w:eastAsia="Microsoft JhengHei"/>
          <w:b/>
          <w:sz w:val="28"/>
        </w:rPr>
        <w:t>师</w:t>
      </w:r>
      <w:r>
        <w:rPr>
          <w:rFonts w:ascii="Microsoft JhengHei" w:eastAsia="Microsoft JhengHei"/>
          <w:b/>
          <w:spacing w:val="74"/>
          <w:sz w:val="28"/>
        </w:rPr>
        <w:t xml:space="preserve"> </w:t>
      </w:r>
      <w:r>
        <w:rPr>
          <w:rFonts w:ascii="Microsoft JhengHei" w:eastAsia="Microsoft JhengHei"/>
          <w:b/>
          <w:spacing w:val="-5"/>
          <w:sz w:val="28"/>
        </w:rPr>
        <w:t>）：</w:t>
      </w:r>
      <w:r>
        <w:rPr>
          <w:rFonts w:ascii="Times New Roman" w:eastAsia="Times New Roman"/>
          <w:b/>
          <w:sz w:val="28"/>
          <w:u w:val="thick"/>
        </w:rPr>
        <w:tab/>
      </w:r>
      <w:r>
        <w:rPr>
          <w:rFonts w:ascii="Microsoft JhengHei" w:eastAsia="Microsoft JhengHei"/>
          <w:b/>
          <w:sz w:val="28"/>
        </w:rPr>
        <w:t>日</w:t>
      </w:r>
      <w:r>
        <w:rPr>
          <w:rFonts w:ascii="Microsoft JhengHei" w:eastAsia="Microsoft JhengHei"/>
          <w:b/>
          <w:sz w:val="28"/>
        </w:rPr>
        <w:t>期</w:t>
      </w:r>
      <w:r>
        <w:rPr>
          <w:rFonts w:ascii="Microsoft JhengHei" w:eastAsia="Microsoft JhengHei"/>
          <w:b/>
          <w:spacing w:val="-10"/>
          <w:sz w:val="28"/>
        </w:rPr>
        <w:t>：</w:t>
      </w:r>
      <w:r>
        <w:rPr>
          <w:rFonts w:ascii="Times New Roman" w:eastAsia="Times New Roman"/>
          <w:b/>
          <w:sz w:val="28"/>
          <w:u w:val="thick"/>
        </w:rPr>
        <w:tab/>
      </w: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pStyle w:val="BodyText"/>
        <w:spacing w:before="0"/>
        <w:ind w:left="0"/>
        <w:rPr>
          <w:rFonts w:ascii="Times New Roman"/>
          <w:b/>
          <w:sz w:val="20"/>
        </w:rPr>
      </w:pPr>
    </w:p>
    <w:p>
      <w:pPr>
        <w:spacing w:before="133"/>
        <w:ind w:left="2692" w:right="0" w:firstLine="0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1"/>
          <w:sz w:val="21"/>
        </w:rPr>
        <w:t>浙江江南工程管理股份有限公司</w:t>
      </w:r>
    </w:p>
    <w:p>
      <w:pPr>
        <w:tabs>
          <w:tab w:val="left" w:pos="3465"/>
        </w:tabs>
        <w:spacing w:before="82" w:line="242" w:lineRule="auto"/>
        <w:ind w:left="3774" w:right="4050" w:hanging="1149"/>
        <w:jc w:val="left"/>
        <w:rPr>
          <w:rFonts w:ascii="Microsoft JhengHei" w:eastAsia="Microsoft JhengHei"/>
          <w:b/>
          <w:sz w:val="21"/>
        </w:rPr>
      </w:pPr>
      <w:r>
        <w:rPr>
          <w:rFonts w:ascii="Times New Roman" w:eastAsia="Times New Roman"/>
          <w:b/>
          <w:sz w:val="21"/>
          <w:u w:val="thick"/>
        </w:rPr>
        <w:tab/>
      </w:r>
      <w:r>
        <w:rPr>
          <w:rFonts w:ascii="Microsoft JhengHei" w:eastAsia="Microsoft JhengHei"/>
          <w:b/>
          <w:spacing w:val="-2"/>
          <w:sz w:val="21"/>
        </w:rPr>
        <w:t>项目监理机构（盖章）</w:t>
      </w:r>
      <w:r>
        <w:rPr>
          <w:rFonts w:ascii="Microsoft JhengHei" w:eastAsia="Microsoft JhengHei"/>
          <w:b/>
          <w:spacing w:val="15"/>
          <w:sz w:val="21"/>
        </w:rPr>
        <w:t>年 月 日</w:t>
      </w:r>
    </w:p>
    <w:p>
      <w:pPr>
        <w:spacing w:after="0" w:line="242" w:lineRule="auto"/>
        <w:jc w:val="left"/>
        <w:rPr>
          <w:rFonts w:ascii="Microsoft JhengHei" w:eastAsia="Microsoft JhengHei"/>
          <w:sz w:val="21"/>
        </w:rPr>
        <w:sectPr>
          <w:type w:val="continuous"/>
          <w:pgSz w:w="11910" w:h="16840"/>
          <w:pgMar w:top="1520" w:right="800" w:bottom="280" w:left="1480" w:header="708" w:footer="708"/>
          <w:cols w:space="708"/>
        </w:sectPr>
      </w:pPr>
    </w:p>
    <w:p>
      <w:pPr>
        <w:spacing w:before="12"/>
        <w:ind w:left="0" w:right="183" w:firstLine="0"/>
        <w:jc w:val="center"/>
        <w:rPr>
          <w:sz w:val="28"/>
        </w:rPr>
      </w:pPr>
      <w:r>
        <w:rPr>
          <w:color w:val="FF0000"/>
          <w:sz w:val="44"/>
        </w:rPr>
        <w:t>注：</w:t>
      </w:r>
      <w:r>
        <w:rPr>
          <w:color w:val="FF0000"/>
          <w:spacing w:val="-1"/>
          <w:sz w:val="28"/>
        </w:rPr>
        <w:t>该文本仅作为参考文本，请各项目部在编制时，结合工程实际内容</w:t>
      </w:r>
    </w:p>
    <w:p>
      <w:pPr>
        <w:spacing w:before="36"/>
        <w:ind w:left="1101" w:right="0" w:firstLine="0"/>
        <w:jc w:val="left"/>
        <w:rPr>
          <w:sz w:val="28"/>
        </w:rPr>
      </w:pPr>
      <w:r>
        <w:rPr>
          <w:color w:val="FF0000"/>
          <w:spacing w:val="-1"/>
          <w:sz w:val="28"/>
        </w:rPr>
        <w:t>认真如实地加以扩删，切毋生搬硬套！！！</w:t>
      </w:r>
    </w:p>
    <w:p>
      <w:pPr>
        <w:spacing w:before="42"/>
        <w:ind w:left="0" w:right="112" w:firstLine="0"/>
        <w:jc w:val="center"/>
        <w:rPr>
          <w:sz w:val="24"/>
        </w:rPr>
      </w:pPr>
      <w:r>
        <w:rPr>
          <w:rFonts w:ascii="Microsoft JhengHei" w:eastAsia="Microsoft JhengHei"/>
          <w:b/>
          <w:w w:val="85"/>
          <w:sz w:val="24"/>
        </w:rPr>
        <w:t>2005</w:t>
      </w:r>
      <w:r>
        <w:rPr>
          <w:w w:val="85"/>
          <w:sz w:val="24"/>
        </w:rPr>
        <w:t>年</w:t>
      </w:r>
      <w:r>
        <w:rPr>
          <w:rFonts w:ascii="Microsoft JhengHei" w:eastAsia="Microsoft JhengHei"/>
          <w:b/>
          <w:w w:val="85"/>
          <w:sz w:val="24"/>
        </w:rPr>
        <w:t>5</w:t>
      </w:r>
      <w:r>
        <w:rPr>
          <w:w w:val="85"/>
          <w:sz w:val="24"/>
        </w:rPr>
        <w:t>月</w:t>
      </w:r>
      <w:r>
        <w:rPr>
          <w:spacing w:val="-10"/>
          <w:w w:val="85"/>
          <w:sz w:val="24"/>
        </w:rPr>
        <w:t>版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26"/>
        </w:rPr>
      </w:pPr>
    </w:p>
    <w:p>
      <w:pPr>
        <w:spacing w:before="60"/>
        <w:ind w:left="4406" w:right="0" w:firstLine="0"/>
        <w:jc w:val="left"/>
        <w:rPr>
          <w:sz w:val="28"/>
        </w:rPr>
      </w:pPr>
      <w:r>
        <w:rPr>
          <w:spacing w:val="-4"/>
          <w:sz w:val="28"/>
        </w:rPr>
        <w:t>目 录</w:t>
      </w:r>
    </w:p>
    <w:p>
      <w:pPr>
        <w:pStyle w:val="BodyText"/>
        <w:spacing w:before="122"/>
        <w:ind w:left="221"/>
      </w:pPr>
      <w:r>
        <w:rPr>
          <w:spacing w:val="-2"/>
        </w:rPr>
        <w:t>一、工程概况</w:t>
      </w:r>
    </w:p>
    <w:p>
      <w:pPr>
        <w:pStyle w:val="BodyText"/>
        <w:spacing w:line="343" w:lineRule="auto"/>
        <w:ind w:left="221" w:right="3404"/>
      </w:pPr>
      <w:r>
        <w:rPr>
          <w:spacing w:val="-2"/>
        </w:rPr>
        <w:t>二、钢结构分部（子分部）工程监理实施细则编制的依据</w:t>
      </w:r>
      <w:r>
        <w:rPr>
          <w:spacing w:val="-2"/>
        </w:rPr>
        <w:t>三、监理工作流程图及工作内容</w:t>
      </w:r>
    </w:p>
    <w:p>
      <w:pPr>
        <w:pStyle w:val="BodyText"/>
        <w:spacing w:before="1"/>
      </w:pPr>
      <w:r>
        <w:t>（一）</w:t>
      </w:r>
      <w:r>
        <w:rPr>
          <w:spacing w:val="-2"/>
        </w:rPr>
        <w:t>监理工作内容</w:t>
      </w:r>
    </w:p>
    <w:p>
      <w:pPr>
        <w:pStyle w:val="BodyText"/>
      </w:pPr>
      <w:r>
        <w:t>（二）</w:t>
      </w:r>
      <w:r>
        <w:rPr>
          <w:spacing w:val="-2"/>
        </w:rPr>
        <w:t>监理工作流程图</w:t>
      </w:r>
    </w:p>
    <w:p>
      <w:pPr>
        <w:pStyle w:val="BodyText"/>
        <w:spacing w:before="133"/>
        <w:ind w:left="221"/>
      </w:pPr>
      <w:r>
        <w:t>四、钢结构分部（子分部）</w:t>
      </w:r>
      <w:r>
        <w:rPr>
          <w:spacing w:val="-2"/>
        </w:rPr>
        <w:t>工程准备工作监理</w:t>
      </w:r>
    </w:p>
    <w:p>
      <w:pPr>
        <w:pStyle w:val="BodyText"/>
      </w:pPr>
      <w:r>
        <w:t>（一）</w:t>
      </w:r>
      <w:r>
        <w:rPr>
          <w:spacing w:val="-2"/>
        </w:rPr>
        <w:t xml:space="preserve"> 施工单位资质审查</w:t>
      </w:r>
    </w:p>
    <w:p>
      <w:pPr>
        <w:pStyle w:val="BodyText"/>
        <w:spacing w:before="133"/>
      </w:pPr>
      <w:r>
        <w:t>（二）</w:t>
      </w:r>
      <w:r>
        <w:rPr>
          <w:spacing w:val="-2"/>
        </w:rPr>
        <w:t>焊工素质的审查</w:t>
      </w:r>
    </w:p>
    <w:p>
      <w:pPr>
        <w:pStyle w:val="BodyText"/>
      </w:pPr>
      <w:r>
        <w:t>（三）</w:t>
      </w:r>
      <w:r>
        <w:rPr>
          <w:spacing w:val="-1"/>
        </w:rPr>
        <w:t>图纸会审及技术准备。</w:t>
      </w:r>
    </w:p>
    <w:p>
      <w:pPr>
        <w:pStyle w:val="BodyText"/>
        <w:spacing w:before="133"/>
      </w:pPr>
      <w:r>
        <w:t>（四）</w:t>
      </w:r>
      <w:r>
        <w:rPr>
          <w:spacing w:val="-1"/>
        </w:rPr>
        <w:t>施工组织设计方案审查</w:t>
      </w:r>
    </w:p>
    <w:p>
      <w:pPr>
        <w:pStyle w:val="BodyText"/>
      </w:pPr>
      <w:r>
        <w:t>（五）</w:t>
      </w:r>
      <w:r>
        <w:rPr>
          <w:spacing w:val="-5"/>
        </w:rPr>
        <w:t>例会</w:t>
      </w:r>
    </w:p>
    <w:p>
      <w:pPr>
        <w:pStyle w:val="BodyText"/>
        <w:spacing w:before="133"/>
        <w:ind w:left="221"/>
      </w:pPr>
      <w:r>
        <w:t>五、钢结构分部（子分部）</w:t>
      </w:r>
      <w:r>
        <w:rPr>
          <w:spacing w:val="-1"/>
        </w:rPr>
        <w:t>工程质量监理要素及手段</w:t>
      </w:r>
    </w:p>
    <w:p>
      <w:pPr>
        <w:pStyle w:val="BodyText"/>
      </w:pPr>
      <w:r>
        <w:t>（一）</w:t>
      </w:r>
      <w:r>
        <w:rPr>
          <w:spacing w:val="-2"/>
        </w:rPr>
        <w:t>施工管理质量监理</w:t>
      </w:r>
    </w:p>
    <w:p>
      <w:pPr>
        <w:pStyle w:val="BodyText"/>
        <w:spacing w:before="133"/>
      </w:pPr>
      <w:r>
        <w:t>（二）</w:t>
      </w:r>
      <w:r>
        <w:rPr>
          <w:spacing w:val="-2"/>
        </w:rPr>
        <w:t>质量要素监理</w:t>
      </w:r>
    </w:p>
    <w:p>
      <w:pPr>
        <w:pStyle w:val="BodyText"/>
        <w:ind w:left="221"/>
      </w:pPr>
      <w:r>
        <w:t>六、钢结构分部（子分部）</w:t>
      </w:r>
      <w:r>
        <w:rPr>
          <w:spacing w:val="-1"/>
        </w:rPr>
        <w:t>工程工艺过程质量监理控制点和控制方法</w:t>
      </w:r>
    </w:p>
    <w:p>
      <w:pPr>
        <w:pStyle w:val="BodyText"/>
        <w:spacing w:before="133"/>
        <w:ind w:left="221"/>
      </w:pPr>
      <w:r>
        <w:t>（一）</w:t>
      </w:r>
      <w:r>
        <w:rPr>
          <w:spacing w:val="-1"/>
        </w:rPr>
        <w:t>原材料及成品进场验收</w:t>
      </w:r>
    </w:p>
    <w:p>
      <w:pPr>
        <w:pStyle w:val="BodyText"/>
        <w:ind w:left="221"/>
      </w:pPr>
      <w:r>
        <w:t>（二）</w:t>
      </w:r>
      <w:r>
        <w:rPr>
          <w:spacing w:val="-2"/>
        </w:rPr>
        <w:t>钢结构焊接工程</w:t>
      </w:r>
    </w:p>
    <w:p>
      <w:pPr>
        <w:pStyle w:val="BodyText"/>
        <w:spacing w:before="133"/>
        <w:ind w:left="221"/>
      </w:pPr>
      <w:r>
        <w:t>（三）</w:t>
      </w:r>
      <w:r>
        <w:rPr>
          <w:spacing w:val="-2"/>
        </w:rPr>
        <w:t>紧固件连接</w:t>
      </w:r>
    </w:p>
    <w:p>
      <w:pPr>
        <w:pStyle w:val="BodyText"/>
        <w:ind w:left="221"/>
      </w:pPr>
      <w:r>
        <w:t>（四）</w:t>
      </w:r>
      <w:r>
        <w:rPr>
          <w:spacing w:val="-2"/>
        </w:rPr>
        <w:t>钢结构零部件加工</w:t>
      </w:r>
    </w:p>
    <w:p>
      <w:pPr>
        <w:pStyle w:val="BodyText"/>
        <w:spacing w:before="133"/>
        <w:ind w:left="221"/>
      </w:pPr>
      <w:r>
        <w:t>（五）</w:t>
      </w:r>
      <w:r>
        <w:rPr>
          <w:spacing w:val="-1"/>
        </w:rPr>
        <w:t>钢构件组装和预拼装工程</w:t>
      </w:r>
    </w:p>
    <w:p>
      <w:pPr>
        <w:pStyle w:val="BodyText"/>
        <w:ind w:left="221"/>
      </w:pPr>
      <w:r>
        <w:t>（六）</w:t>
      </w:r>
      <w:r>
        <w:rPr>
          <w:spacing w:val="-2"/>
        </w:rPr>
        <w:t>钢结构安装工程</w:t>
      </w:r>
    </w:p>
    <w:p>
      <w:pPr>
        <w:pStyle w:val="BodyText"/>
        <w:spacing w:before="133"/>
        <w:ind w:left="221"/>
      </w:pPr>
      <w:r>
        <w:t>（七）</w:t>
      </w:r>
      <w:r>
        <w:rPr>
          <w:spacing w:val="-2"/>
        </w:rPr>
        <w:t>钢结构涂装工程</w:t>
      </w:r>
    </w:p>
    <w:p>
      <w:pPr>
        <w:pStyle w:val="BodyText"/>
        <w:spacing w:before="20" w:line="440" w:lineRule="exact"/>
        <w:ind w:left="221" w:right="3401"/>
        <w:jc w:val="both"/>
      </w:pPr>
      <w:r>
        <w:rPr>
          <w:spacing w:val="-2"/>
        </w:rPr>
        <w:t>七、钢结构分部（子分部）工程进度监理控制方法和措施</w:t>
      </w:r>
      <w:r>
        <w:rPr>
          <w:spacing w:val="-2"/>
        </w:rPr>
        <w:t>八、钢结构分部（子分部）工程造价监理控制方法和措施</w:t>
      </w:r>
      <w:r>
        <w:t>九、钢结构分部</w:t>
      </w:r>
      <w:r>
        <w:rPr>
          <w:rFonts w:ascii="Microsoft JhengHei" w:eastAsia="Microsoft JhengHei"/>
          <w:b/>
        </w:rPr>
        <w:t>（</w:t>
      </w:r>
      <w:r>
        <w:t>子分部</w:t>
      </w:r>
      <w:r>
        <w:rPr>
          <w:rFonts w:ascii="Microsoft JhengHei" w:eastAsia="Microsoft JhengHei"/>
          <w:b/>
        </w:rPr>
        <w:t>）</w:t>
      </w:r>
      <w:r>
        <w:rPr>
          <w:spacing w:val="-1"/>
        </w:rPr>
        <w:t>工程的检验和见证检测项目表</w:t>
      </w:r>
    </w:p>
    <w:p>
      <w:pPr>
        <w:spacing w:after="0" w:line="440" w:lineRule="exact"/>
        <w:jc w:val="both"/>
        <w:sectPr>
          <w:footerReference w:type="default" r:id="rId4"/>
          <w:pgSz w:w="11910" w:h="16840"/>
          <w:pgMar w:top="1900" w:right="800" w:bottom="1180" w:left="1480" w:header="0" w:footer="990"/>
          <w:pgNumType w:start="1"/>
          <w:cols w:space="708"/>
        </w:sectPr>
      </w:pPr>
    </w:p>
    <w:p>
      <w:pPr>
        <w:pStyle w:val="BodyText"/>
        <w:spacing w:before="52"/>
        <w:ind w:left="221"/>
      </w:pPr>
      <w:r>
        <w:t>十、钢结构分部（子分部）</w:t>
      </w:r>
      <w:r>
        <w:rPr>
          <w:spacing w:val="-2"/>
        </w:rPr>
        <w:t>工程竣工验收的监理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  <w:rPr>
          <w:sz w:val="31"/>
        </w:rPr>
      </w:pPr>
    </w:p>
    <w:p>
      <w:pPr>
        <w:pStyle w:val="Heading2"/>
        <w:ind w:left="0" w:right="112"/>
        <w:jc w:val="center"/>
      </w:pPr>
      <w:r>
        <w:t>钢结构分部（子分部）</w:t>
      </w:r>
      <w:r>
        <w:rPr>
          <w:spacing w:val="-2"/>
        </w:rPr>
        <w:t>工程监理实施细则</w:t>
      </w:r>
    </w:p>
    <w:p>
      <w:pPr>
        <w:pStyle w:val="BodyText"/>
        <w:spacing w:before="4"/>
        <w:ind w:left="0"/>
        <w:rPr>
          <w:rFonts w:ascii="Microsoft JhengHei"/>
          <w:b/>
          <w:sz w:val="2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50pt;height:101.4pt;margin-top:28.5pt;margin-left:85.05pt;mso-position-horizontal-relative:page;mso-wrap-distance-left:0;mso-wrap-distance-right:0;position:absolute;z-index:-251658240" filled="f" stroked="t" strokecolor="black" strokeweight="0.75pt">
            <v:stroke dashstyle="solid"/>
            <v:textbox inset="0,0,0,0">
              <w:txbxContent>
                <w:p>
                  <w:pPr>
                    <w:pStyle w:val="BodyText"/>
                    <w:spacing w:before="11"/>
                    <w:ind w:left="0"/>
                    <w:rPr>
                      <w:rFonts w:ascii="Microsoft JhengHei"/>
                      <w:b/>
                      <w:sz w:val="11"/>
                    </w:rPr>
                  </w:pPr>
                </w:p>
                <w:p>
                  <w:pPr>
                    <w:spacing w:before="0"/>
                    <w:ind w:left="563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FF0000"/>
                      <w:spacing w:val="-1"/>
                      <w:sz w:val="21"/>
                    </w:rPr>
                    <w:t>请选择性阐述本段文字：</w:t>
                  </w:r>
                </w:p>
                <w:p>
                  <w:pPr>
                    <w:spacing w:before="171" w:line="393" w:lineRule="auto"/>
                    <w:ind w:left="143" w:right="142" w:firstLine="420"/>
                    <w:jc w:val="both"/>
                    <w:rPr>
                      <w:sz w:val="21"/>
                    </w:rPr>
                  </w:pPr>
                  <w:r>
                    <w:rPr>
                      <w:spacing w:val="-2"/>
                      <w:sz w:val="21"/>
                    </w:rPr>
                    <w:t>本工程钢结构分部（子分部）工程包括钢结构焊接、紧固件连接、钢零部件加工、单层钢</w:t>
                  </w:r>
                  <w:r>
                    <w:rPr>
                      <w:spacing w:val="-2"/>
                      <w:sz w:val="21"/>
                    </w:rPr>
                    <w:t>结构安装、多层及高层钢结构安装、钢结构涂装、钢构件组装、钢构件预拼装、钢网架结构安</w:t>
                  </w:r>
                  <w:r>
                    <w:rPr>
                      <w:spacing w:val="-2"/>
                      <w:sz w:val="21"/>
                    </w:rPr>
                    <w:t>装、压型金属板等分项内容。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ind w:left="0"/>
        <w:rPr>
          <w:rFonts w:ascii="Microsoft JhengHei"/>
          <w:b/>
          <w:sz w:val="22"/>
        </w:rPr>
      </w:pPr>
    </w:p>
    <w:p>
      <w:pPr>
        <w:spacing w:before="0"/>
        <w:ind w:left="221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一、工程概况</w:t>
      </w:r>
    </w:p>
    <w:p>
      <w:pPr>
        <w:pStyle w:val="BodyText"/>
        <w:spacing w:before="57"/>
      </w:pPr>
      <w:r>
        <w:t>1</w:t>
      </w:r>
      <w:r>
        <w:rPr>
          <w:spacing w:val="-2"/>
        </w:rPr>
        <w:t>、项目名称：</w:t>
      </w:r>
    </w:p>
    <w:p>
      <w:pPr>
        <w:pStyle w:val="BodyText"/>
        <w:spacing w:before="133"/>
      </w:pPr>
      <w:r>
        <w:t>2</w:t>
      </w:r>
      <w:r>
        <w:rPr>
          <w:spacing w:val="-2"/>
        </w:rPr>
        <w:t>、建设单位：</w:t>
      </w:r>
    </w:p>
    <w:p>
      <w:pPr>
        <w:pStyle w:val="BodyText"/>
      </w:pPr>
      <w:r>
        <w:t>3</w:t>
      </w:r>
      <w:r>
        <w:rPr>
          <w:spacing w:val="-2"/>
        </w:rPr>
        <w:t>、设计单位：</w:t>
      </w:r>
    </w:p>
    <w:p>
      <w:pPr>
        <w:pStyle w:val="BodyText"/>
        <w:spacing w:before="133"/>
      </w:pPr>
      <w:r>
        <w:t>4</w:t>
      </w:r>
      <w:r>
        <w:rPr>
          <w:spacing w:val="-2"/>
        </w:rPr>
        <w:t>、总承包单位：</w:t>
      </w:r>
    </w:p>
    <w:p>
      <w:pPr>
        <w:pStyle w:val="BodyText"/>
      </w:pPr>
      <w:r>
        <w:t>5、钢结构分部（子分部）</w:t>
      </w:r>
      <w:r>
        <w:rPr>
          <w:spacing w:val="-2"/>
        </w:rPr>
        <w:t>工程分包单位：</w:t>
      </w:r>
    </w:p>
    <w:p>
      <w:pPr>
        <w:pStyle w:val="BodyText"/>
        <w:spacing w:before="133"/>
      </w:pPr>
      <w:r>
        <w:t>6</w:t>
      </w:r>
      <w:r>
        <w:rPr>
          <w:spacing w:val="-2"/>
        </w:rPr>
        <w:t>、建设地点：</w:t>
      </w:r>
    </w:p>
    <w:p>
      <w:pPr>
        <w:pStyle w:val="BodyText"/>
        <w:spacing w:line="343" w:lineRule="auto"/>
        <w:ind w:left="221" w:right="331" w:firstLine="480"/>
      </w:pPr>
      <w:r>
        <w:rPr>
          <w:spacing w:val="-2"/>
        </w:rPr>
        <w:t>7</w:t>
      </w:r>
      <w:r>
        <w:rPr>
          <w:spacing w:val="-9"/>
        </w:rPr>
        <w:t xml:space="preserve">、建筑规模： </w:t>
      </w:r>
      <w:r>
        <w:rPr>
          <w:color w:val="FF0000"/>
          <w:spacing w:val="-16"/>
        </w:rPr>
        <w:t>项目是一座高为 米，地下共 层，地上共 层，建筑面积 平方米的建</w:t>
      </w:r>
      <w:r>
        <w:rPr>
          <w:color w:val="FF0000"/>
          <w:spacing w:val="-2"/>
        </w:rPr>
        <w:t>筑、构筑物。</w:t>
      </w:r>
    </w:p>
    <w:p>
      <w:pPr>
        <w:pStyle w:val="BodyText"/>
        <w:spacing w:before="1"/>
      </w:pPr>
      <w:r>
        <w:t>8、计划钢结构分部（子分部）</w:t>
      </w:r>
      <w:r>
        <w:rPr>
          <w:spacing w:val="-2"/>
        </w:rPr>
        <w:t>工程投资：</w:t>
      </w:r>
    </w:p>
    <w:p>
      <w:pPr>
        <w:pStyle w:val="BodyText"/>
      </w:pPr>
      <w:r>
        <w:t>9、计划钢结构分部（子分部）</w:t>
      </w:r>
      <w:r>
        <w:rPr>
          <w:spacing w:val="-1"/>
        </w:rPr>
        <w:t>开工工期： 年 月 日</w:t>
      </w:r>
    </w:p>
    <w:p>
      <w:pPr>
        <w:pStyle w:val="BodyText"/>
        <w:spacing w:before="133"/>
      </w:pPr>
      <w:r>
        <w:t>10、计划钢结构分部（子分部）</w:t>
      </w:r>
      <w:r>
        <w:rPr>
          <w:spacing w:val="-1"/>
        </w:rPr>
        <w:t>工程完工日期： 年 月 日</w:t>
      </w:r>
    </w:p>
    <w:p>
      <w:pPr>
        <w:pStyle w:val="BodyText"/>
      </w:pPr>
      <w:r>
        <w:t>11、工程钢结构分部（子分部）</w:t>
      </w:r>
      <w:r>
        <w:rPr>
          <w:spacing w:val="-2"/>
        </w:rPr>
        <w:t>工程总工期： 个月</w:t>
      </w:r>
    </w:p>
    <w:p>
      <w:pPr>
        <w:pStyle w:val="BodyText"/>
        <w:spacing w:before="133"/>
      </w:pPr>
      <w:r>
        <w:t>12、相关钢结构分部（子分部）</w:t>
      </w:r>
      <w:r>
        <w:rPr>
          <w:spacing w:val="-2"/>
        </w:rPr>
        <w:t>工程施工方案：</w:t>
      </w:r>
    </w:p>
    <w:p>
      <w:pPr>
        <w:pStyle w:val="BodyText"/>
        <w:spacing w:line="343" w:lineRule="auto"/>
        <w:ind w:left="221" w:right="211" w:firstLine="480"/>
        <w:jc w:val="both"/>
      </w:pPr>
      <w:r>
        <w:rPr>
          <w:spacing w:val="-4"/>
        </w:rPr>
        <w:t>13</w:t>
      </w:r>
      <w:r>
        <w:rPr>
          <w:spacing w:val="-9"/>
        </w:rPr>
        <w:t>、专业监理范围 ： 钢结构分部</w:t>
      </w:r>
      <w:r>
        <w:rPr>
          <w:spacing w:val="-4"/>
        </w:rPr>
        <w:t>（子分部）工程加工、制作、安装等工程的监理、</w:t>
      </w:r>
      <w:r>
        <w:rPr>
          <w:spacing w:val="-3"/>
        </w:rPr>
        <w:t>工程量审查与结算； 施工阶段的质量、进度、投资监理控制，并做好合同和信息管理；</w:t>
      </w:r>
      <w:r>
        <w:rPr>
          <w:spacing w:val="-2"/>
        </w:rPr>
        <w:t>搞好协调、配合工作；监督施工单位安全生产文明施工。</w:t>
      </w:r>
    </w:p>
    <w:p>
      <w:pPr>
        <w:pStyle w:val="BodyText"/>
        <w:spacing w:before="1"/>
        <w:ind w:left="0"/>
      </w:pPr>
    </w:p>
    <w:p>
      <w:pPr>
        <w:pStyle w:val="Heading2"/>
      </w:pPr>
      <w:r>
        <w:t>二、钢结构分部（子分部）</w:t>
      </w:r>
      <w:r>
        <w:rPr>
          <w:spacing w:val="-1"/>
        </w:rPr>
        <w:t>工程监理实施编制依据</w:t>
      </w:r>
    </w:p>
    <w:p>
      <w:pPr>
        <w:spacing w:after="0"/>
        <w:sectPr>
          <w:footerReference w:type="default" r:id="rId5"/>
          <w:pgSz w:w="11910" w:h="16840"/>
          <w:pgMar w:top="1460" w:right="800" w:bottom="1180" w:left="1480" w:header="0" w:footer="990"/>
          <w:pgNumType w:start="2"/>
          <w:cols w:space="708"/>
        </w:sectPr>
      </w:pPr>
    </w:p>
    <w:p>
      <w:pPr>
        <w:pStyle w:val="ListParagraph"/>
        <w:numPr>
          <w:ilvl w:val="0"/>
          <w:numId w:val="66"/>
        </w:numPr>
        <w:tabs>
          <w:tab w:val="left" w:pos="942"/>
        </w:tabs>
        <w:spacing w:before="52" w:after="0" w:line="240" w:lineRule="auto"/>
        <w:ind w:left="942" w:right="0" w:hanging="241"/>
        <w:jc w:val="left"/>
        <w:rPr>
          <w:sz w:val="24"/>
        </w:rPr>
      </w:pPr>
      <w:r>
        <w:rPr>
          <w:sz w:val="24"/>
        </w:rPr>
        <w:t>《建设工程监理规范》（GB50319-</w:t>
      </w:r>
      <w:r>
        <w:rPr>
          <w:spacing w:val="-2"/>
          <w:sz w:val="24"/>
        </w:rPr>
        <w:t>2000）；</w:t>
      </w:r>
    </w:p>
    <w:p>
      <w:pPr>
        <w:pStyle w:val="ListParagraph"/>
        <w:numPr>
          <w:ilvl w:val="0"/>
          <w:numId w:val="66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8"/>
          <w:sz w:val="24"/>
        </w:rPr>
        <w:t>《建筑工程施工质量验收统一标准》</w:t>
      </w:r>
      <w:r>
        <w:rPr>
          <w:spacing w:val="6"/>
          <w:sz w:val="24"/>
        </w:rPr>
        <w:t>（GB50300－2001</w:t>
      </w:r>
      <w:r>
        <w:rPr>
          <w:spacing w:val="-114"/>
          <w:sz w:val="24"/>
        </w:rPr>
        <w:t>）</w:t>
      </w:r>
      <w:r>
        <w:rPr>
          <w:spacing w:val="6"/>
          <w:sz w:val="24"/>
        </w:rPr>
        <w:t>；</w:t>
      </w:r>
    </w:p>
    <w:p>
      <w:pPr>
        <w:pStyle w:val="ListParagraph"/>
        <w:numPr>
          <w:ilvl w:val="0"/>
          <w:numId w:val="66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8"/>
          <w:sz w:val="24"/>
        </w:rPr>
        <w:t>《钢结构工程施工质量验收规范》</w:t>
      </w:r>
      <w:r>
        <w:rPr>
          <w:sz w:val="24"/>
        </w:rPr>
        <w:t>（GB50205-</w:t>
      </w:r>
      <w:r>
        <w:rPr>
          <w:spacing w:val="18"/>
          <w:sz w:val="24"/>
        </w:rPr>
        <w:t>2001</w:t>
      </w:r>
      <w:r>
        <w:rPr>
          <w:spacing w:val="-102"/>
          <w:sz w:val="24"/>
        </w:rPr>
        <w:t>）</w:t>
      </w:r>
      <w:r>
        <w:rPr>
          <w:spacing w:val="18"/>
          <w:sz w:val="24"/>
        </w:rPr>
        <w:t>；</w:t>
      </w:r>
    </w:p>
    <w:p>
      <w:pPr>
        <w:pStyle w:val="ListParagraph"/>
        <w:numPr>
          <w:ilvl w:val="0"/>
          <w:numId w:val="66"/>
        </w:numPr>
        <w:tabs>
          <w:tab w:val="left" w:pos="942"/>
        </w:tabs>
        <w:spacing w:before="132" w:after="0" w:line="240" w:lineRule="auto"/>
        <w:ind w:left="942" w:right="0" w:hanging="241"/>
        <w:jc w:val="left"/>
        <w:rPr>
          <w:sz w:val="24"/>
        </w:rPr>
      </w:pPr>
      <w:r>
        <w:rPr>
          <w:spacing w:val="-14"/>
          <w:sz w:val="24"/>
        </w:rPr>
        <w:t>《钢结构设计规范》</w:t>
      </w:r>
      <w:r>
        <w:rPr>
          <w:sz w:val="24"/>
        </w:rPr>
        <w:t>（GB50017-</w:t>
      </w:r>
      <w:r>
        <w:rPr>
          <w:spacing w:val="18"/>
          <w:sz w:val="24"/>
        </w:rPr>
        <w:t>2003</w:t>
      </w:r>
      <w:r>
        <w:rPr>
          <w:spacing w:val="-102"/>
          <w:sz w:val="24"/>
        </w:rPr>
        <w:t>）</w:t>
      </w:r>
      <w:r>
        <w:rPr>
          <w:spacing w:val="18"/>
          <w:sz w:val="24"/>
        </w:rPr>
        <w:t>；</w:t>
      </w:r>
    </w:p>
    <w:p>
      <w:pPr>
        <w:pStyle w:val="ListParagraph"/>
        <w:numPr>
          <w:ilvl w:val="0"/>
          <w:numId w:val="66"/>
        </w:numPr>
        <w:tabs>
          <w:tab w:val="left" w:pos="942"/>
        </w:tabs>
        <w:spacing w:before="133" w:after="0" w:line="240" w:lineRule="auto"/>
        <w:ind w:left="942" w:right="0" w:hanging="241"/>
        <w:jc w:val="left"/>
        <w:rPr>
          <w:sz w:val="24"/>
        </w:rPr>
      </w:pPr>
      <w:r>
        <w:rPr>
          <w:spacing w:val="-10"/>
          <w:sz w:val="24"/>
        </w:rPr>
        <w:t>《建筑钢结构焊接技术规程》</w:t>
      </w:r>
      <w:r>
        <w:rPr>
          <w:sz w:val="24"/>
        </w:rPr>
        <w:t>（JGJ81-</w:t>
      </w:r>
      <w:r>
        <w:rPr>
          <w:spacing w:val="18"/>
          <w:sz w:val="24"/>
        </w:rPr>
        <w:t>2002</w:t>
      </w:r>
      <w:r>
        <w:rPr>
          <w:spacing w:val="-102"/>
          <w:sz w:val="24"/>
        </w:rPr>
        <w:t>）</w:t>
      </w:r>
      <w:r>
        <w:rPr>
          <w:spacing w:val="18"/>
          <w:sz w:val="24"/>
        </w:rPr>
        <w:t>；</w:t>
      </w:r>
    </w:p>
    <w:p>
      <w:pPr>
        <w:pStyle w:val="ListParagraph"/>
        <w:numPr>
          <w:ilvl w:val="0"/>
          <w:numId w:val="66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5"/>
          <w:sz w:val="24"/>
        </w:rPr>
        <w:t>《中华人民共和国工程建设标准强制性条文-房屋建筑部分》</w:t>
      </w:r>
      <w:r>
        <w:rPr>
          <w:sz w:val="24"/>
        </w:rPr>
        <w:t>（2002</w:t>
      </w:r>
      <w:r>
        <w:rPr>
          <w:spacing w:val="-20"/>
          <w:sz w:val="24"/>
        </w:rPr>
        <w:t xml:space="preserve"> 年版</w:t>
      </w:r>
      <w:r>
        <w:rPr>
          <w:spacing w:val="-125"/>
          <w:sz w:val="24"/>
        </w:rPr>
        <w:t>）</w:t>
      </w:r>
      <w:r>
        <w:rPr>
          <w:spacing w:val="-5"/>
          <w:sz w:val="24"/>
        </w:rPr>
        <w:t>；</w:t>
      </w:r>
    </w:p>
    <w:p>
      <w:pPr>
        <w:pStyle w:val="ListParagraph"/>
        <w:numPr>
          <w:ilvl w:val="0"/>
          <w:numId w:val="66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12"/>
          <w:sz w:val="24"/>
        </w:rPr>
        <w:t>《建筑抗震设计规范》</w:t>
      </w:r>
      <w:r>
        <w:rPr>
          <w:spacing w:val="6"/>
          <w:sz w:val="24"/>
        </w:rPr>
        <w:t>（GB50011－2001</w:t>
      </w:r>
      <w:r>
        <w:rPr>
          <w:spacing w:val="-114"/>
          <w:sz w:val="24"/>
        </w:rPr>
        <w:t>）</w:t>
      </w:r>
      <w:r>
        <w:rPr>
          <w:spacing w:val="6"/>
          <w:sz w:val="24"/>
        </w:rPr>
        <w:t>；</w:t>
      </w:r>
    </w:p>
    <w:p>
      <w:pPr>
        <w:pStyle w:val="ListParagraph"/>
        <w:numPr>
          <w:ilvl w:val="0"/>
          <w:numId w:val="66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1"/>
          <w:sz w:val="24"/>
        </w:rPr>
        <w:t>该工程钢结构施工图纸、设计文件及技术资料；</w:t>
      </w:r>
    </w:p>
    <w:p>
      <w:pPr>
        <w:pStyle w:val="ListParagraph"/>
        <w:numPr>
          <w:ilvl w:val="0"/>
          <w:numId w:val="66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1"/>
          <w:sz w:val="24"/>
        </w:rPr>
        <w:t>该工程有关合同、文件；</w:t>
      </w:r>
    </w:p>
    <w:p>
      <w:pPr>
        <w:pStyle w:val="ListParagraph"/>
        <w:numPr>
          <w:ilvl w:val="0"/>
          <w:numId w:val="66"/>
        </w:numPr>
        <w:tabs>
          <w:tab w:val="left" w:pos="1182"/>
        </w:tabs>
        <w:spacing w:before="132" w:after="0" w:line="240" w:lineRule="auto"/>
        <w:ind w:left="1182" w:right="0" w:hanging="481"/>
        <w:jc w:val="left"/>
        <w:rPr>
          <w:sz w:val="24"/>
        </w:rPr>
      </w:pPr>
      <w:r>
        <w:rPr>
          <w:spacing w:val="-1"/>
          <w:sz w:val="24"/>
        </w:rPr>
        <w:t>经审批的钢结构工程施工组织设计；</w:t>
      </w:r>
    </w:p>
    <w:p>
      <w:pPr>
        <w:pStyle w:val="ListParagraph"/>
        <w:numPr>
          <w:ilvl w:val="0"/>
          <w:numId w:val="66"/>
        </w:numPr>
        <w:tabs>
          <w:tab w:val="left" w:pos="1182"/>
        </w:tabs>
        <w:spacing w:before="133" w:after="0" w:line="240" w:lineRule="auto"/>
        <w:ind w:left="1182" w:right="0" w:hanging="481"/>
        <w:jc w:val="left"/>
        <w:rPr>
          <w:sz w:val="24"/>
        </w:rPr>
      </w:pPr>
      <w:r>
        <w:rPr>
          <w:spacing w:val="-10"/>
          <w:sz w:val="24"/>
        </w:rPr>
        <w:t>经批准的本工程《监理规划》。</w:t>
      </w:r>
    </w:p>
    <w:p>
      <w:pPr>
        <w:pStyle w:val="BodyText"/>
        <w:spacing w:before="4"/>
        <w:ind w:left="0"/>
        <w:rPr>
          <w:sz w:val="34"/>
        </w:rPr>
      </w:pPr>
    </w:p>
    <w:p>
      <w:pPr>
        <w:pStyle w:val="Heading2"/>
      </w:pPr>
      <w:r>
        <w:rPr>
          <w:spacing w:val="-1"/>
        </w:rPr>
        <w:t>三、监理工作内容以及工作流程图</w:t>
      </w:r>
    </w:p>
    <w:p>
      <w:pPr>
        <w:pStyle w:val="BodyText"/>
        <w:spacing w:before="58"/>
      </w:pPr>
      <w:r>
        <w:t>（一）</w:t>
      </w:r>
      <w:r>
        <w:rPr>
          <w:spacing w:val="-2"/>
        </w:rPr>
        <w:t>监理工作内容</w:t>
      </w:r>
    </w:p>
    <w:p>
      <w:pPr>
        <w:pStyle w:val="ListParagraph"/>
        <w:numPr>
          <w:ilvl w:val="0"/>
          <w:numId w:val="65"/>
        </w:numPr>
        <w:tabs>
          <w:tab w:val="left" w:pos="1001"/>
        </w:tabs>
        <w:spacing w:before="132" w:after="0" w:line="343" w:lineRule="auto"/>
        <w:ind w:left="221" w:right="284" w:firstLine="480"/>
        <w:jc w:val="both"/>
        <w:rPr>
          <w:sz w:val="24"/>
        </w:rPr>
      </w:pPr>
      <w:r>
        <w:rPr>
          <w:spacing w:val="-6"/>
          <w:sz w:val="24"/>
        </w:rPr>
        <w:t>钢结构专业监理工程师是在项目总监理领导下的专业监理责任人，也是项目总监</w:t>
      </w:r>
      <w:r>
        <w:rPr>
          <w:spacing w:val="-2"/>
          <w:sz w:val="24"/>
        </w:rPr>
        <w:t>的助手，每周监理例会时，提出现场施工进度、质量、安全等出现的问题和处理方案，</w:t>
      </w:r>
      <w:r>
        <w:rPr>
          <w:spacing w:val="-2"/>
          <w:sz w:val="24"/>
        </w:rPr>
        <w:t>为总监理提供每周报表的资料。</w:t>
      </w:r>
    </w:p>
    <w:p>
      <w:pPr>
        <w:pStyle w:val="ListParagraph"/>
        <w:numPr>
          <w:ilvl w:val="0"/>
          <w:numId w:val="65"/>
        </w:numPr>
        <w:tabs>
          <w:tab w:val="left" w:pos="1001"/>
        </w:tabs>
        <w:spacing w:before="1" w:after="0" w:line="343" w:lineRule="auto"/>
        <w:ind w:left="221" w:right="331" w:firstLine="480"/>
        <w:jc w:val="both"/>
        <w:rPr>
          <w:sz w:val="24"/>
        </w:rPr>
      </w:pPr>
      <w:r>
        <w:rPr>
          <w:spacing w:val="-6"/>
          <w:sz w:val="24"/>
        </w:rPr>
        <w:t>钢结构专业监理工程师对钢结构施工承包人进行工程进度的控制，对工程质量进</w:t>
      </w:r>
      <w:r>
        <w:rPr>
          <w:spacing w:val="-2"/>
          <w:sz w:val="24"/>
        </w:rPr>
        <w:t>行监督、检查，对施工安全进行督促，如发现有违章违规现象，首先口头提出，不改者</w:t>
      </w:r>
      <w:r>
        <w:rPr>
          <w:spacing w:val="-2"/>
          <w:sz w:val="24"/>
        </w:rPr>
        <w:t>再进行函件警告（监理通知）。对可能发生质量事故、人身安全等问题，应检查钢结构</w:t>
      </w:r>
      <w:r>
        <w:rPr>
          <w:spacing w:val="-2"/>
          <w:sz w:val="24"/>
        </w:rPr>
        <w:t>施工承包人的预控方案和措施，发生时及时报告总监向施工承包人发出整改通知或停工</w:t>
      </w:r>
      <w:r>
        <w:rPr>
          <w:spacing w:val="-2"/>
          <w:sz w:val="24"/>
        </w:rPr>
        <w:t>令，整改完毕经检查达到要求后方可发出继续施工或复工令。</w:t>
      </w:r>
    </w:p>
    <w:p>
      <w:pPr>
        <w:pStyle w:val="ListParagraph"/>
        <w:numPr>
          <w:ilvl w:val="0"/>
          <w:numId w:val="65"/>
        </w:numPr>
        <w:tabs>
          <w:tab w:val="left" w:pos="1001"/>
        </w:tabs>
        <w:spacing w:before="1" w:after="0" w:line="343" w:lineRule="auto"/>
        <w:ind w:left="221" w:right="331" w:firstLine="480"/>
        <w:jc w:val="both"/>
        <w:rPr>
          <w:sz w:val="24"/>
        </w:rPr>
      </w:pPr>
      <w:r>
        <w:rPr>
          <w:spacing w:val="-9"/>
          <w:sz w:val="24"/>
        </w:rPr>
        <w:t>钢结构专业监理工程师参加图纸会审，检查钢结构施工图纸与相关专业图纸是否</w:t>
      </w:r>
      <w:r>
        <w:rPr>
          <w:spacing w:val="-2"/>
          <w:sz w:val="24"/>
        </w:rPr>
        <w:t>有关矛盾之处，会同施工单位的阅图意见一起形成会审意见送交总监理工程师、设计及</w:t>
      </w:r>
      <w:r>
        <w:rPr>
          <w:spacing w:val="-2"/>
          <w:sz w:val="24"/>
        </w:rPr>
        <w:t>甲方，并组织图纸会审，经各方共同确认后，与图纸一起使用。</w:t>
      </w:r>
    </w:p>
    <w:p>
      <w:pPr>
        <w:pStyle w:val="ListParagraph"/>
        <w:numPr>
          <w:ilvl w:val="0"/>
          <w:numId w:val="65"/>
        </w:numPr>
        <w:tabs>
          <w:tab w:val="left" w:pos="1001"/>
        </w:tabs>
        <w:spacing w:before="1" w:after="0" w:line="343" w:lineRule="auto"/>
        <w:ind w:left="221" w:right="331" w:firstLine="480"/>
        <w:jc w:val="both"/>
        <w:rPr>
          <w:sz w:val="24"/>
        </w:rPr>
      </w:pPr>
      <w:r>
        <w:rPr>
          <w:spacing w:val="-7"/>
          <w:sz w:val="24"/>
        </w:rPr>
        <w:t>审核钢结构专业承包人的钢结构资质证件，各工种人员的上岗证件、施工组织设</w:t>
      </w:r>
      <w:r>
        <w:rPr>
          <w:spacing w:val="-2"/>
          <w:sz w:val="24"/>
        </w:rPr>
        <w:t>计或方案、开工报告。</w:t>
      </w:r>
    </w:p>
    <w:p>
      <w:pPr>
        <w:pStyle w:val="ListParagraph"/>
        <w:numPr>
          <w:ilvl w:val="0"/>
          <w:numId w:val="65"/>
        </w:numPr>
        <w:tabs>
          <w:tab w:val="left" w:pos="1061"/>
        </w:tabs>
        <w:spacing w:before="1" w:after="0" w:line="240" w:lineRule="auto"/>
        <w:ind w:left="1061" w:right="0" w:hanging="360"/>
        <w:jc w:val="both"/>
        <w:rPr>
          <w:sz w:val="24"/>
        </w:rPr>
      </w:pPr>
      <w:r>
        <w:rPr>
          <w:spacing w:val="-1"/>
          <w:sz w:val="24"/>
        </w:rPr>
        <w:t>对钢结构材料检查验收，并对钢结构材料进行抽样、见证、送检。</w:t>
      </w:r>
    </w:p>
    <w:p>
      <w:pPr>
        <w:pStyle w:val="ListParagraph"/>
        <w:numPr>
          <w:ilvl w:val="0"/>
          <w:numId w:val="65"/>
        </w:numPr>
        <w:tabs>
          <w:tab w:val="left" w:pos="1001"/>
        </w:tabs>
        <w:spacing w:before="132" w:after="0" w:line="343" w:lineRule="auto"/>
        <w:ind w:left="221" w:right="331" w:firstLine="480"/>
        <w:jc w:val="both"/>
        <w:rPr>
          <w:sz w:val="24"/>
        </w:rPr>
      </w:pPr>
      <w:r>
        <w:rPr>
          <w:spacing w:val="-9"/>
          <w:sz w:val="24"/>
        </w:rPr>
        <w:t>检查钢结构工程的轴线与标高，对现场制作零件、予埋件及隐蔽工程施工质量检</w:t>
      </w:r>
      <w:r>
        <w:rPr>
          <w:spacing w:val="-4"/>
          <w:sz w:val="24"/>
        </w:rPr>
        <w:t>查验收。</w:t>
      </w:r>
    </w:p>
    <w:p>
      <w:pPr>
        <w:pStyle w:val="ListParagraph"/>
        <w:numPr>
          <w:ilvl w:val="0"/>
          <w:numId w:val="65"/>
        </w:numPr>
        <w:tabs>
          <w:tab w:val="left" w:pos="1061"/>
        </w:tabs>
        <w:spacing w:before="1" w:after="0" w:line="240" w:lineRule="auto"/>
        <w:ind w:left="1061" w:right="0" w:hanging="360"/>
        <w:jc w:val="both"/>
        <w:rPr>
          <w:sz w:val="24"/>
        </w:rPr>
      </w:pPr>
      <w:r>
        <w:rPr>
          <w:spacing w:val="-1"/>
          <w:sz w:val="24"/>
        </w:rPr>
        <w:t>审核质检资料，对评定分部工程质量等级提出意见。</w:t>
      </w:r>
    </w:p>
    <w:p>
      <w:pPr>
        <w:spacing w:after="0" w:line="240" w:lineRule="auto"/>
        <w:jc w:val="both"/>
        <w:rPr>
          <w:sz w:val="24"/>
        </w:rPr>
        <w:sectPr>
          <w:footerReference w:type="default" r:id="rId6"/>
          <w:pgSz w:w="11910" w:h="16840"/>
          <w:pgMar w:top="1460" w:right="800" w:bottom="1180" w:left="1480" w:header="0" w:footer="990"/>
          <w:pgNumType w:start="3"/>
          <w:cols w:space="708"/>
        </w:sectPr>
      </w:pPr>
    </w:p>
    <w:p>
      <w:pPr>
        <w:pStyle w:val="ListParagraph"/>
        <w:numPr>
          <w:ilvl w:val="0"/>
          <w:numId w:val="65"/>
        </w:numPr>
        <w:tabs>
          <w:tab w:val="left" w:pos="1061"/>
        </w:tabs>
        <w:spacing w:before="52" w:after="0" w:line="240" w:lineRule="auto"/>
        <w:ind w:left="1061" w:right="0" w:hanging="360"/>
        <w:jc w:val="left"/>
        <w:rPr>
          <w:sz w:val="24"/>
        </w:rPr>
      </w:pPr>
      <w:r>
        <w:rPr>
          <w:spacing w:val="-1"/>
          <w:sz w:val="24"/>
        </w:rPr>
        <w:t>整理汇编钢结构专业监理资料和记录，归档。</w:t>
      </w:r>
    </w:p>
    <w:p>
      <w:pPr>
        <w:pStyle w:val="BodyText"/>
      </w:pPr>
      <w:r>
        <w:t>（二）</w:t>
      </w:r>
      <w:r>
        <w:rPr>
          <w:spacing w:val="-2"/>
        </w:rPr>
        <w:t>监理工作流程图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5"/>
        <w:ind w:left="0"/>
        <w:rPr>
          <w:sz w:val="17"/>
        </w:rPr>
      </w:pPr>
    </w:p>
    <w:p>
      <w:pPr>
        <w:pStyle w:val="ListParagraph"/>
        <w:numPr>
          <w:ilvl w:val="0"/>
          <w:numId w:val="64"/>
        </w:numPr>
        <w:tabs>
          <w:tab w:val="left" w:pos="1061"/>
        </w:tabs>
        <w:spacing w:before="0" w:after="0" w:line="240" w:lineRule="auto"/>
        <w:ind w:left="1061" w:right="0" w:hanging="360"/>
        <w:jc w:val="left"/>
        <w:rPr>
          <w:sz w:val="24"/>
        </w:rPr>
      </w:pPr>
      <w:r>
        <w:rPr>
          <w:spacing w:val="-2"/>
          <w:sz w:val="24"/>
        </w:rPr>
        <w:t>施工监理工作程序</w:t>
      </w:r>
    </w:p>
    <w:p>
      <w:pPr>
        <w:pStyle w:val="BodyText"/>
        <w:spacing w:before="3"/>
        <w:ind w:left="0"/>
        <w:rPr>
          <w:sz w:val="11"/>
        </w:rPr>
      </w:pPr>
      <w:r>
        <w:pict>
          <v:group id="_x0000_s1026" style="width:369.75pt;height:531.2pt;margin-top:8.42pt;margin-left:111.68pt;mso-position-horizontal-relative:page;mso-wrap-distance-left:0;mso-wrap-distance-right:0;position:absolute;z-index:-251657216" coordorigin="2234,168" coordsize="7395,10624">
            <v:rect id="_x0000_s1027" style="width:2160;height:781;left:2601;position:absolute;top:955" filled="f" stroked="t" strokecolor="black" strokeweight="0.75pt">
              <v:stroke dashstyle="solid"/>
            </v:rect>
            <v:shape id="_x0000_s1028" style="width:120;height:121;left:3801;position:absolute;top:835" coordorigin="3802,835" coordsize="120,121" path="m3862,955l3802,836,3922,835,3862,955xe" filled="t" fillcolor="black" stroked="f">
              <v:fill type="solid"/>
              <v:path arrowok="t"/>
            </v:shape>
            <v:line id="_x0000_s1029" style="position:absolute" from="3861,644" to="3862,933" stroked="t" strokecolor="black" strokeweight="0.75pt">
              <v:stroke dashstyle="solid"/>
            </v:line>
            <v:shape id="_x0000_s1030" style="width:120;height:120;left:3801;position:absolute;top:2083" coordorigin="3801,2083" coordsize="120,120" path="m3861,2203l3801,2083,3921,2083,3861,2203xe" filled="t" fillcolor="black" stroked="f">
              <v:fill type="solid"/>
              <v:path arrowok="t"/>
            </v:shape>
            <v:line id="_x0000_s1031" style="position:absolute" from="3861,1736" to="3861,2181" stroked="t" strokecolor="black" strokeweight="0.75pt">
              <v:stroke dashstyle="solid"/>
            </v:line>
            <v:shape id="_x0000_s1032" style="width:120;height:120;left:3861;position:absolute;top:1832" coordorigin="3861,1832" coordsize="120,120" path="m3981,1952l3861,1892,3981,1832,3981,1952xe" filled="t" fillcolor="black" stroked="f">
              <v:fill type="solid"/>
              <v:path arrowok="t"/>
            </v:shape>
            <v:line id="_x0000_s1033" style="position:absolute" from="6741,1892" to="3884,1892" stroked="t" strokecolor="black" strokeweight="0.75pt">
              <v:stroke dashstyle="solid"/>
            </v:line>
            <v:shape id="_x0000_s1034" type="#_x0000_t202" style="width:4148;height:1567;left:2593;position:absolute;top:636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0"/>
                      </w:rPr>
                    </w:pPr>
                  </w:p>
                  <w:p>
                    <w:pPr>
                      <w:spacing w:before="155" w:line="249" w:lineRule="auto"/>
                      <w:ind w:left="158" w:right="2306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组织项目监理机构</w:t>
                    </w:r>
                    <w:r>
                      <w:rPr>
                        <w:spacing w:val="-2"/>
                        <w:sz w:val="21"/>
                      </w:rPr>
                      <w:t>进行监理准备工作</w:t>
                    </w:r>
                  </w:p>
                </w:txbxContent>
              </v:textbox>
            </v:shape>
            <v:shape id="_x0000_s1035" type="#_x0000_t202" style="width:2880;height:779;left:6741;position:absolute;top:157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86" w:line="249" w:lineRule="auto"/>
                      <w:ind w:left="144" w:right="-15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协助建设单位组织施工招标、</w:t>
                    </w:r>
                    <w:r>
                      <w:rPr>
                        <w:spacing w:val="-2"/>
                        <w:sz w:val="21"/>
                      </w:rPr>
                      <w:t>评标和优选中标单位</w:t>
                    </w:r>
                  </w:p>
                </w:txbxContent>
              </v:textbox>
            </v:shape>
            <v:shape id="_x0000_s1036" type="#_x0000_t202" style="width:1620;height:469;left:2961;position:absolute;top:17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54"/>
                      <w:ind w:left="1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签订监理合同</w:t>
                    </w:r>
                  </w:p>
                </w:txbxContent>
              </v:textbox>
            </v:shape>
            <v:shape id="_x0000_s1037" style="width:120;height:120;left:3801;position:absolute;top:2864" coordorigin="3801,2864" coordsize="120,120" path="m3861,2984l3801,2864,3921,2864,3861,2984xe" filled="t" fillcolor="black" stroked="f">
              <v:fill type="solid"/>
              <v:path arrowok="t"/>
            </v:shape>
            <v:line id="_x0000_s1038" style="position:absolute" from="3861,2672" to="3861,2962" stroked="t" strokecolor="black" strokeweight="0.75pt">
              <v:stroke dashstyle="solid"/>
            </v:line>
            <v:shape id="_x0000_s1039" type="#_x0000_t202" style="width:2340;height:780;left:2601;position:absolute;top:298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86" w:line="249" w:lineRule="auto"/>
                      <w:ind w:left="143" w:right="29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召开第一次工地会议</w:t>
                    </w:r>
                    <w:r>
                      <w:rPr>
                        <w:spacing w:val="-2"/>
                        <w:sz w:val="21"/>
                      </w:rPr>
                      <w:t>施工监理交底会</w:t>
                    </w:r>
                  </w:p>
                </w:txbxContent>
              </v:textbox>
            </v:shape>
            <v:shape id="_x0000_s1040" type="#_x0000_t202" style="width:2340;height:469;left:2601;position:absolute;top:220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施工准备阶段的监理</w:t>
                    </w:r>
                  </w:p>
                </w:txbxContent>
              </v:textbox>
            </v:shape>
            <v:rect id="_x0000_s1041" style="width:2520;height:780;left:2421;position:absolute;top:4075" filled="f" stroked="t" strokecolor="black" strokeweight="0.75pt">
              <v:stroke dashstyle="solid"/>
            </v:rect>
            <v:shape id="_x0000_s1042" style="width:120;height:120;left:3801;position:absolute;top:3955" coordorigin="3801,3956" coordsize="120,120" path="m3861,4076l3801,3956,3921,3956,3861,4076xe" filled="t" fillcolor="black" stroked="f">
              <v:fill type="solid"/>
              <v:path arrowok="t"/>
            </v:shape>
            <v:line id="_x0000_s1043" style="position:absolute" from="3861,3763" to="3861,4053" stroked="t" strokecolor="black" strokeweight="0.75pt">
              <v:stroke dashstyle="solid"/>
            </v:line>
            <v:rect id="_x0000_s1044" style="width:1620;height:468;left:2961;position:absolute;top:5323" filled="f" stroked="t" strokecolor="black" strokeweight="0.75pt">
              <v:stroke dashstyle="solid"/>
            </v:rect>
            <v:shape id="_x0000_s1045" style="width:120;height:120;left:3801;position:absolute;top:5203" coordorigin="3801,5204" coordsize="120,120" path="m3861,5324l3801,5204,3921,5204,3861,5324xe" filled="t" fillcolor="black" stroked="f">
              <v:fill type="solid"/>
              <v:path arrowok="t"/>
            </v:shape>
            <v:line id="_x0000_s1046" style="position:absolute" from="3861,4855" to="3861,5301" stroked="t" strokecolor="black" strokeweight="0.75pt">
              <v:stroke dashstyle="solid"/>
            </v:line>
            <v:rect id="_x0000_s1047" style="width:1440;height:469;left:2961;position:absolute;top:6103" filled="f" stroked="t" strokecolor="black" strokeweight="0.75pt">
              <v:stroke dashstyle="solid"/>
            </v:rect>
            <v:shape id="_x0000_s1048" style="width:120;height:120;left:3801;position:absolute;top:5984" coordorigin="3801,5984" coordsize="120,120" path="m3861,6104l3801,5984,3921,5984,3861,6104xe" filled="t" fillcolor="black" stroked="f">
              <v:fill type="solid"/>
              <v:path arrowok="t"/>
            </v:shape>
            <v:line id="_x0000_s1049" style="position:absolute" from="3861,5792" to="3861,6082" stroked="t" strokecolor="black" strokeweight="0.75pt">
              <v:stroke dashstyle="solid"/>
            </v:line>
            <v:rect id="_x0000_s1050" style="width:1620;height:468;left:2961;position:absolute;top:6883" filled="f" stroked="t" strokecolor="black" strokeweight="0.75pt">
              <v:stroke dashstyle="solid"/>
            </v:rect>
            <v:shape id="_x0000_s1051" style="width:120;height:120;left:3801;position:absolute;top:6763" coordorigin="3801,6764" coordsize="120,120" path="m3861,6884l3801,6764,3921,6764,3861,6884xe" filled="t" fillcolor="black" stroked="f">
              <v:fill type="solid"/>
              <v:path arrowok="t"/>
            </v:shape>
            <v:line id="_x0000_s1052" style="position:absolute" from="3861,6572" to="3861,6861" stroked="t" strokecolor="black" strokeweight="0.75pt">
              <v:stroke dashstyle="solid"/>
            </v:line>
            <v:rect id="_x0000_s1053" style="width:2880;height:780;left:2241;position:absolute;top:7819" filled="f" stroked="t" strokecolor="black" strokeweight="0.75pt">
              <v:stroke dashstyle="solid"/>
            </v:rect>
            <v:shape id="_x0000_s1054" style="width:120;height:120;left:3801;position:absolute;top:7699" coordorigin="3801,7699" coordsize="120,120" path="m3861,7819l3801,7699,3921,7699,3861,7819xe" filled="t" fillcolor="black" stroked="f">
              <v:fill type="solid"/>
              <v:path arrowok="t"/>
            </v:shape>
            <v:line id="_x0000_s1055" style="position:absolute" from="3861,7352" to="3861,7797" stroked="t" strokecolor="black" strokeweight="0.75pt">
              <v:stroke dashstyle="solid"/>
            </v:line>
            <v:rect id="_x0000_s1056" style="width:2340;height:780;left:2421;position:absolute;top:9067" filled="f" stroked="t" strokecolor="black" strokeweight="0.75pt">
              <v:stroke dashstyle="solid"/>
            </v:rect>
            <v:shape id="_x0000_s1057" style="width:120;height:120;left:3801;position:absolute;top:8947" coordorigin="3801,8947" coordsize="120,120" path="m3861,9067l3801,8947,3921,8947,3861,9067xe" filled="t" fillcolor="black" stroked="f">
              <v:fill type="solid"/>
              <v:path arrowok="t"/>
            </v:shape>
            <v:line id="_x0000_s1058" style="position:absolute" from="3861,8600" to="3861,9045" stroked="t" strokecolor="black" strokeweight="0.75pt">
              <v:stroke dashstyle="solid"/>
            </v:line>
            <v:shape id="_x0000_s1059" style="width:120;height:120;left:3861;position:absolute;top:7448" coordorigin="3861,7448" coordsize="120,120" path="m3981,7568l3861,7508,3981,7448,3981,7568xe" filled="t" fillcolor="black" stroked="f">
              <v:fill type="solid"/>
              <v:path arrowok="t"/>
            </v:shape>
            <v:line id="_x0000_s1060" style="position:absolute" from="6021,7508" to="3884,7508" stroked="t" strokecolor="black" strokeweight="0.75pt">
              <v:stroke dashstyle="solid"/>
            </v:line>
            <v:shape id="_x0000_s1061" style="width:121;height:120;left:3861;position:absolute;top:8697" coordorigin="3861,8697" coordsize="121,120" path="m3981,8817l3861,8758,3981,8697,3981,8817xe" filled="t" fillcolor="black" stroked="f">
              <v:fill type="solid"/>
              <v:path arrowok="t"/>
            </v:shape>
            <v:line id="_x0000_s1062" style="position:absolute" from="6021,8756" to="3884,8758" stroked="t" strokecolor="black" strokeweight="0.75pt">
              <v:stroke dashstyle="solid"/>
            </v:line>
            <v:shape id="_x0000_s1063" style="width:120;height:120;left:3801;position:absolute;top:10195" coordorigin="3801,10195" coordsize="120,120" path="m3861,10315l3801,10195,3921,10195,3861,10315xe" filled="t" fillcolor="black" stroked="f">
              <v:fill type="solid"/>
              <v:path arrowok="t"/>
            </v:shape>
            <v:line id="_x0000_s1064" style="position:absolute" from="3861,9848" to="3861,10293" stroked="t" strokecolor="black" strokeweight="0.75pt">
              <v:stroke dashstyle="solid"/>
            </v:line>
            <v:shape id="_x0000_s1065" type="#_x0000_t202" style="width:2330;height:490;left:2572;position:absolute;top:4198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18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审批《工程开工报审表》</w:t>
                    </w:r>
                  </w:p>
                  <w:p>
                    <w:pPr>
                      <w:spacing w:before="11" w:line="240" w:lineRule="exact"/>
                      <w:ind w:left="0" w:right="111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签署审批意见</w:t>
                    </w:r>
                  </w:p>
                </w:txbxContent>
              </v:textbox>
            </v:shape>
            <v:shape id="_x0000_s1066" type="#_x0000_t202" style="width:1280;height:210;left:3112;position:absolute;top:545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施工过程监理</w:t>
                    </w:r>
                  </w:p>
                </w:txbxContent>
              </v:textbox>
            </v:shape>
            <v:shape id="_x0000_s1067" type="#_x0000_t202" style="width:1070;height:210;left:3112;position:absolute;top:623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组织预验收</w:t>
                    </w:r>
                  </w:p>
                </w:txbxContent>
              </v:textbox>
            </v:shape>
            <v:shape id="_x0000_s1068" type="#_x0000_t202" style="width:1280;height:210;left:3112;position:absolute;top:701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参加竣工验收</w:t>
                    </w:r>
                  </w:p>
                </w:txbxContent>
              </v:textbox>
            </v:shape>
            <v:shape id="_x0000_s1069" type="#_x0000_t202" style="width:2540;height:490;left:2392;position:absolute;top:7942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18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在单位工程验收记录上签字</w:t>
                    </w:r>
                  </w:p>
                  <w:p>
                    <w:pPr>
                      <w:spacing w:before="11" w:line="240" w:lineRule="exact"/>
                      <w:ind w:left="54" w:right="18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签发工程竣工验收报告</w:t>
                    </w:r>
                  </w:p>
                </w:txbxContent>
              </v:textbox>
            </v:shape>
            <v:shape id="_x0000_s1070" type="#_x0000_t202" style="width:1910;height:490;left:2572;position:absolute;top:9190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整理监理资料并归档</w:t>
                    </w:r>
                  </w:p>
                  <w:p>
                    <w:pPr>
                      <w:spacing w:before="11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编写监理工作总结</w:t>
                    </w:r>
                  </w:p>
                </w:txbxContent>
              </v:textbox>
            </v:shape>
            <v:shape id="_x0000_s1071" type="#_x0000_t202" style="width:3060;height:781;left:6021;position:absolute;top:859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86" w:line="249" w:lineRule="auto"/>
                      <w:ind w:left="144" w:right="17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建设单位向政府监督部门申办</w:t>
                    </w:r>
                    <w:r>
                      <w:rPr>
                        <w:spacing w:val="-2"/>
                        <w:sz w:val="21"/>
                      </w:rPr>
                      <w:t>竣工备案手续</w:t>
                    </w:r>
                  </w:p>
                </w:txbxContent>
              </v:textbox>
            </v:shape>
            <v:shape id="_x0000_s1072" type="#_x0000_t202" style="width:2700;height:468;left:6021;position:absolute;top:719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86"/>
                      <w:ind w:left="14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承包单位提交工程保修书</w:t>
                    </w:r>
                  </w:p>
                </w:txbxContent>
              </v:textbox>
            </v:shape>
            <v:shape id="_x0000_s1073" type="#_x0000_t202" style="width:2160;height:470;left:2601;position:absolute;top:1031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工程保修期的监理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footerReference w:type="default" r:id="rId7"/>
          <w:pgSz w:w="11910" w:h="16840"/>
          <w:pgMar w:top="1460" w:right="800" w:bottom="1180" w:left="1480" w:header="0" w:footer="990"/>
          <w:pgNumType w:start="4"/>
          <w:cols w:space="708"/>
        </w:sect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0"/>
        </w:rPr>
      </w:pPr>
    </w:p>
    <w:p>
      <w:pPr>
        <w:pStyle w:val="ListParagraph"/>
        <w:numPr>
          <w:ilvl w:val="0"/>
          <w:numId w:val="64"/>
        </w:numPr>
        <w:tabs>
          <w:tab w:val="left" w:pos="1061"/>
        </w:tabs>
        <w:spacing w:before="66" w:after="0" w:line="240" w:lineRule="auto"/>
        <w:ind w:left="1061" w:right="0" w:hanging="360"/>
        <w:jc w:val="both"/>
        <w:rPr>
          <w:sz w:val="24"/>
        </w:rPr>
      </w:pPr>
      <w:r>
        <w:pict>
          <v:group id="_x0000_s1074" style="width:137.25pt;height:263.05pt;margin-top:136.87pt;margin-left:84.53pt;mso-position-horizontal-relative:page;position:absolute;z-index:-251656192" coordorigin="1691,2737" coordsize="2745,5261">
            <v:shape id="_x0000_s1075" style="width:78;height:120;left:3169;position:absolute;top:7119" coordorigin="3169,7119" coordsize="78,120" path="m3208,7239l3169,7119,3247,7119,3208,7239xe" filled="t" fillcolor="black" stroked="f">
              <v:fill type="solid"/>
              <v:path arrowok="t"/>
            </v:shape>
            <v:line id="_x0000_s1076" style="position:absolute" from="3208,6919" to="3208,7198" stroked="t" strokecolor="black" strokeweight="0.75pt">
              <v:stroke dashstyle="solid"/>
            </v:line>
            <v:line id="_x0000_s1077" style="position:absolute" from="1978,7583" to="1698,7583" stroked="t" strokecolor="black" strokeweight="0.75pt">
              <v:stroke dashstyle="solid"/>
            </v:line>
            <v:shape id="_x0000_s1078" style="width:120;height:78;left:3413;position:absolute;top:2737" coordorigin="3413,2737" coordsize="120,78" path="m3413,2815l3413,2737,3533,2776,3413,2815xe" filled="t" fillcolor="black" stroked="f">
              <v:fill type="solid"/>
              <v:path arrowok="t"/>
            </v:shape>
            <v:line id="_x0000_s1079" style="position:absolute" from="1713,2776" to="3511,2776" stroked="t" strokecolor="black" strokeweight="0.75pt">
              <v:stroke dashstyle="solid"/>
            </v:line>
            <v:line id="_x0000_s1080" style="position:absolute" from="1698,2771" to="1698,7583" stroked="t" strokecolor="black" strokeweight="0.75pt">
              <v:stroke dashstyle="solid"/>
            </v:line>
            <v:rect id="_x0000_s1081" style="width:2455;height:770;left:1978;position:absolute;top:7197" filled="t" fillcolor="white" stroked="f">
              <v:fill type="solid"/>
            </v:rect>
            <v:shape id="_x0000_s1082" type="#_x0000_t202" style="width:2418;height:770;left:2010;position:absolute;top:722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0" w:line="249" w:lineRule="auto"/>
                      <w:ind w:left="24" w:right="49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承包单位编制下一期施工</w:t>
                    </w:r>
                    <w:r>
                      <w:rPr>
                        <w:spacing w:val="-4"/>
                        <w:sz w:val="21"/>
                      </w:rPr>
                      <w:t>进度计划</w:t>
                    </w:r>
                  </w:p>
                </w:txbxContent>
              </v:textbox>
            </v:shape>
          </v:group>
        </w:pict>
      </w:r>
      <w:r>
        <w:pict>
          <v:group id="_x0000_s1083" style="width:203.75pt;height:264.05pt;margin-top:136.61pt;margin-left:308.52pt;mso-position-horizontal-relative:page;position:absolute;z-index:-251655168" coordorigin="6170,2732" coordsize="4075,5281">
            <v:shape id="_x0000_s1084" style="width:78;height:120;left:7679;position:absolute;top:7164" coordorigin="7679,7165" coordsize="78,120" path="m7718,7285l7679,7165,7757,7165,7718,7285xe" filled="t" fillcolor="black" stroked="f">
              <v:fill type="solid"/>
              <v:path arrowok="t"/>
            </v:shape>
            <v:line id="_x0000_s1085" style="position:absolute" from="7718,6934" to="7718,7243" stroked="t" strokecolor="black" strokeweight="0.75pt">
              <v:stroke dashstyle="solid"/>
            </v:line>
            <v:line id="_x0000_s1086" style="position:absolute" from="9258,7583" to="10238,7583" stroked="t" strokecolor="black" strokeweight="0.75pt">
              <v:stroke dashstyle="solid"/>
            </v:line>
            <v:line id="_x0000_s1087" style="position:absolute" from="10238,7583" to="10238,2771" stroked="t" strokecolor="black" strokeweight="0.75pt">
              <v:stroke dashstyle="solid"/>
            </v:line>
            <v:shape id="_x0000_s1088" style="width:120;height:78;left:7298;position:absolute;top:2732" coordorigin="7298,2732" coordsize="120,78" path="m7418,2810l7298,2771,7418,2732,7418,2810xe" filled="t" fillcolor="black" stroked="f">
              <v:fill type="solid"/>
              <v:path arrowok="t"/>
            </v:shape>
            <v:line id="_x0000_s1089" style="position:absolute" from="10235,2771" to="7320,2771" stroked="t" strokecolor="black" strokeweight="0.75pt">
              <v:stroke dashstyle="solid"/>
            </v:line>
            <v:rect id="_x0000_s1090" style="width:3080;height:770;left:6178;position:absolute;top:7243" filled="t" fillcolor="white" stroked="f">
              <v:fill type="solid"/>
            </v:rect>
            <v:shape id="_x0000_s1091" type="#_x0000_t202" style="width:3080;height:770;left:6178;position:absolute;top:722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42" w:line="249" w:lineRule="auto"/>
                      <w:ind w:left="56" w:right="-44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总监理工程师签发《监理通知》，</w:t>
                    </w:r>
                    <w:r>
                      <w:rPr>
                        <w:spacing w:val="-2"/>
                        <w:sz w:val="21"/>
                      </w:rPr>
                      <w:t>指示承包单位采取调整措施</w:t>
                    </w:r>
                  </w:p>
                </w:txbxContent>
              </v:textbox>
            </v:shape>
          </v:group>
        </w:pict>
      </w:r>
      <w:r>
        <w:rPr>
          <w:spacing w:val="-2"/>
          <w:sz w:val="24"/>
        </w:rPr>
        <w:t>进度控制的基本程序</w:t>
      </w:r>
    </w:p>
    <w:p>
      <w:pPr>
        <w:pStyle w:val="BodyText"/>
        <w:spacing w:before="6"/>
        <w:ind w:left="0"/>
        <w:rPr>
          <w:sz w:val="17"/>
        </w:rPr>
      </w:pPr>
      <w:r>
        <w:pict>
          <v:group id="_x0000_s1092" style="width:345.4pt;height:315.55pt;margin-top:12.44pt;margin-left:100.15pt;mso-position-horizontal-relative:page;mso-wrap-distance-left:0;mso-wrap-distance-right:0;position:absolute;z-index:-251654144" coordorigin="2003,249" coordsize="6908,6311">
            <v:shape id="_x0000_s1093" style="width:78;height:120;left:5439;position:absolute;top:1196" coordorigin="5439,1197" coordsize="78,120" path="m5478,1317l5439,1197,5517,1197,5478,1317xe" filled="t" fillcolor="black" stroked="f">
              <v:fill type="solid"/>
              <v:path arrowok="t"/>
            </v:shape>
            <v:line id="_x0000_s1094" style="position:absolute" from="5478,829" to="5478,1294" stroked="t" strokecolor="black" strokeweight="0.75pt">
              <v:stroke dashstyle="solid"/>
            </v:line>
            <v:shape id="_x0000_s1095" type="#_x0000_t202" style="width:2380;height:385;left:4289;position:absolute;top:130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35"/>
                      <w:ind w:left="345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总监理工程师审批</w:t>
                    </w:r>
                  </w:p>
                </w:txbxContent>
              </v:textbox>
            </v:shape>
            <v:shape id="_x0000_s1096" type="#_x0000_t202" style="width:3363;height:575;left:3796;position:absolute;top:25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3"/>
                      <w:ind w:left="30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承包单位编制施工总进度计划</w:t>
                    </w:r>
                  </w:p>
                  <w:p>
                    <w:pPr>
                      <w:spacing w:before="43" w:line="224" w:lineRule="exact"/>
                      <w:ind w:left="390" w:right="0" w:firstLine="0"/>
                      <w:jc w:val="left"/>
                      <w:rPr>
                        <w:rFonts w:ascii="Lucida Console" w:eastAsia="Lucida Console" w:hAnsi="Lucida Console"/>
                        <w:sz w:val="21"/>
                      </w:rPr>
                    </w:pPr>
                    <w:r>
                      <w:rPr>
                        <w:sz w:val="21"/>
                      </w:rPr>
                      <w:t>填写</w:t>
                    </w:r>
                    <w:r>
                      <w:rPr>
                        <w:rFonts w:ascii="Lucida Console" w:eastAsia="Lucida Console" w:hAnsi="Lucida Console"/>
                        <w:sz w:val="21"/>
                      </w:rPr>
                      <w:t>«</w:t>
                    </w:r>
                    <w:r>
                      <w:rPr>
                        <w:sz w:val="21"/>
                      </w:rPr>
                      <w:t>施工进度计划报审表</w:t>
                    </w:r>
                    <w:r>
                      <w:rPr>
                        <w:rFonts w:ascii="Lucida Console" w:eastAsia="Lucida Console" w:hAnsi="Lucida Console"/>
                        <w:spacing w:val="-10"/>
                        <w:sz w:val="21"/>
                      </w:rPr>
                      <w:t>»</w:t>
                    </w:r>
                  </w:p>
                </w:txbxContent>
              </v:textbox>
            </v:shape>
            <v:shape id="_x0000_s1097" style="width:78;height:120;left:5439;position:absolute;top:1962" coordorigin="5439,1962" coordsize="78,120" path="m5478,2082l5439,1962,5517,1962,5478,2082xe" filled="t" fillcolor="black" stroked="f">
              <v:fill type="solid"/>
              <v:path arrowok="t"/>
            </v:shape>
            <v:line id="_x0000_s1098" style="position:absolute" from="5478,1698" to="5478,2060" stroked="t" strokecolor="black" strokeweight="0.75pt">
              <v:stroke dashstyle="solid"/>
            </v:line>
            <v:shape id="_x0000_s1099" style="width:78;height:120;left:5439;position:absolute;top:2937" coordorigin="5439,2938" coordsize="78,120" path="m5478,3058l5439,2938,5517,2938,5478,3058xe" filled="t" fillcolor="black" stroked="f">
              <v:fill type="solid"/>
              <v:path arrowok="t"/>
            </v:shape>
            <v:line id="_x0000_s1100" style="position:absolute" from="5478,2673" to="5478,3035" stroked="t" strokecolor="black" strokeweight="0.75pt">
              <v:stroke dashstyle="solid"/>
            </v:line>
            <v:shape id="_x0000_s1101" type="#_x0000_t202" style="width:3363;height:575;left:3796;position:absolute;top:209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3"/>
                      <w:ind w:left="88" w:right="85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承包单位编制年、季、月进度计划</w:t>
                    </w:r>
                  </w:p>
                  <w:p>
                    <w:pPr>
                      <w:spacing w:before="43" w:line="224" w:lineRule="exact"/>
                      <w:ind w:left="88" w:right="85" w:firstLine="0"/>
                      <w:jc w:val="center"/>
                      <w:rPr>
                        <w:rFonts w:ascii="Lucida Console" w:eastAsia="Lucida Console" w:hAnsi="Lucida Console"/>
                        <w:sz w:val="21"/>
                      </w:rPr>
                    </w:pPr>
                    <w:r>
                      <w:rPr>
                        <w:sz w:val="21"/>
                      </w:rPr>
                      <w:t>填写</w:t>
                    </w:r>
                    <w:r>
                      <w:rPr>
                        <w:rFonts w:ascii="Lucida Console" w:eastAsia="Lucida Console" w:hAnsi="Lucida Console"/>
                        <w:sz w:val="21"/>
                      </w:rPr>
                      <w:t>«</w:t>
                    </w:r>
                    <w:r>
                      <w:rPr>
                        <w:sz w:val="21"/>
                      </w:rPr>
                      <w:t>施工进度计划报审表</w:t>
                    </w:r>
                    <w:r>
                      <w:rPr>
                        <w:rFonts w:ascii="Lucida Console" w:eastAsia="Lucida Console" w:hAnsi="Lucida Console"/>
                        <w:spacing w:val="-10"/>
                        <w:sz w:val="21"/>
                      </w:rPr>
                      <w:t>»</w:t>
                    </w:r>
                  </w:p>
                </w:txbxContent>
              </v:textbox>
            </v:shape>
            <v:shape id="_x0000_s1102" style="width:78;height:120;left:5439;position:absolute;top:3698" coordorigin="5439,3699" coordsize="78,120" path="m5478,3819l5439,3699,5517,3699,5478,3819xe" filled="t" fillcolor="black" stroked="f">
              <v:fill type="solid"/>
              <v:path arrowok="t"/>
            </v:shape>
            <v:line id="_x0000_s1103" style="position:absolute" from="5478,3434" to="5478,3796" stroked="t" strokecolor="black" strokeweight="0.75pt">
              <v:stroke dashstyle="solid"/>
            </v:line>
            <v:shape id="_x0000_s1104" type="#_x0000_t202" style="width:2380;height:385;left:4289;position:absolute;top:383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35"/>
                      <w:ind w:left="44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按计划组织实施</w:t>
                    </w:r>
                  </w:p>
                </w:txbxContent>
              </v:textbox>
            </v:shape>
            <v:shape id="_x0000_s1105" type="#_x0000_t202" style="width:2380;height:385;left:4289;position:absolute;top:305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35"/>
                      <w:ind w:left="345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总监理工程师审批</w:t>
                    </w:r>
                  </w:p>
                </w:txbxContent>
              </v:textbox>
            </v:shape>
            <v:shape id="_x0000_s1106" style="width:78;height:120;left:5439;position:absolute;top:4474" coordorigin="5439,4474" coordsize="78,120" path="m5478,4594l5439,4474,5517,4474,5478,4594xe" filled="t" fillcolor="black" stroked="f">
              <v:fill type="solid"/>
              <v:path arrowok="t"/>
            </v:shape>
            <v:line id="_x0000_s1107" style="position:absolute" from="5478,4210" to="5478,4572" stroked="t" strokecolor="black" strokeweight="0.75pt">
              <v:stroke dashstyle="solid"/>
            </v:line>
            <v:line id="_x0000_s1108" style="position:absolute" from="3233,5736" to="7713,5736" stroked="t" strokecolor="black" strokeweight="0.75pt">
              <v:stroke dashstyle="solid"/>
            </v:line>
            <v:shape id="_x0000_s1109" style="width:78;height:120;left:3194;position:absolute;top:6026" coordorigin="3194,6026" coordsize="78,120" path="m3233,6146l3194,6026,3272,6026,3233,6146xe" filled="t" fillcolor="black" stroked="f">
              <v:fill type="solid"/>
              <v:path arrowok="t"/>
            </v:shape>
            <v:line id="_x0000_s1110" style="position:absolute" from="3233,5761" to="3233,6124" stroked="t" strokecolor="black" strokeweight="0.75pt">
              <v:stroke dashstyle="solid"/>
            </v:line>
            <v:shape id="_x0000_s1111" style="width:78;height:120;left:7674;position:absolute;top:6026" coordorigin="7674,6026" coordsize="78,120" path="m7713,6146l7674,6026,7752,6026,7713,6146xe" filled="t" fillcolor="black" stroked="f">
              <v:fill type="solid"/>
              <v:path arrowok="t"/>
            </v:shape>
            <v:line id="_x0000_s1112" style="position:absolute" from="7713,5761" to="7713,6124" stroked="t" strokecolor="black" strokeweight="0.75pt">
              <v:stroke dashstyle="solid"/>
            </v:line>
            <v:line id="_x0000_s1113" style="position:absolute" from="5473,5376" to="5473,5761" stroked="t" strokecolor="black" strokeweight="0.75pt">
              <v:stroke dashstyle="solid"/>
            </v:line>
            <v:shape id="_x0000_s1114" type="#_x0000_t202" style="width:2380;height:385;left:6523;position:absolute;top:616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4"/>
                      <w:ind w:left="34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严重偏离计划目标</w:t>
                    </w:r>
                  </w:p>
                </w:txbxContent>
              </v:textbox>
            </v:shape>
            <v:shape id="_x0000_s1115" type="#_x0000_t202" style="width:2418;height:385;left:2010;position:absolute;top:616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23"/>
                      <w:ind w:left="37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基本实现计划目标</w:t>
                    </w:r>
                  </w:p>
                </w:txbxContent>
              </v:textbox>
            </v:shape>
            <v:shape id="_x0000_s1116" type="#_x0000_t202" style="width:2940;height:770;left:4008;position:absolute;top:460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9"/>
                      <w:ind w:left="293" w:right="293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监理工程师对进度计划</w:t>
                    </w:r>
                  </w:p>
                  <w:p>
                    <w:pPr>
                      <w:spacing w:before="131"/>
                      <w:ind w:left="293" w:right="293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实施情况进行检查、分析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9"/>
        <w:ind w:left="0"/>
        <w:rPr>
          <w:sz w:val="21"/>
        </w:rPr>
      </w:pPr>
    </w:p>
    <w:p>
      <w:pPr>
        <w:pStyle w:val="BodyText"/>
        <w:spacing w:before="0"/>
        <w:ind w:left="621"/>
      </w:pPr>
      <w:r>
        <w:rPr>
          <w:spacing w:val="-1"/>
        </w:rPr>
        <w:t>注：如总进度计划为施工组织设计的一部分，可不单独审批。</w:t>
      </w:r>
    </w:p>
    <w:p>
      <w:pPr>
        <w:pStyle w:val="BodyText"/>
        <w:spacing w:before="4"/>
        <w:ind w:left="0"/>
        <w:rPr>
          <w:sz w:val="34"/>
        </w:rPr>
      </w:pPr>
    </w:p>
    <w:p>
      <w:pPr>
        <w:pStyle w:val="Heading2"/>
      </w:pPr>
      <w:r>
        <w:t>四、钢结构分部（子分部）</w:t>
      </w:r>
      <w:r>
        <w:rPr>
          <w:spacing w:val="-2"/>
        </w:rPr>
        <w:t>工程准备工作监理</w:t>
      </w:r>
    </w:p>
    <w:p>
      <w:pPr>
        <w:pStyle w:val="BodyText"/>
        <w:spacing w:before="58"/>
        <w:jc w:val="both"/>
      </w:pPr>
      <w:r>
        <w:t>（一）</w:t>
      </w:r>
      <w:r>
        <w:rPr>
          <w:spacing w:val="-2"/>
        </w:rPr>
        <w:t xml:space="preserve"> 施工单位资质审查</w:t>
      </w:r>
    </w:p>
    <w:p>
      <w:pPr>
        <w:pStyle w:val="BodyText"/>
        <w:spacing w:line="343" w:lineRule="auto"/>
        <w:ind w:left="221" w:right="331" w:firstLine="480"/>
        <w:jc w:val="both"/>
      </w:pPr>
      <w:r>
        <w:rPr>
          <w:spacing w:val="-2"/>
        </w:rPr>
        <w:t>由于钢结构工程专业性较强，对专业设备、加工场地、工人素质以及企业自身的施</w:t>
      </w:r>
      <w:r>
        <w:rPr>
          <w:spacing w:val="-2"/>
        </w:rPr>
        <w:t>工技术标准质量保证体系质量控制及检验制度要求较高，一般多为总包下分包工程，在</w:t>
      </w:r>
      <w:r>
        <w:rPr>
          <w:spacing w:val="-2"/>
        </w:rPr>
        <w:t>这种情况下施工企业资质和管理水平相当重要。因此，资质审查是重要环节，其审查内</w:t>
      </w:r>
      <w:r>
        <w:rPr>
          <w:spacing w:val="-6"/>
        </w:rPr>
        <w:t>容：</w:t>
      </w:r>
    </w:p>
    <w:p>
      <w:pPr>
        <w:pStyle w:val="ListParagraph"/>
        <w:numPr>
          <w:ilvl w:val="0"/>
          <w:numId w:val="63"/>
        </w:numPr>
        <w:tabs>
          <w:tab w:val="left" w:pos="1061"/>
        </w:tabs>
        <w:spacing w:before="2" w:after="0" w:line="240" w:lineRule="auto"/>
        <w:ind w:left="1061" w:right="0" w:hanging="360"/>
        <w:jc w:val="both"/>
        <w:rPr>
          <w:sz w:val="24"/>
        </w:rPr>
      </w:pPr>
      <w:r>
        <w:rPr>
          <w:spacing w:val="-1"/>
          <w:sz w:val="24"/>
        </w:rPr>
        <w:t>施工资质经营范围是否满足工程要求。</w:t>
      </w:r>
    </w:p>
    <w:p>
      <w:pPr>
        <w:spacing w:after="0" w:line="240" w:lineRule="auto"/>
        <w:jc w:val="both"/>
        <w:rPr>
          <w:sz w:val="24"/>
        </w:rPr>
        <w:sectPr>
          <w:footerReference w:type="default" r:id="rId8"/>
          <w:pgSz w:w="11910" w:h="16840"/>
          <w:pgMar w:top="1920" w:right="800" w:bottom="1180" w:left="1480" w:header="0" w:footer="990"/>
          <w:pgNumType w:start="5"/>
          <w:cols w:space="708"/>
        </w:sectPr>
      </w:pPr>
    </w:p>
    <w:p>
      <w:pPr>
        <w:pStyle w:val="ListParagraph"/>
        <w:numPr>
          <w:ilvl w:val="0"/>
          <w:numId w:val="63"/>
        </w:numPr>
        <w:tabs>
          <w:tab w:val="left" w:pos="1061"/>
        </w:tabs>
        <w:spacing w:before="52" w:after="0" w:line="343" w:lineRule="auto"/>
        <w:ind w:left="221" w:right="331" w:firstLine="480"/>
        <w:jc w:val="left"/>
        <w:rPr>
          <w:sz w:val="24"/>
        </w:rPr>
      </w:pPr>
      <w:r>
        <w:rPr>
          <w:spacing w:val="-16"/>
          <w:sz w:val="24"/>
        </w:rPr>
        <w:t>施工技术标准、质量保证体系、质量控制及检验制度是否满足工程设计技术指标</w:t>
      </w:r>
      <w:r>
        <w:rPr>
          <w:spacing w:val="-4"/>
          <w:sz w:val="24"/>
        </w:rPr>
        <w:t>要求。</w:t>
      </w:r>
    </w:p>
    <w:p>
      <w:pPr>
        <w:pStyle w:val="ListParagraph"/>
        <w:numPr>
          <w:ilvl w:val="0"/>
          <w:numId w:val="63"/>
        </w:numPr>
        <w:tabs>
          <w:tab w:val="left" w:pos="1061"/>
        </w:tabs>
        <w:spacing w:before="0" w:after="0" w:line="240" w:lineRule="auto"/>
        <w:ind w:left="1061" w:right="0" w:hanging="360"/>
        <w:jc w:val="left"/>
        <w:rPr>
          <w:sz w:val="24"/>
        </w:rPr>
      </w:pPr>
      <w:r>
        <w:rPr>
          <w:spacing w:val="-1"/>
          <w:sz w:val="24"/>
        </w:rPr>
        <w:t>考察施工企业生产能力是否满足工程进度要求。</w:t>
      </w:r>
    </w:p>
    <w:p>
      <w:pPr>
        <w:pStyle w:val="BodyText"/>
        <w:spacing w:before="133"/>
      </w:pPr>
      <w:r>
        <w:t>（二）</w:t>
      </w:r>
      <w:r>
        <w:rPr>
          <w:spacing w:val="-2"/>
        </w:rPr>
        <w:t>焊工素质的审查</w:t>
      </w:r>
    </w:p>
    <w:p>
      <w:pPr>
        <w:pStyle w:val="BodyText"/>
        <w:spacing w:line="343" w:lineRule="auto"/>
        <w:ind w:left="221" w:right="331" w:firstLine="480"/>
      </w:pPr>
      <w:r>
        <w:rPr>
          <w:spacing w:val="-2"/>
        </w:rPr>
        <w:t>焊工必须经考试合格并取得合格证书，持证焊工必须在其考试合格项目及其认可范</w:t>
      </w:r>
      <w:r>
        <w:rPr>
          <w:spacing w:val="-4"/>
        </w:rPr>
        <w:t>围施焊。</w:t>
      </w:r>
    </w:p>
    <w:p>
      <w:pPr>
        <w:pStyle w:val="ListParagraph"/>
        <w:numPr>
          <w:ilvl w:val="0"/>
          <w:numId w:val="62"/>
        </w:numPr>
        <w:tabs>
          <w:tab w:val="left" w:pos="1052"/>
        </w:tabs>
        <w:spacing w:before="1" w:after="0" w:line="240" w:lineRule="auto"/>
        <w:ind w:left="1051" w:right="0" w:hanging="361"/>
        <w:jc w:val="left"/>
        <w:rPr>
          <w:sz w:val="24"/>
        </w:rPr>
      </w:pPr>
      <w:r>
        <w:rPr>
          <w:sz w:val="24"/>
        </w:rPr>
        <w:t>检查数量：全数检查（现场人员和工厂加工人员）</w:t>
      </w:r>
      <w:r>
        <w:rPr>
          <w:spacing w:val="-10"/>
          <w:sz w:val="24"/>
        </w:rPr>
        <w:t>。</w:t>
      </w:r>
    </w:p>
    <w:p>
      <w:pPr>
        <w:pStyle w:val="ListParagraph"/>
        <w:numPr>
          <w:ilvl w:val="0"/>
          <w:numId w:val="62"/>
        </w:numPr>
        <w:tabs>
          <w:tab w:val="left" w:pos="1052"/>
        </w:tabs>
        <w:spacing w:before="132" w:after="0" w:line="240" w:lineRule="auto"/>
        <w:ind w:left="1051" w:right="0" w:hanging="361"/>
        <w:jc w:val="left"/>
        <w:rPr>
          <w:sz w:val="24"/>
        </w:rPr>
      </w:pPr>
      <w:r>
        <w:rPr>
          <w:spacing w:val="-1"/>
          <w:sz w:val="24"/>
        </w:rPr>
        <w:t>检查方法：检查焊工合格证及其认可范围、有效期。</w:t>
      </w:r>
    </w:p>
    <w:p>
      <w:pPr>
        <w:pStyle w:val="BodyText"/>
        <w:spacing w:before="133"/>
      </w:pPr>
      <w:r>
        <w:t>（三）</w:t>
      </w:r>
      <w:r>
        <w:rPr>
          <w:spacing w:val="-1"/>
        </w:rPr>
        <w:t>图纸会审及技术准备。</w:t>
      </w:r>
    </w:p>
    <w:p>
      <w:pPr>
        <w:pStyle w:val="BodyText"/>
        <w:spacing w:line="343" w:lineRule="auto"/>
        <w:ind w:left="221" w:right="331" w:firstLine="480"/>
        <w:jc w:val="both"/>
      </w:pPr>
      <w:r>
        <w:rPr>
          <w:spacing w:val="-2"/>
        </w:rPr>
        <w:t>按监理规划中图纸会审程序，在工程开工前熟悉图纸，召集、组织设计、业主、监</w:t>
      </w:r>
      <w:r>
        <w:rPr>
          <w:spacing w:val="-2"/>
        </w:rPr>
        <w:t>理和施工单位和专业技术人员进行图纸会审，依据设计文件及其相关资料和规范，把施</w:t>
      </w:r>
      <w:r>
        <w:rPr>
          <w:spacing w:val="-2"/>
        </w:rPr>
        <w:t>工图中错漏、不合理、不符合规范和国家建设文件规定之处解决在施工前。</w:t>
      </w:r>
    </w:p>
    <w:p>
      <w:pPr>
        <w:pStyle w:val="BodyText"/>
        <w:spacing w:before="1" w:line="343" w:lineRule="auto"/>
        <w:ind w:left="221" w:right="331" w:firstLine="480"/>
      </w:pPr>
      <w:r>
        <w:rPr>
          <w:spacing w:val="-2"/>
        </w:rPr>
        <w:t>协调业主、设计和施工单位针对图纸问题，确定具体的处理及措施或设计优化。督</w:t>
      </w:r>
      <w:r>
        <w:rPr>
          <w:spacing w:val="-2"/>
        </w:rPr>
        <w:t>促施工单位整理会审和设计交底，最后各方签字盖章确认后，分发各单位。</w:t>
      </w:r>
    </w:p>
    <w:p>
      <w:pPr>
        <w:pStyle w:val="ListParagraph"/>
        <w:numPr>
          <w:ilvl w:val="0"/>
          <w:numId w:val="61"/>
        </w:numPr>
        <w:tabs>
          <w:tab w:val="left" w:pos="1061"/>
        </w:tabs>
        <w:spacing w:before="1" w:after="0" w:line="240" w:lineRule="auto"/>
        <w:ind w:left="1061" w:right="0" w:hanging="360"/>
        <w:jc w:val="left"/>
        <w:rPr>
          <w:sz w:val="24"/>
        </w:rPr>
      </w:pPr>
      <w:r>
        <w:rPr>
          <w:sz w:val="24"/>
        </w:rPr>
        <w:t>开工前一个月，配合建设单位向施工单位提供施工图纸</w:t>
      </w:r>
      <w:r>
        <w:rPr>
          <w:color w:val="FF0000"/>
          <w:sz w:val="24"/>
        </w:rPr>
        <w:t>4 份</w:t>
      </w:r>
      <w:r>
        <w:rPr>
          <w:spacing w:val="-2"/>
          <w:sz w:val="24"/>
        </w:rPr>
        <w:t>和有关资料。</w:t>
      </w:r>
    </w:p>
    <w:p>
      <w:pPr>
        <w:pStyle w:val="ListParagraph"/>
        <w:numPr>
          <w:ilvl w:val="0"/>
          <w:numId w:val="61"/>
        </w:numPr>
        <w:tabs>
          <w:tab w:val="left" w:pos="1061"/>
        </w:tabs>
        <w:spacing w:before="132" w:after="0" w:line="240" w:lineRule="auto"/>
        <w:ind w:left="1061" w:right="0" w:hanging="360"/>
        <w:jc w:val="left"/>
        <w:rPr>
          <w:sz w:val="24"/>
        </w:rPr>
      </w:pPr>
      <w:r>
        <w:rPr>
          <w:spacing w:val="-1"/>
          <w:sz w:val="24"/>
        </w:rPr>
        <w:t>收图后督促检查施工单位，认真组织各专业技术人员审查图纸和有关资料。</w:t>
      </w:r>
    </w:p>
    <w:p>
      <w:pPr>
        <w:pStyle w:val="ListParagraph"/>
        <w:numPr>
          <w:ilvl w:val="0"/>
          <w:numId w:val="61"/>
        </w:numPr>
        <w:tabs>
          <w:tab w:val="left" w:pos="1061"/>
        </w:tabs>
        <w:spacing w:before="133" w:after="0" w:line="240" w:lineRule="auto"/>
        <w:ind w:left="1061" w:right="0" w:hanging="360"/>
        <w:jc w:val="left"/>
        <w:rPr>
          <w:sz w:val="24"/>
        </w:rPr>
      </w:pPr>
      <w:r>
        <w:rPr>
          <w:sz w:val="24"/>
        </w:rPr>
        <w:t>开工前15</w:t>
      </w:r>
      <w:r>
        <w:rPr>
          <w:spacing w:val="-1"/>
          <w:sz w:val="24"/>
        </w:rPr>
        <w:t xml:space="preserve"> 天协助建设单位主持设计交底和图纸会审工作。</w:t>
      </w:r>
    </w:p>
    <w:p>
      <w:pPr>
        <w:pStyle w:val="ListParagraph"/>
        <w:numPr>
          <w:ilvl w:val="0"/>
          <w:numId w:val="61"/>
        </w:numPr>
        <w:tabs>
          <w:tab w:val="left" w:pos="1061"/>
        </w:tabs>
        <w:spacing w:before="132" w:after="0" w:line="343" w:lineRule="auto"/>
        <w:ind w:left="221" w:right="404" w:firstLine="480"/>
        <w:jc w:val="left"/>
        <w:rPr>
          <w:sz w:val="24"/>
        </w:rPr>
      </w:pPr>
      <w:r>
        <w:rPr>
          <w:sz w:val="24"/>
        </w:rPr>
        <w:t>会审出现的问题，在会审后2</w:t>
      </w:r>
      <w:r>
        <w:rPr>
          <w:spacing w:val="-6"/>
          <w:sz w:val="24"/>
        </w:rPr>
        <w:t xml:space="preserve"> 天内建议施工单位会同设计单位签发设计变更通</w:t>
      </w:r>
      <w:r>
        <w:rPr>
          <w:spacing w:val="-4"/>
          <w:sz w:val="24"/>
        </w:rPr>
        <w:t>知单。</w:t>
      </w:r>
    </w:p>
    <w:p>
      <w:pPr>
        <w:pStyle w:val="BodyText"/>
        <w:spacing w:before="1"/>
        <w:ind w:left="691"/>
      </w:pPr>
      <w:r>
        <w:t>（四）</w:t>
      </w:r>
      <w:r>
        <w:rPr>
          <w:spacing w:val="-1"/>
        </w:rPr>
        <w:t>施工组织设计方案审查</w:t>
      </w:r>
    </w:p>
    <w:p>
      <w:pPr>
        <w:pStyle w:val="ListParagraph"/>
        <w:numPr>
          <w:ilvl w:val="0"/>
          <w:numId w:val="60"/>
        </w:numPr>
        <w:tabs>
          <w:tab w:val="left" w:pos="1061"/>
        </w:tabs>
        <w:spacing w:before="132" w:after="0" w:line="343" w:lineRule="auto"/>
        <w:ind w:left="221" w:right="331" w:firstLine="480"/>
        <w:jc w:val="left"/>
        <w:rPr>
          <w:sz w:val="24"/>
        </w:rPr>
      </w:pPr>
      <w:r>
        <w:rPr>
          <w:spacing w:val="-13"/>
          <w:sz w:val="24"/>
        </w:rPr>
        <w:t>督促施工单位在收图后，按施工合同编制施工组织设计方案，经其上级单位批准</w:t>
      </w:r>
      <w:r>
        <w:rPr>
          <w:spacing w:val="-4"/>
          <w:sz w:val="24"/>
        </w:rPr>
        <w:t>报监理。</w:t>
      </w:r>
    </w:p>
    <w:p>
      <w:pPr>
        <w:pStyle w:val="ListParagraph"/>
        <w:numPr>
          <w:ilvl w:val="0"/>
          <w:numId w:val="60"/>
        </w:numPr>
        <w:tabs>
          <w:tab w:val="left" w:pos="1061"/>
        </w:tabs>
        <w:spacing w:before="1" w:after="0" w:line="343" w:lineRule="auto"/>
        <w:ind w:left="221" w:right="211" w:firstLine="480"/>
        <w:jc w:val="left"/>
        <w:rPr>
          <w:sz w:val="24"/>
        </w:rPr>
      </w:pPr>
      <w:r>
        <w:rPr>
          <w:spacing w:val="-2"/>
          <w:sz w:val="24"/>
        </w:rPr>
        <w:t>经审查后的施工组织设计（方案），在施工中如需要变更施工方案（方法）时，</w:t>
      </w:r>
      <w:r>
        <w:rPr>
          <w:spacing w:val="-2"/>
          <w:sz w:val="24"/>
        </w:rPr>
        <w:t>必须将变更原因、内容报监理和建设单位审查同意后方可变动。</w:t>
      </w:r>
    </w:p>
    <w:p>
      <w:pPr>
        <w:pStyle w:val="BodyText"/>
        <w:spacing w:before="0"/>
        <w:ind w:left="691"/>
      </w:pPr>
      <w:r>
        <w:t>（五）</w:t>
      </w:r>
      <w:r>
        <w:rPr>
          <w:spacing w:val="-5"/>
        </w:rPr>
        <w:t>例会</w:t>
      </w:r>
    </w:p>
    <w:p>
      <w:pPr>
        <w:pStyle w:val="BodyText"/>
        <w:spacing w:before="133" w:line="343" w:lineRule="auto"/>
        <w:ind w:left="221" w:right="331" w:firstLine="480"/>
      </w:pPr>
      <w:r>
        <w:rPr>
          <w:spacing w:val="-2"/>
        </w:rPr>
        <w:t>组织参加每周召开一次由建设、施工单位共同参加的现场例会，及时解决施工中的</w:t>
      </w:r>
      <w:r>
        <w:rPr>
          <w:spacing w:val="-4"/>
        </w:rPr>
        <w:t>问题。</w:t>
      </w:r>
    </w:p>
    <w:p>
      <w:pPr>
        <w:pStyle w:val="BodyText"/>
        <w:spacing w:before="0"/>
        <w:ind w:left="0"/>
      </w:pPr>
    </w:p>
    <w:p>
      <w:pPr>
        <w:pStyle w:val="Heading2"/>
        <w:spacing w:line="504" w:lineRule="exact"/>
      </w:pPr>
      <w:r>
        <w:t>五、钢结构分部（子分部）</w:t>
      </w:r>
      <w:r>
        <w:rPr>
          <w:spacing w:val="-1"/>
        </w:rPr>
        <w:t>工程质量监理要素及手段</w:t>
      </w:r>
    </w:p>
    <w:p>
      <w:pPr>
        <w:pStyle w:val="BodyText"/>
        <w:spacing w:before="0" w:line="430" w:lineRule="exact"/>
        <w:ind w:left="691"/>
      </w:pPr>
      <w:r>
        <w:rPr>
          <w:rFonts w:ascii="Microsoft JhengHei" w:eastAsia="Microsoft JhengHei"/>
          <w:b/>
        </w:rPr>
        <w:t>（</w:t>
      </w:r>
      <w:r>
        <w:t>一</w:t>
      </w:r>
      <w:r>
        <w:rPr>
          <w:rFonts w:ascii="Microsoft JhengHei" w:eastAsia="Microsoft JhengHei"/>
          <w:b/>
        </w:rPr>
        <w:t>）</w:t>
      </w:r>
      <w:r>
        <w:rPr>
          <w:spacing w:val="-2"/>
        </w:rPr>
        <w:t>施工管理质量监理</w:t>
      </w:r>
    </w:p>
    <w:p>
      <w:pPr>
        <w:pStyle w:val="ListParagraph"/>
        <w:numPr>
          <w:ilvl w:val="0"/>
          <w:numId w:val="59"/>
        </w:numPr>
        <w:tabs>
          <w:tab w:val="left" w:pos="1061"/>
        </w:tabs>
        <w:spacing w:before="78" w:after="0" w:line="240" w:lineRule="auto"/>
        <w:ind w:left="1061" w:right="0" w:hanging="360"/>
        <w:jc w:val="left"/>
        <w:rPr>
          <w:sz w:val="24"/>
        </w:rPr>
      </w:pPr>
      <w:r>
        <w:rPr>
          <w:spacing w:val="-3"/>
          <w:sz w:val="24"/>
        </w:rPr>
        <w:t>设计变更</w:t>
      </w:r>
    </w:p>
    <w:p>
      <w:pPr>
        <w:spacing w:after="0" w:line="240" w:lineRule="auto"/>
        <w:jc w:val="left"/>
        <w:rPr>
          <w:sz w:val="24"/>
        </w:rPr>
        <w:sectPr>
          <w:footerReference w:type="default" r:id="rId9"/>
          <w:pgSz w:w="11910" w:h="16840"/>
          <w:pgMar w:top="1460" w:right="800" w:bottom="1180" w:left="1480" w:header="0" w:footer="990"/>
          <w:pgNumType w:start="6"/>
          <w:cols w:space="708"/>
        </w:sectPr>
      </w:pPr>
    </w:p>
    <w:p>
      <w:pPr>
        <w:pStyle w:val="ListParagraph"/>
        <w:numPr>
          <w:ilvl w:val="0"/>
          <w:numId w:val="58"/>
        </w:numPr>
        <w:tabs>
          <w:tab w:val="left" w:pos="1302"/>
        </w:tabs>
        <w:spacing w:before="52" w:after="0" w:line="240" w:lineRule="auto"/>
        <w:ind w:left="1302" w:right="0" w:hanging="601"/>
        <w:jc w:val="left"/>
        <w:rPr>
          <w:sz w:val="24"/>
        </w:rPr>
      </w:pPr>
      <w:r>
        <w:rPr>
          <w:spacing w:val="-3"/>
          <w:sz w:val="24"/>
        </w:rPr>
        <w:t>施工中不论任何原因要求设计变更，施工单位都应书面通知监理和建设单位。</w:t>
      </w:r>
    </w:p>
    <w:p>
      <w:pPr>
        <w:pStyle w:val="ListParagraph"/>
        <w:numPr>
          <w:ilvl w:val="0"/>
          <w:numId w:val="58"/>
        </w:numPr>
        <w:tabs>
          <w:tab w:val="left" w:pos="1302"/>
        </w:tabs>
        <w:spacing w:before="132" w:after="0" w:line="343" w:lineRule="auto"/>
        <w:ind w:left="221" w:right="404" w:firstLine="480"/>
        <w:jc w:val="left"/>
        <w:rPr>
          <w:sz w:val="24"/>
        </w:rPr>
      </w:pPr>
      <w:r>
        <w:rPr>
          <w:spacing w:val="-2"/>
          <w:sz w:val="24"/>
        </w:rPr>
        <w:t>监理对设计变更进行审查是否对造价质量进度产生不利影响，并于收到书面</w:t>
      </w:r>
      <w:r>
        <w:rPr>
          <w:sz w:val="24"/>
        </w:rPr>
        <w:t>通知2 天内报建设单位会同设计单位签发设计变更通知单。</w:t>
      </w:r>
    </w:p>
    <w:p>
      <w:pPr>
        <w:pStyle w:val="ListParagraph"/>
        <w:numPr>
          <w:ilvl w:val="0"/>
          <w:numId w:val="59"/>
        </w:numPr>
        <w:tabs>
          <w:tab w:val="left" w:pos="1061"/>
        </w:tabs>
        <w:spacing w:before="1" w:after="0" w:line="240" w:lineRule="auto"/>
        <w:ind w:left="1061" w:right="0" w:hanging="360"/>
        <w:jc w:val="left"/>
        <w:rPr>
          <w:sz w:val="24"/>
        </w:rPr>
      </w:pPr>
      <w:r>
        <w:rPr>
          <w:spacing w:val="-2"/>
          <w:sz w:val="24"/>
        </w:rPr>
        <w:t>质量保证体系</w:t>
      </w:r>
    </w:p>
    <w:p>
      <w:pPr>
        <w:pStyle w:val="BodyText"/>
        <w:spacing w:line="343" w:lineRule="auto"/>
        <w:ind w:left="221" w:right="331" w:firstLine="480"/>
      </w:pPr>
      <w:r>
        <w:rPr>
          <w:spacing w:val="-2"/>
        </w:rPr>
        <w:t>督促检查施工单位建立健全质量保证体系，明确各级质量责任制，坚持施工单位自</w:t>
      </w:r>
      <w:r>
        <w:rPr>
          <w:spacing w:val="-2"/>
        </w:rPr>
        <w:t>检、互检、交接检制度。</w:t>
      </w:r>
    </w:p>
    <w:p>
      <w:pPr>
        <w:pStyle w:val="ListParagraph"/>
        <w:numPr>
          <w:ilvl w:val="0"/>
          <w:numId w:val="59"/>
        </w:numPr>
        <w:tabs>
          <w:tab w:val="left" w:pos="1061"/>
        </w:tabs>
        <w:spacing w:before="1" w:after="0" w:line="240" w:lineRule="auto"/>
        <w:ind w:left="1061" w:right="0" w:hanging="360"/>
        <w:jc w:val="left"/>
        <w:rPr>
          <w:sz w:val="24"/>
        </w:rPr>
      </w:pPr>
      <w:r>
        <w:rPr>
          <w:spacing w:val="-3"/>
          <w:sz w:val="24"/>
        </w:rPr>
        <w:t>计量检测</w:t>
      </w:r>
    </w:p>
    <w:p>
      <w:pPr>
        <w:pStyle w:val="BodyText"/>
        <w:spacing w:line="343" w:lineRule="auto"/>
        <w:ind w:left="221" w:right="331" w:firstLine="480"/>
      </w:pPr>
      <w:r>
        <w:rPr>
          <w:spacing w:val="-2"/>
        </w:rPr>
        <w:t>督促检查施工单位现场和施工班组配套各种必须的检测仪器和工具，以保证边安装</w:t>
      </w:r>
      <w:r>
        <w:rPr>
          <w:spacing w:val="-2"/>
        </w:rPr>
        <w:t>边检测，一次合格。</w:t>
      </w:r>
    </w:p>
    <w:p>
      <w:pPr>
        <w:pStyle w:val="ListParagraph"/>
        <w:numPr>
          <w:ilvl w:val="0"/>
          <w:numId w:val="59"/>
        </w:numPr>
        <w:tabs>
          <w:tab w:val="left" w:pos="1061"/>
        </w:tabs>
        <w:spacing w:before="1" w:after="0" w:line="240" w:lineRule="auto"/>
        <w:ind w:left="1061" w:right="0" w:hanging="360"/>
        <w:jc w:val="left"/>
        <w:rPr>
          <w:sz w:val="24"/>
        </w:rPr>
      </w:pPr>
      <w:r>
        <w:rPr>
          <w:spacing w:val="-3"/>
          <w:sz w:val="24"/>
        </w:rPr>
        <w:t>质量检查</w:t>
      </w:r>
    </w:p>
    <w:p>
      <w:pPr>
        <w:pStyle w:val="ListParagraph"/>
        <w:numPr>
          <w:ilvl w:val="0"/>
          <w:numId w:val="57"/>
        </w:numPr>
        <w:tabs>
          <w:tab w:val="left" w:pos="1302"/>
        </w:tabs>
        <w:spacing w:before="132" w:after="0" w:line="343" w:lineRule="auto"/>
        <w:ind w:left="221" w:right="331" w:firstLine="480"/>
        <w:jc w:val="left"/>
        <w:rPr>
          <w:sz w:val="24"/>
        </w:rPr>
      </w:pPr>
      <w:r>
        <w:rPr>
          <w:spacing w:val="-6"/>
          <w:sz w:val="24"/>
        </w:rPr>
        <w:t>隐蔽工程检查在施工自检后填制记录表，持表通知监理和建设单位</w:t>
      </w:r>
      <w:r>
        <w:rPr>
          <w:spacing w:val="-2"/>
          <w:sz w:val="24"/>
        </w:rPr>
        <w:t>2</w:t>
      </w:r>
      <w:r>
        <w:rPr>
          <w:spacing w:val="-11"/>
          <w:sz w:val="24"/>
        </w:rPr>
        <w:t xml:space="preserve"> 天内到场</w:t>
      </w:r>
      <w:r>
        <w:rPr>
          <w:spacing w:val="-2"/>
          <w:sz w:val="24"/>
        </w:rPr>
        <w:t>验收，经检验符合设计要求和质量标准签字方可进行下一次工序施工。</w:t>
      </w:r>
    </w:p>
    <w:p>
      <w:pPr>
        <w:pStyle w:val="ListParagraph"/>
        <w:numPr>
          <w:ilvl w:val="0"/>
          <w:numId w:val="57"/>
        </w:numPr>
        <w:tabs>
          <w:tab w:val="left" w:pos="1302"/>
        </w:tabs>
        <w:spacing w:before="1" w:after="0" w:line="343" w:lineRule="auto"/>
        <w:ind w:left="221" w:right="404" w:firstLine="480"/>
        <w:jc w:val="left"/>
        <w:rPr>
          <w:sz w:val="24"/>
        </w:rPr>
      </w:pPr>
      <w:r>
        <w:rPr>
          <w:spacing w:val="-2"/>
          <w:sz w:val="24"/>
        </w:rPr>
        <w:t>复工前检查施工单位若严重违反质量事宜，监理可行使质量否决权，令其停</w:t>
      </w:r>
      <w:r>
        <w:rPr>
          <w:spacing w:val="-2"/>
          <w:sz w:val="24"/>
        </w:rPr>
        <w:t>工。工程因某种原因停工后，需复工时均应经检查认可后下达复工令。</w:t>
      </w:r>
    </w:p>
    <w:p>
      <w:pPr>
        <w:pStyle w:val="ListParagraph"/>
        <w:numPr>
          <w:ilvl w:val="0"/>
          <w:numId w:val="57"/>
        </w:numPr>
        <w:tabs>
          <w:tab w:val="left" w:pos="1302"/>
        </w:tabs>
        <w:spacing w:before="0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分项、分部工程完工后，应经监理人员检查认可、签署验收记录。</w:t>
      </w:r>
    </w:p>
    <w:p>
      <w:pPr>
        <w:pStyle w:val="ListParagraph"/>
        <w:numPr>
          <w:ilvl w:val="0"/>
          <w:numId w:val="57"/>
        </w:numPr>
        <w:tabs>
          <w:tab w:val="left" w:pos="1302"/>
        </w:tabs>
        <w:spacing w:before="133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对于难度较大的易产生质量通病的部位，监理应随班或跟踪检查。</w:t>
      </w:r>
    </w:p>
    <w:p>
      <w:pPr>
        <w:pStyle w:val="ListParagraph"/>
        <w:numPr>
          <w:ilvl w:val="0"/>
          <w:numId w:val="59"/>
        </w:numPr>
        <w:tabs>
          <w:tab w:val="left" w:pos="1061"/>
        </w:tabs>
        <w:spacing w:before="132" w:after="0" w:line="240" w:lineRule="auto"/>
        <w:ind w:left="1061" w:right="0" w:hanging="360"/>
        <w:jc w:val="left"/>
        <w:rPr>
          <w:sz w:val="24"/>
        </w:rPr>
      </w:pPr>
      <w:r>
        <w:rPr>
          <w:spacing w:val="-2"/>
          <w:sz w:val="24"/>
        </w:rPr>
        <w:t>技术资料管理</w:t>
      </w:r>
    </w:p>
    <w:p>
      <w:pPr>
        <w:pStyle w:val="ListParagraph"/>
        <w:numPr>
          <w:ilvl w:val="0"/>
          <w:numId w:val="56"/>
        </w:numPr>
        <w:tabs>
          <w:tab w:val="left" w:pos="1302"/>
        </w:tabs>
        <w:spacing w:before="133" w:after="0" w:line="343" w:lineRule="auto"/>
        <w:ind w:left="221" w:right="211" w:firstLine="480"/>
        <w:jc w:val="left"/>
        <w:rPr>
          <w:sz w:val="24"/>
        </w:rPr>
      </w:pPr>
      <w:r>
        <w:rPr>
          <w:spacing w:val="-2"/>
          <w:sz w:val="24"/>
        </w:rPr>
        <w:t>督促检查施工单位设专人负责技术资料管理，保证及时、真实、准确、完整，</w:t>
      </w:r>
      <w:r>
        <w:rPr>
          <w:spacing w:val="-2"/>
          <w:sz w:val="24"/>
        </w:rPr>
        <w:t>及时报送监理、建设单位签字核准。</w:t>
      </w:r>
    </w:p>
    <w:p>
      <w:pPr>
        <w:pStyle w:val="ListParagraph"/>
        <w:numPr>
          <w:ilvl w:val="0"/>
          <w:numId w:val="56"/>
        </w:numPr>
        <w:tabs>
          <w:tab w:val="left" w:pos="1302"/>
        </w:tabs>
        <w:spacing w:before="0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随时抽查技术资料管理情况。</w:t>
      </w:r>
    </w:p>
    <w:p>
      <w:pPr>
        <w:pStyle w:val="BodyText"/>
        <w:spacing w:before="133"/>
      </w:pPr>
      <w:r>
        <w:t>（二）</w:t>
      </w:r>
      <w:r>
        <w:rPr>
          <w:spacing w:val="-2"/>
        </w:rPr>
        <w:t>质量要素监理</w:t>
      </w:r>
    </w:p>
    <w:p>
      <w:pPr>
        <w:pStyle w:val="ListParagraph"/>
        <w:numPr>
          <w:ilvl w:val="0"/>
          <w:numId w:val="55"/>
        </w:numPr>
        <w:tabs>
          <w:tab w:val="left" w:pos="1061"/>
        </w:tabs>
        <w:spacing w:before="132" w:after="0" w:line="240" w:lineRule="auto"/>
        <w:ind w:left="1061" w:right="0" w:hanging="360"/>
        <w:jc w:val="left"/>
        <w:rPr>
          <w:sz w:val="24"/>
        </w:rPr>
      </w:pPr>
      <w:r>
        <w:rPr>
          <w:sz w:val="24"/>
        </w:rPr>
        <w:t>人</w:t>
      </w:r>
    </w:p>
    <w:p>
      <w:pPr>
        <w:pStyle w:val="BodyText"/>
        <w:spacing w:before="133" w:line="343" w:lineRule="auto"/>
        <w:ind w:left="221" w:right="211" w:firstLine="480"/>
      </w:pPr>
      <w:r>
        <w:rPr>
          <w:spacing w:val="-2"/>
        </w:rPr>
        <w:t>每个施工队要有100%</w:t>
      </w:r>
      <w:r>
        <w:rPr>
          <w:spacing w:val="-16"/>
        </w:rPr>
        <w:t>人数持有上岗证、电工证，把参加安装人数名单上报监理公司，</w:t>
      </w:r>
      <w:r>
        <w:rPr>
          <w:spacing w:val="-2"/>
        </w:rPr>
        <w:t>附上岗证和焊工证复印件才能进场施工。</w:t>
      </w:r>
    </w:p>
    <w:p>
      <w:pPr>
        <w:pStyle w:val="ListParagraph"/>
        <w:numPr>
          <w:ilvl w:val="0"/>
          <w:numId w:val="55"/>
        </w:numPr>
        <w:tabs>
          <w:tab w:val="left" w:pos="1061"/>
        </w:tabs>
        <w:spacing w:before="1" w:after="0" w:line="240" w:lineRule="auto"/>
        <w:ind w:left="1061" w:right="0" w:hanging="360"/>
        <w:jc w:val="left"/>
        <w:rPr>
          <w:sz w:val="24"/>
        </w:rPr>
      </w:pPr>
      <w:r>
        <w:rPr>
          <w:spacing w:val="-5"/>
          <w:sz w:val="24"/>
        </w:rPr>
        <w:t>材料</w:t>
      </w:r>
    </w:p>
    <w:p>
      <w:pPr>
        <w:pStyle w:val="ListParagraph"/>
        <w:numPr>
          <w:ilvl w:val="0"/>
          <w:numId w:val="54"/>
        </w:numPr>
        <w:tabs>
          <w:tab w:val="left" w:pos="1302"/>
        </w:tabs>
        <w:spacing w:before="132" w:after="0" w:line="343" w:lineRule="auto"/>
        <w:ind w:left="221" w:right="404" w:firstLine="480"/>
        <w:jc w:val="left"/>
        <w:rPr>
          <w:sz w:val="24"/>
        </w:rPr>
      </w:pPr>
      <w:r>
        <w:rPr>
          <w:spacing w:val="-2"/>
          <w:sz w:val="24"/>
        </w:rPr>
        <w:t>各类主要安装材料订货前，施工单位提出样品（或看样品）和厂家情况产品</w:t>
      </w:r>
      <w:r>
        <w:rPr>
          <w:spacing w:val="-2"/>
          <w:sz w:val="24"/>
        </w:rPr>
        <w:t>说明书、价格等资料报监理，会同建设、设计单位认定后方可订货。</w:t>
      </w:r>
    </w:p>
    <w:p>
      <w:pPr>
        <w:pStyle w:val="ListParagraph"/>
        <w:numPr>
          <w:ilvl w:val="0"/>
          <w:numId w:val="54"/>
        </w:numPr>
        <w:tabs>
          <w:tab w:val="left" w:pos="1302"/>
        </w:tabs>
        <w:spacing w:before="1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主要材料、设备订货前，施工单位提出申报监理和建设单位审核认定。</w:t>
      </w:r>
    </w:p>
    <w:p>
      <w:pPr>
        <w:pStyle w:val="ListParagraph"/>
        <w:numPr>
          <w:ilvl w:val="0"/>
          <w:numId w:val="54"/>
        </w:numPr>
        <w:tabs>
          <w:tab w:val="left" w:pos="1302"/>
        </w:tabs>
        <w:spacing w:before="132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对于工程主要材料进场时必须有正式合格证和材料化验单。</w:t>
      </w:r>
    </w:p>
    <w:p>
      <w:pPr>
        <w:pStyle w:val="ListParagraph"/>
        <w:numPr>
          <w:ilvl w:val="0"/>
          <w:numId w:val="54"/>
        </w:numPr>
        <w:tabs>
          <w:tab w:val="left" w:pos="1302"/>
        </w:tabs>
        <w:spacing w:before="133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凡是标志不清或怀疑质量问题不允许使用。</w:t>
      </w:r>
    </w:p>
    <w:p>
      <w:pPr>
        <w:pStyle w:val="ListParagraph"/>
        <w:numPr>
          <w:ilvl w:val="0"/>
          <w:numId w:val="54"/>
        </w:numPr>
        <w:tabs>
          <w:tab w:val="left" w:pos="1302"/>
        </w:tabs>
        <w:spacing w:before="132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按照有关文件要求，对钢结构材料进行抽样、见证、送检，试验合格报告后</w:t>
      </w:r>
    </w:p>
    <w:p>
      <w:pPr>
        <w:spacing w:after="0" w:line="240" w:lineRule="auto"/>
        <w:jc w:val="left"/>
        <w:rPr>
          <w:sz w:val="24"/>
        </w:rPr>
        <w:sectPr>
          <w:footerReference w:type="default" r:id="rId10"/>
          <w:pgSz w:w="11910" w:h="16840"/>
          <w:pgMar w:top="1460" w:right="800" w:bottom="1180" w:left="1480" w:header="0" w:footer="990"/>
          <w:pgNumType w:start="7"/>
          <w:cols w:space="708"/>
        </w:sectPr>
      </w:pPr>
    </w:p>
    <w:p>
      <w:pPr>
        <w:pStyle w:val="BodyText"/>
        <w:spacing w:before="52"/>
        <w:ind w:left="221"/>
      </w:pPr>
      <w:r>
        <w:rPr>
          <w:spacing w:val="-2"/>
        </w:rPr>
        <w:t>方可使用。</w:t>
      </w:r>
    </w:p>
    <w:p>
      <w:pPr>
        <w:pStyle w:val="BodyText"/>
        <w:spacing w:before="0"/>
        <w:ind w:left="0"/>
      </w:pPr>
    </w:p>
    <w:p>
      <w:pPr>
        <w:pStyle w:val="BodyText"/>
        <w:spacing w:before="7"/>
        <w:ind w:left="0"/>
        <w:rPr>
          <w:sz w:val="17"/>
        </w:rPr>
      </w:pPr>
    </w:p>
    <w:p>
      <w:pPr>
        <w:spacing w:before="0"/>
        <w:ind w:left="221" w:right="0" w:firstLine="0"/>
        <w:jc w:val="left"/>
        <w:rPr>
          <w:sz w:val="28"/>
        </w:rPr>
      </w:pPr>
      <w:r>
        <w:rPr>
          <w:sz w:val="28"/>
        </w:rPr>
        <w:t>六、钢结构分部（子分部）</w:t>
      </w:r>
      <w:r>
        <w:rPr>
          <w:spacing w:val="-1"/>
          <w:sz w:val="28"/>
        </w:rPr>
        <w:t>工程工艺过程质量监理控制点和控制方法</w:t>
      </w:r>
    </w:p>
    <w:p>
      <w:pPr>
        <w:pStyle w:val="BodyText"/>
        <w:spacing w:before="121"/>
      </w:pPr>
      <w:r>
        <w:t>（一）</w:t>
      </w:r>
      <w:r>
        <w:rPr>
          <w:spacing w:val="-1"/>
        </w:rPr>
        <w:t>原材料及成品进场验收的控制</w:t>
      </w:r>
    </w:p>
    <w:p>
      <w:pPr>
        <w:pStyle w:val="BodyText"/>
        <w:spacing w:before="133" w:line="343" w:lineRule="auto"/>
        <w:ind w:left="221" w:right="331" w:firstLine="480"/>
        <w:jc w:val="both"/>
      </w:pPr>
      <w:r>
        <w:rPr>
          <w:spacing w:val="-2"/>
        </w:rPr>
        <w:t>钢结构工程原材料及成品的控制是保证工程质量的关键，也是控制要点之一，所有</w:t>
      </w:r>
      <w:r>
        <w:rPr>
          <w:spacing w:val="-2"/>
        </w:rPr>
        <w:t>原材料及成品的品种规格、性能等应符合国家产品标准和设计要求，应全数检查产品的</w:t>
      </w:r>
      <w:r>
        <w:rPr>
          <w:spacing w:val="-2"/>
        </w:rPr>
        <w:t>质量合格证明文件、中文标志及检验报告等为主控项目。</w:t>
      </w:r>
    </w:p>
    <w:p>
      <w:pPr>
        <w:pStyle w:val="ListParagraph"/>
        <w:numPr>
          <w:ilvl w:val="0"/>
          <w:numId w:val="53"/>
        </w:numPr>
        <w:tabs>
          <w:tab w:val="left" w:pos="1061"/>
        </w:tabs>
        <w:spacing w:before="0" w:after="0" w:line="240" w:lineRule="auto"/>
        <w:ind w:left="1061" w:right="0" w:hanging="360"/>
        <w:jc w:val="both"/>
        <w:rPr>
          <w:sz w:val="24"/>
        </w:rPr>
      </w:pPr>
      <w:r>
        <w:rPr>
          <w:spacing w:val="-2"/>
          <w:sz w:val="24"/>
        </w:rPr>
        <w:t>钢材的控制</w:t>
      </w:r>
    </w:p>
    <w:p>
      <w:pPr>
        <w:pStyle w:val="ListParagraph"/>
        <w:numPr>
          <w:ilvl w:val="0"/>
          <w:numId w:val="52"/>
        </w:numPr>
        <w:tabs>
          <w:tab w:val="left" w:pos="1293"/>
        </w:tabs>
        <w:spacing w:before="133" w:after="0" w:line="343" w:lineRule="auto"/>
        <w:ind w:left="221" w:right="412" w:firstLine="470"/>
        <w:jc w:val="left"/>
        <w:rPr>
          <w:sz w:val="24"/>
        </w:rPr>
      </w:pPr>
      <w:r>
        <w:rPr>
          <w:spacing w:val="-2"/>
          <w:sz w:val="24"/>
        </w:rPr>
        <w:t>钢材、钢铸材的品种、规格、性能等应符合现行国家产品标准和设计要求。</w:t>
      </w:r>
      <w:r>
        <w:rPr>
          <w:spacing w:val="-2"/>
          <w:sz w:val="24"/>
        </w:rPr>
        <w:t>进口钢材产品的质量应符合设计和合同规定标准的要求。</w:t>
      </w:r>
    </w:p>
    <w:p>
      <w:pPr>
        <w:pStyle w:val="BodyText"/>
        <w:spacing w:before="1"/>
      </w:pPr>
      <w:r>
        <w:rPr>
          <w:spacing w:val="-1"/>
        </w:rPr>
        <w:t>检查数量：全数检查。</w:t>
      </w:r>
    </w:p>
    <w:p>
      <w:pPr>
        <w:pStyle w:val="BodyText"/>
      </w:pPr>
      <w:r>
        <w:rPr>
          <w:spacing w:val="-1"/>
        </w:rPr>
        <w:t>检验方法：检查质量合格证明文件、中文标志及检验报告等。</w:t>
      </w:r>
    </w:p>
    <w:p>
      <w:pPr>
        <w:pStyle w:val="ListParagraph"/>
        <w:numPr>
          <w:ilvl w:val="0"/>
          <w:numId w:val="52"/>
        </w:numPr>
        <w:tabs>
          <w:tab w:val="left" w:pos="1302"/>
        </w:tabs>
        <w:spacing w:before="133" w:after="0" w:line="343" w:lineRule="auto"/>
        <w:ind w:left="221" w:right="404" w:firstLine="480"/>
        <w:jc w:val="left"/>
        <w:rPr>
          <w:sz w:val="24"/>
        </w:rPr>
      </w:pPr>
      <w:r>
        <w:rPr>
          <w:spacing w:val="-2"/>
          <w:sz w:val="24"/>
        </w:rPr>
        <w:t>对属于下列情况之一的钢材，应进行抽样复验，其复验结构应符合现行国家</w:t>
      </w:r>
      <w:r>
        <w:rPr>
          <w:spacing w:val="-2"/>
          <w:sz w:val="24"/>
        </w:rPr>
        <w:t>产品标准和设计要求。</w:t>
      </w:r>
    </w:p>
    <w:p>
      <w:pPr>
        <w:pStyle w:val="ListParagraph"/>
        <w:numPr>
          <w:ilvl w:val="0"/>
          <w:numId w:val="51"/>
        </w:numPr>
        <w:tabs>
          <w:tab w:val="left" w:pos="1062"/>
        </w:tabs>
        <w:spacing w:before="0" w:after="0" w:line="240" w:lineRule="auto"/>
        <w:ind w:left="1062" w:right="0" w:hanging="361"/>
        <w:jc w:val="left"/>
        <w:rPr>
          <w:sz w:val="24"/>
        </w:rPr>
      </w:pPr>
      <w:r>
        <w:rPr>
          <w:spacing w:val="-2"/>
          <w:sz w:val="24"/>
        </w:rPr>
        <w:t>国外进口钢材；</w:t>
      </w:r>
    </w:p>
    <w:p>
      <w:pPr>
        <w:pStyle w:val="ListParagraph"/>
        <w:numPr>
          <w:ilvl w:val="0"/>
          <w:numId w:val="51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2"/>
          <w:sz w:val="24"/>
        </w:rPr>
        <w:t>钢材混批；</w:t>
      </w:r>
    </w:p>
    <w:p>
      <w:pPr>
        <w:pStyle w:val="ListParagraph"/>
        <w:numPr>
          <w:ilvl w:val="0"/>
          <w:numId w:val="51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z w:val="24"/>
        </w:rPr>
        <w:t>板厚等于或大于40MM，且设计有Z</w:t>
      </w:r>
      <w:r>
        <w:rPr>
          <w:spacing w:val="-1"/>
          <w:sz w:val="24"/>
        </w:rPr>
        <w:t xml:space="preserve"> 向性能要求的厚板；</w:t>
      </w:r>
    </w:p>
    <w:p>
      <w:pPr>
        <w:pStyle w:val="ListParagraph"/>
        <w:numPr>
          <w:ilvl w:val="0"/>
          <w:numId w:val="51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1"/>
          <w:sz w:val="24"/>
        </w:rPr>
        <w:t>建筑结构安全等级为一级，大跨度钢结构中主要受力构件所采用的钢材；</w:t>
      </w:r>
    </w:p>
    <w:p>
      <w:pPr>
        <w:pStyle w:val="ListParagraph"/>
        <w:numPr>
          <w:ilvl w:val="0"/>
          <w:numId w:val="51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1"/>
          <w:sz w:val="24"/>
        </w:rPr>
        <w:t>设计有复验要求的钢材；</w:t>
      </w:r>
    </w:p>
    <w:p>
      <w:pPr>
        <w:pStyle w:val="ListParagraph"/>
        <w:numPr>
          <w:ilvl w:val="0"/>
          <w:numId w:val="51"/>
        </w:numPr>
        <w:tabs>
          <w:tab w:val="left" w:pos="1062"/>
        </w:tabs>
        <w:spacing w:before="133" w:after="0" w:line="343" w:lineRule="auto"/>
        <w:ind w:left="701" w:right="6164" w:firstLine="0"/>
        <w:jc w:val="left"/>
        <w:rPr>
          <w:sz w:val="24"/>
        </w:rPr>
      </w:pPr>
      <w:r>
        <w:rPr>
          <w:spacing w:val="-2"/>
          <w:sz w:val="24"/>
        </w:rPr>
        <w:t>对质量有疑义的钢材。</w:t>
      </w:r>
      <w:r>
        <w:rPr>
          <w:spacing w:val="-2"/>
          <w:sz w:val="24"/>
        </w:rPr>
        <w:t>检查数量：全数检查。</w:t>
      </w:r>
    </w:p>
    <w:p>
      <w:pPr>
        <w:pStyle w:val="BodyText"/>
        <w:spacing w:before="0"/>
      </w:pPr>
      <w:r>
        <w:rPr>
          <w:spacing w:val="-1"/>
        </w:rPr>
        <w:t>检验方法：检查复验报告。</w:t>
      </w:r>
    </w:p>
    <w:p>
      <w:pPr>
        <w:pStyle w:val="ListParagraph"/>
        <w:numPr>
          <w:ilvl w:val="0"/>
          <w:numId w:val="52"/>
        </w:numPr>
        <w:tabs>
          <w:tab w:val="left" w:pos="1302"/>
        </w:tabs>
        <w:spacing w:before="133" w:after="0" w:line="343" w:lineRule="auto"/>
        <w:ind w:left="701" w:right="3284" w:firstLine="0"/>
        <w:jc w:val="left"/>
        <w:rPr>
          <w:sz w:val="24"/>
        </w:rPr>
      </w:pPr>
      <w:r>
        <w:rPr>
          <w:spacing w:val="-2"/>
          <w:sz w:val="24"/>
        </w:rPr>
        <w:t>钢板厚度及允许偏差应符合其产品标准的要求。</w:t>
      </w:r>
      <w:r>
        <w:rPr>
          <w:sz w:val="24"/>
        </w:rPr>
        <w:t>检查数量：每一品种、规格的钢板抽查5 处。</w:t>
      </w:r>
    </w:p>
    <w:p>
      <w:pPr>
        <w:pStyle w:val="BodyText"/>
        <w:spacing w:before="0"/>
      </w:pPr>
      <w:r>
        <w:rPr>
          <w:spacing w:val="-1"/>
        </w:rPr>
        <w:t>检验方法：用游标卡尺量测。</w:t>
      </w:r>
    </w:p>
    <w:p>
      <w:pPr>
        <w:pStyle w:val="ListParagraph"/>
        <w:numPr>
          <w:ilvl w:val="0"/>
          <w:numId w:val="52"/>
        </w:numPr>
        <w:tabs>
          <w:tab w:val="left" w:pos="1302"/>
        </w:tabs>
        <w:spacing w:before="133" w:after="0" w:line="343" w:lineRule="auto"/>
        <w:ind w:left="701" w:right="2804" w:firstLine="0"/>
        <w:jc w:val="left"/>
        <w:rPr>
          <w:sz w:val="24"/>
        </w:rPr>
      </w:pPr>
      <w:r>
        <w:rPr>
          <w:spacing w:val="-2"/>
          <w:sz w:val="24"/>
        </w:rPr>
        <w:t>型钢的规格尺寸及允许偏差符合其产品标准的要求。</w:t>
      </w:r>
      <w:r>
        <w:rPr>
          <w:sz w:val="24"/>
        </w:rPr>
        <w:t>检查数量：每一品种、规格的钢板抽查5 处。</w:t>
      </w:r>
    </w:p>
    <w:p>
      <w:pPr>
        <w:pStyle w:val="BodyText"/>
        <w:spacing w:before="0"/>
      </w:pPr>
      <w:r>
        <w:rPr>
          <w:spacing w:val="-1"/>
        </w:rPr>
        <w:t>检验方法：用游标卡尺量测。</w:t>
      </w:r>
    </w:p>
    <w:p>
      <w:pPr>
        <w:pStyle w:val="ListParagraph"/>
        <w:numPr>
          <w:ilvl w:val="0"/>
          <w:numId w:val="52"/>
        </w:numPr>
        <w:tabs>
          <w:tab w:val="left" w:pos="1302"/>
        </w:tabs>
        <w:spacing w:before="133" w:after="0" w:line="343" w:lineRule="auto"/>
        <w:ind w:left="221" w:right="404" w:firstLine="480"/>
        <w:jc w:val="left"/>
        <w:rPr>
          <w:sz w:val="24"/>
        </w:rPr>
      </w:pPr>
      <w:r>
        <w:rPr>
          <w:spacing w:val="-2"/>
          <w:sz w:val="24"/>
        </w:rPr>
        <w:t>钢材的表面外观质量除应符合国家现行有关标准的规定外，尚应符合下列规</w:t>
      </w:r>
      <w:r>
        <w:rPr>
          <w:spacing w:val="-6"/>
          <w:sz w:val="24"/>
        </w:rPr>
        <w:t>定：</w:t>
      </w:r>
    </w:p>
    <w:p>
      <w:pPr>
        <w:pStyle w:val="ListParagraph"/>
        <w:numPr>
          <w:ilvl w:val="0"/>
          <w:numId w:val="50"/>
        </w:numPr>
        <w:tabs>
          <w:tab w:val="left" w:pos="1062"/>
        </w:tabs>
        <w:spacing w:before="0" w:after="0" w:line="240" w:lineRule="auto"/>
        <w:ind w:left="1062" w:right="0" w:hanging="361"/>
        <w:jc w:val="left"/>
        <w:rPr>
          <w:sz w:val="24"/>
        </w:rPr>
      </w:pPr>
      <w:r>
        <w:rPr>
          <w:spacing w:val="-1"/>
          <w:sz w:val="24"/>
        </w:rPr>
        <w:t>当钢材的表面有锈蚀、麻点或划痕等缺陷时，其深度不得大于该钢材厚度负允</w:t>
      </w:r>
    </w:p>
    <w:p>
      <w:pPr>
        <w:spacing w:after="0" w:line="240" w:lineRule="auto"/>
        <w:jc w:val="left"/>
        <w:rPr>
          <w:sz w:val="24"/>
        </w:rPr>
        <w:sectPr>
          <w:footerReference w:type="default" r:id="rId11"/>
          <w:pgSz w:w="11910" w:h="16840"/>
          <w:pgMar w:top="1460" w:right="800" w:bottom="1180" w:left="1480" w:header="0" w:footer="990"/>
          <w:pgNumType w:start="8"/>
          <w:cols w:space="708"/>
        </w:sectPr>
      </w:pPr>
    </w:p>
    <w:p>
      <w:pPr>
        <w:pStyle w:val="BodyText"/>
        <w:spacing w:before="52"/>
        <w:ind w:left="221"/>
      </w:pPr>
      <w:r>
        <w:t>许偏差值的</w:t>
      </w:r>
      <w:r>
        <w:rPr>
          <w:spacing w:val="-4"/>
        </w:rPr>
        <w:t>1/2；</w:t>
      </w:r>
    </w:p>
    <w:p>
      <w:pPr>
        <w:pStyle w:val="ListParagraph"/>
        <w:numPr>
          <w:ilvl w:val="0"/>
          <w:numId w:val="67"/>
        </w:numPr>
        <w:tabs>
          <w:tab w:val="left" w:pos="1062"/>
        </w:tabs>
        <w:spacing w:before="132" w:after="0" w:line="343" w:lineRule="auto"/>
        <w:ind w:left="221" w:right="404" w:firstLine="480"/>
        <w:jc w:val="left"/>
        <w:rPr>
          <w:sz w:val="24"/>
        </w:rPr>
      </w:pPr>
      <w:r>
        <w:rPr>
          <w:spacing w:val="-2"/>
          <w:sz w:val="24"/>
        </w:rPr>
        <w:t>钢材表面的锈蚀等级应符合现行国家标准《涂装前钢材表面锈蚀等级和除锈等</w:t>
      </w:r>
      <w:r>
        <w:rPr>
          <w:sz w:val="24"/>
        </w:rPr>
        <w:t>级》GB8923 规定的C 级及C 级以上；</w:t>
      </w:r>
    </w:p>
    <w:p>
      <w:pPr>
        <w:pStyle w:val="ListParagraph"/>
        <w:numPr>
          <w:ilvl w:val="0"/>
          <w:numId w:val="67"/>
        </w:numPr>
        <w:tabs>
          <w:tab w:val="left" w:pos="1062"/>
        </w:tabs>
        <w:spacing w:before="1" w:after="0" w:line="343" w:lineRule="auto"/>
        <w:ind w:left="701" w:right="3764" w:firstLine="0"/>
        <w:jc w:val="left"/>
        <w:rPr>
          <w:sz w:val="24"/>
        </w:rPr>
      </w:pPr>
      <w:r>
        <w:rPr>
          <w:spacing w:val="-2"/>
          <w:sz w:val="24"/>
        </w:rPr>
        <w:t>钢材端边或断口处不应有分层、夹渣等缺陷。</w:t>
      </w:r>
      <w:r>
        <w:rPr>
          <w:spacing w:val="-2"/>
          <w:sz w:val="24"/>
        </w:rPr>
        <w:t>检查数量：全数检查。</w:t>
      </w:r>
    </w:p>
    <w:p>
      <w:pPr>
        <w:pStyle w:val="BodyText"/>
        <w:spacing w:before="0"/>
      </w:pPr>
      <w:r>
        <w:rPr>
          <w:spacing w:val="-1"/>
        </w:rPr>
        <w:t>检验方法：观察检查。</w:t>
      </w:r>
    </w:p>
    <w:p>
      <w:pPr>
        <w:pStyle w:val="ListParagraph"/>
        <w:numPr>
          <w:ilvl w:val="0"/>
          <w:numId w:val="53"/>
        </w:numPr>
        <w:tabs>
          <w:tab w:val="left" w:pos="1061"/>
        </w:tabs>
        <w:spacing w:before="133" w:after="0" w:line="240" w:lineRule="auto"/>
        <w:ind w:left="1061" w:right="0" w:hanging="360"/>
        <w:jc w:val="left"/>
        <w:rPr>
          <w:sz w:val="24"/>
        </w:rPr>
      </w:pPr>
      <w:r>
        <w:rPr>
          <w:spacing w:val="-2"/>
          <w:sz w:val="24"/>
        </w:rPr>
        <w:t>焊接材料的控制</w:t>
      </w:r>
    </w:p>
    <w:p>
      <w:pPr>
        <w:pStyle w:val="ListParagraph"/>
        <w:numPr>
          <w:ilvl w:val="0"/>
          <w:numId w:val="49"/>
        </w:numPr>
        <w:tabs>
          <w:tab w:val="left" w:pos="1302"/>
        </w:tabs>
        <w:spacing w:before="132" w:after="0" w:line="343" w:lineRule="auto"/>
        <w:ind w:left="221" w:right="404" w:firstLine="480"/>
        <w:jc w:val="left"/>
        <w:rPr>
          <w:sz w:val="24"/>
        </w:rPr>
      </w:pPr>
      <w:r>
        <w:rPr>
          <w:spacing w:val="-2"/>
          <w:sz w:val="24"/>
        </w:rPr>
        <w:t>检查：焊接材料的质量合格证、中文标志及检验报告等重要部位焊接材料进</w:t>
      </w:r>
      <w:r>
        <w:rPr>
          <w:spacing w:val="-2"/>
          <w:sz w:val="24"/>
        </w:rPr>
        <w:t>行抽样复验。</w:t>
      </w:r>
    </w:p>
    <w:p>
      <w:pPr>
        <w:pStyle w:val="ListParagraph"/>
        <w:numPr>
          <w:ilvl w:val="0"/>
          <w:numId w:val="49"/>
        </w:numPr>
        <w:tabs>
          <w:tab w:val="left" w:pos="1302"/>
        </w:tabs>
        <w:spacing w:before="1" w:after="0" w:line="343" w:lineRule="auto"/>
        <w:ind w:left="221" w:right="404" w:firstLine="480"/>
        <w:jc w:val="left"/>
        <w:rPr>
          <w:sz w:val="24"/>
        </w:rPr>
      </w:pPr>
      <w:r>
        <w:rPr>
          <w:spacing w:val="-2"/>
          <w:sz w:val="24"/>
        </w:rPr>
        <w:t>观察焊条外观不应有药皮脱落、焊芯生锈等缺陷；焊剂不应受潮结块，按要</w:t>
      </w:r>
      <w:r>
        <w:rPr>
          <w:sz w:val="24"/>
        </w:rPr>
        <w:t>求抽查1%且不应少于10 包。</w:t>
      </w:r>
    </w:p>
    <w:p>
      <w:pPr>
        <w:pStyle w:val="ListParagraph"/>
        <w:numPr>
          <w:ilvl w:val="0"/>
          <w:numId w:val="53"/>
        </w:numPr>
        <w:tabs>
          <w:tab w:val="left" w:pos="1061"/>
        </w:tabs>
        <w:spacing w:before="0" w:after="0" w:line="240" w:lineRule="auto"/>
        <w:ind w:left="1061" w:right="0" w:hanging="360"/>
        <w:jc w:val="left"/>
        <w:rPr>
          <w:sz w:val="24"/>
        </w:rPr>
      </w:pPr>
      <w:r>
        <w:rPr>
          <w:spacing w:val="-1"/>
          <w:sz w:val="24"/>
        </w:rPr>
        <w:t>连接用紧固标准件的控制</w:t>
      </w:r>
    </w:p>
    <w:p>
      <w:pPr>
        <w:pStyle w:val="BodyText"/>
        <w:spacing w:before="21" w:line="440" w:lineRule="exact"/>
        <w:ind w:left="221" w:right="331" w:firstLine="480"/>
        <w:jc w:val="both"/>
      </w:pPr>
      <w:r>
        <w:rPr>
          <w:spacing w:val="-2"/>
        </w:rPr>
        <w:t>钢结构连接用高强度大六角头螺栓连接副、扭剪型高强度螺栓连接副、钢网架用高</w:t>
      </w:r>
      <w:r>
        <w:rPr>
          <w:spacing w:val="-2"/>
        </w:rPr>
        <w:t>强度螺栓、普通螺栓、铆钉、自攻钉、拉铆钉、射钉、锚栓</w:t>
      </w:r>
      <w:r>
        <w:rPr>
          <w:rFonts w:ascii="Microsoft JhengHei" w:eastAsia="Microsoft JhengHei"/>
          <w:b/>
          <w:spacing w:val="-2"/>
        </w:rPr>
        <w:t>（</w:t>
      </w:r>
      <w:r>
        <w:rPr>
          <w:spacing w:val="-2"/>
        </w:rPr>
        <w:t>机械和化学试剂型</w:t>
      </w:r>
      <w:r>
        <w:rPr>
          <w:rFonts w:ascii="Microsoft JhengHei" w:eastAsia="Microsoft JhengHei"/>
          <w:b/>
          <w:spacing w:val="-2"/>
        </w:rPr>
        <w:t>）</w:t>
      </w:r>
      <w:r>
        <w:rPr>
          <w:spacing w:val="-2"/>
        </w:rPr>
        <w:t>、地</w:t>
      </w:r>
      <w:r>
        <w:rPr>
          <w:spacing w:val="-2"/>
        </w:rPr>
        <w:t>脚锚栓等紧固标准及螺母、垫圈等标准配件，其品种、规格、性能等应符合现行国家产</w:t>
      </w:r>
      <w:r>
        <w:rPr>
          <w:spacing w:val="-2"/>
        </w:rPr>
        <w:t>品标准和设计要求。高强大六角头螺栓连接副和扭剪型高强螺栓连接副出厂时应分别随</w:t>
      </w:r>
      <w:r>
        <w:rPr>
          <w:spacing w:val="-2"/>
        </w:rPr>
        <w:t>箱有扭矩系数和紧固轴力</w:t>
      </w:r>
      <w:r>
        <w:rPr>
          <w:rFonts w:ascii="Microsoft JhengHei" w:eastAsia="Microsoft JhengHei"/>
          <w:b/>
          <w:spacing w:val="-2"/>
        </w:rPr>
        <w:t>（</w:t>
      </w:r>
      <w:r>
        <w:rPr>
          <w:spacing w:val="-2"/>
        </w:rPr>
        <w:t>预拉力</w:t>
      </w:r>
      <w:r>
        <w:rPr>
          <w:rFonts w:ascii="Microsoft JhengHei" w:eastAsia="Microsoft JhengHei"/>
          <w:b/>
          <w:spacing w:val="-2"/>
        </w:rPr>
        <w:t>）</w:t>
      </w:r>
      <w:r>
        <w:rPr>
          <w:spacing w:val="-2"/>
        </w:rPr>
        <w:t>的检验报告。</w:t>
      </w:r>
    </w:p>
    <w:p>
      <w:pPr>
        <w:pStyle w:val="BodyText"/>
        <w:spacing w:before="112"/>
      </w:pPr>
      <w:r>
        <w:rPr>
          <w:spacing w:val="-1"/>
        </w:rPr>
        <w:t>检查数量：全数检查。</w:t>
      </w:r>
    </w:p>
    <w:p>
      <w:pPr>
        <w:pStyle w:val="BodyText"/>
      </w:pPr>
      <w:r>
        <w:rPr>
          <w:spacing w:val="-1"/>
        </w:rPr>
        <w:t>检验方法：检查产品的质量合格证明文件、中文标志及检验报告等。</w:t>
      </w:r>
    </w:p>
    <w:p>
      <w:pPr>
        <w:pStyle w:val="ListParagraph"/>
        <w:numPr>
          <w:ilvl w:val="0"/>
          <w:numId w:val="53"/>
        </w:numPr>
        <w:tabs>
          <w:tab w:val="left" w:pos="1061"/>
        </w:tabs>
        <w:spacing w:before="133" w:after="0" w:line="343" w:lineRule="auto"/>
        <w:ind w:left="221" w:right="331" w:firstLine="480"/>
        <w:jc w:val="both"/>
        <w:rPr>
          <w:sz w:val="24"/>
        </w:rPr>
      </w:pPr>
      <w:r>
        <w:rPr>
          <w:spacing w:val="-6"/>
          <w:sz w:val="24"/>
        </w:rPr>
        <w:t>封板、锥头、套筒外观不得有裂纹、过烧及氧化皮，用放大镜人和表面擦伤每种</w:t>
      </w:r>
      <w:r>
        <w:rPr>
          <w:sz w:val="24"/>
        </w:rPr>
        <w:t>抽查5%，且不应少于10 只。</w:t>
      </w:r>
    </w:p>
    <w:p>
      <w:pPr>
        <w:pStyle w:val="ListParagraph"/>
        <w:numPr>
          <w:ilvl w:val="0"/>
          <w:numId w:val="53"/>
        </w:numPr>
        <w:tabs>
          <w:tab w:val="left" w:pos="1061"/>
        </w:tabs>
        <w:spacing w:before="0" w:after="0" w:line="343" w:lineRule="auto"/>
        <w:ind w:left="221" w:right="331" w:firstLine="480"/>
        <w:jc w:val="both"/>
        <w:rPr>
          <w:sz w:val="24"/>
        </w:rPr>
      </w:pPr>
      <w:r>
        <w:rPr>
          <w:spacing w:val="-11"/>
          <w:sz w:val="24"/>
        </w:rPr>
        <w:t>金属压型板的规格尺寸及允许偏差、表面质量、涂层质量应设计和规范要求，观</w:t>
      </w:r>
      <w:r>
        <w:rPr>
          <w:sz w:val="24"/>
        </w:rPr>
        <w:t>察和用10 倍放大镜检查及尺量，每种规格抽查5%，且不应少于3 件。</w:t>
      </w:r>
    </w:p>
    <w:p>
      <w:pPr>
        <w:pStyle w:val="ListParagraph"/>
        <w:numPr>
          <w:ilvl w:val="0"/>
          <w:numId w:val="53"/>
        </w:numPr>
        <w:tabs>
          <w:tab w:val="left" w:pos="1061"/>
        </w:tabs>
        <w:spacing w:before="1" w:after="0" w:line="343" w:lineRule="auto"/>
        <w:ind w:left="221" w:right="331" w:firstLine="480"/>
        <w:jc w:val="both"/>
        <w:rPr>
          <w:sz w:val="24"/>
        </w:rPr>
      </w:pPr>
      <w:r>
        <w:rPr>
          <w:spacing w:val="-16"/>
          <w:sz w:val="24"/>
        </w:rPr>
        <w:t>涂装材料：钢结构防腐涂料和防火涂料</w:t>
      </w:r>
      <w:r>
        <w:rPr>
          <w:spacing w:val="-2"/>
          <w:sz w:val="24"/>
        </w:rPr>
        <w:t>（经过具有资质的检测机构检测符合国家</w:t>
      </w:r>
      <w:r>
        <w:rPr>
          <w:spacing w:val="-2"/>
          <w:sz w:val="24"/>
        </w:rPr>
        <w:t>现行有关标准的规定）的型号、颜色及有效期应与其证明文件相符。开启后，不应存在</w:t>
      </w:r>
      <w:r>
        <w:rPr>
          <w:sz w:val="24"/>
        </w:rPr>
        <w:t>结皮结块、凝胶等现象，观察按桶数抽5%，且不应少于5 桶。</w:t>
      </w:r>
    </w:p>
    <w:p>
      <w:pPr>
        <w:pStyle w:val="BodyText"/>
        <w:spacing w:before="1"/>
      </w:pPr>
      <w:r>
        <w:t>（二）</w:t>
      </w:r>
      <w:r>
        <w:rPr>
          <w:spacing w:val="-2"/>
        </w:rPr>
        <w:t>钢结构焊接工程</w:t>
      </w:r>
    </w:p>
    <w:p>
      <w:pPr>
        <w:pStyle w:val="ListParagraph"/>
        <w:numPr>
          <w:ilvl w:val="0"/>
          <w:numId w:val="48"/>
        </w:numPr>
        <w:tabs>
          <w:tab w:val="left" w:pos="1061"/>
        </w:tabs>
        <w:spacing w:before="132" w:after="0" w:line="343" w:lineRule="auto"/>
        <w:ind w:left="221" w:right="331" w:firstLine="480"/>
        <w:jc w:val="left"/>
        <w:rPr>
          <w:sz w:val="24"/>
        </w:rPr>
      </w:pPr>
      <w:r>
        <w:rPr>
          <w:spacing w:val="-2"/>
          <w:sz w:val="24"/>
        </w:rPr>
        <w:t>焊缝施焊后应在工艺规定的焊缝及部位打上焊工钢印</w:t>
      </w:r>
      <w:r>
        <w:rPr>
          <w:spacing w:val="-18"/>
          <w:sz w:val="24"/>
        </w:rPr>
        <w:t>。如发现焊缝检验中同一焊</w:t>
      </w:r>
      <w:r>
        <w:rPr>
          <w:spacing w:val="-2"/>
          <w:sz w:val="24"/>
        </w:rPr>
        <w:t>工钢印经常缺陷，应发监理通知及时处理，以避免工艺缺陷发生。</w:t>
      </w:r>
    </w:p>
    <w:p>
      <w:pPr>
        <w:pStyle w:val="ListParagraph"/>
        <w:numPr>
          <w:ilvl w:val="0"/>
          <w:numId w:val="48"/>
        </w:numPr>
        <w:tabs>
          <w:tab w:val="left" w:pos="1061"/>
        </w:tabs>
        <w:spacing w:before="1" w:after="0" w:line="343" w:lineRule="auto"/>
        <w:ind w:left="221" w:right="331" w:firstLine="480"/>
        <w:jc w:val="left"/>
        <w:rPr>
          <w:sz w:val="24"/>
        </w:rPr>
      </w:pPr>
      <w:r>
        <w:rPr>
          <w:spacing w:val="-14"/>
          <w:sz w:val="24"/>
        </w:rPr>
        <w:t>设计要求全焊透的一、二级焊缝应采用超声波探伤进行内部缺陷的检验，超声波</w:t>
      </w:r>
      <w:r>
        <w:rPr>
          <w:spacing w:val="-2"/>
          <w:sz w:val="24"/>
        </w:rPr>
        <w:t>探伤不能对缺陷做出判断时，应采用射线探伤，其内部缺陷分级及探伤方法应符合现行</w:t>
      </w:r>
    </w:p>
    <w:p>
      <w:pPr>
        <w:spacing w:after="0" w:line="343" w:lineRule="auto"/>
        <w:jc w:val="left"/>
        <w:rPr>
          <w:sz w:val="24"/>
        </w:rPr>
        <w:sectPr>
          <w:footerReference w:type="default" r:id="rId12"/>
          <w:pgSz w:w="11910" w:h="16840"/>
          <w:pgMar w:top="1460" w:right="800" w:bottom="1180" w:left="1480" w:header="0" w:footer="990"/>
          <w:pgNumType w:start="9"/>
          <w:cols w:space="708"/>
        </w:sectPr>
      </w:pPr>
    </w:p>
    <w:p>
      <w:pPr>
        <w:pStyle w:val="BodyText"/>
        <w:spacing w:before="0" w:line="413" w:lineRule="exact"/>
        <w:ind w:left="221"/>
      </w:pPr>
      <w:r>
        <w:rPr>
          <w:spacing w:val="-6"/>
        </w:rPr>
        <w:t>国家标准《钢焊手工超声波探伤方法和探伤结果分级法》</w:t>
      </w:r>
      <w:r>
        <w:rPr>
          <w:rFonts w:ascii="Microsoft JhengHei" w:eastAsia="Microsoft JhengHei"/>
          <w:b/>
          <w:spacing w:val="-6"/>
        </w:rPr>
        <w:t>GB11345</w:t>
      </w:r>
      <w:r>
        <w:rPr>
          <w:rFonts w:ascii="Microsoft JhengHei" w:eastAsia="Microsoft JhengHei"/>
          <w:b/>
          <w:spacing w:val="24"/>
        </w:rPr>
        <w:t xml:space="preserve"> </w:t>
      </w:r>
      <w:r>
        <w:rPr>
          <w:spacing w:val="-7"/>
        </w:rPr>
        <w:t>或《钢熔化焊对接接</w:t>
      </w:r>
    </w:p>
    <w:p>
      <w:pPr>
        <w:spacing w:before="0" w:line="441" w:lineRule="exact"/>
        <w:ind w:left="221" w:right="0" w:firstLine="0"/>
        <w:jc w:val="left"/>
        <w:rPr>
          <w:sz w:val="24"/>
        </w:rPr>
      </w:pPr>
      <w:r>
        <w:rPr>
          <w:spacing w:val="-8"/>
          <w:sz w:val="24"/>
        </w:rPr>
        <w:t>头射线照相和质量分级》</w:t>
      </w:r>
      <w:r>
        <w:rPr>
          <w:rFonts w:ascii="Microsoft JhengHei" w:eastAsia="Microsoft JhengHei"/>
          <w:b/>
          <w:spacing w:val="-8"/>
          <w:sz w:val="24"/>
        </w:rPr>
        <w:t>GB3323</w:t>
      </w:r>
      <w:r>
        <w:rPr>
          <w:rFonts w:ascii="Microsoft JhengHei" w:eastAsia="Microsoft JhengHei"/>
          <w:b/>
          <w:spacing w:val="25"/>
          <w:sz w:val="24"/>
        </w:rPr>
        <w:t xml:space="preserve"> </w:t>
      </w:r>
      <w:r>
        <w:rPr>
          <w:spacing w:val="-9"/>
          <w:sz w:val="24"/>
        </w:rPr>
        <w:t>的规定。</w:t>
      </w:r>
    </w:p>
    <w:p>
      <w:pPr>
        <w:pStyle w:val="BodyText"/>
        <w:spacing w:before="78" w:line="343" w:lineRule="auto"/>
        <w:ind w:right="2684"/>
      </w:pPr>
      <w:r>
        <w:rPr>
          <w:spacing w:val="-2"/>
        </w:rPr>
        <w:t>一级、二级焊缝的质量等级及缺陷分级应符合下表的规定。</w:t>
      </w:r>
      <w:r>
        <w:rPr>
          <w:spacing w:val="-2"/>
        </w:rPr>
        <w:t>检查数量：全数检查。</w:t>
      </w:r>
    </w:p>
    <w:p>
      <w:pPr>
        <w:pStyle w:val="BodyText"/>
        <w:spacing w:before="0" w:line="343" w:lineRule="auto"/>
        <w:ind w:left="941" w:right="4844" w:hanging="240"/>
      </w:pPr>
      <w:r>
        <w:pict>
          <v:shape id="_x0000_s1117" type="#_x0000_t202" style="width:245.95pt;height:113pt;margin-top:38.4pt;margin-left:106.1pt;mso-position-horizont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81"/>
                    <w:gridCol w:w="1110"/>
                    <w:gridCol w:w="1010"/>
                    <w:gridCol w:w="1008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2891" w:type="dxa"/>
                        <w:gridSpan w:val="2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875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焊缝质量等级</w:t>
                        </w:r>
                      </w:p>
                    </w:tc>
                    <w:tc>
                      <w:tcPr>
                        <w:tcW w:w="10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228" w:right="21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— 级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0" w:right="22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二 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1781" w:type="dxa"/>
                        <w:vMerge w:val="restart"/>
                      </w:tcPr>
                      <w:p>
                        <w:pPr>
                          <w:pStyle w:val="TableParagraph"/>
                          <w:spacing w:before="9" w:line="240" w:lineRule="auto"/>
                          <w:ind w:left="0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8" w:lineRule="auto"/>
                          <w:ind w:left="680" w:right="143" w:hanging="525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内部缺陷超声波</w:t>
                        </w:r>
                        <w:r>
                          <w:rPr>
                            <w:spacing w:val="-6"/>
                            <w:sz w:val="21"/>
                          </w:rPr>
                          <w:t>探伤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121" w:right="11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评定等级</w:t>
                        </w:r>
                      </w:p>
                    </w:tc>
                    <w:tc>
                      <w:tcPr>
                        <w:tcW w:w="10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228" w:right="21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II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0" w:right="33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III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17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121" w:right="11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检验等级</w:t>
                        </w:r>
                      </w:p>
                    </w:tc>
                    <w:tc>
                      <w:tcPr>
                        <w:tcW w:w="10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227" w:right="21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B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级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0" w:right="30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B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17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121" w:right="11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探伤比例</w:t>
                        </w:r>
                      </w:p>
                    </w:tc>
                    <w:tc>
                      <w:tcPr>
                        <w:tcW w:w="10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228" w:right="21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100％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0" w:right="2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20％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1781" w:type="dxa"/>
                        <w:vMerge w:val="restart"/>
                      </w:tcPr>
                      <w:p>
                        <w:pPr>
                          <w:pStyle w:val="TableParagraph"/>
                          <w:spacing w:before="9" w:line="240" w:lineRule="auto"/>
                          <w:ind w:left="0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78" w:lineRule="auto"/>
                          <w:ind w:left="785" w:right="143" w:hanging="630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内部缺陷射线探</w:t>
                        </w:r>
                        <w:r>
                          <w:rPr>
                            <w:spacing w:val="-10"/>
                            <w:sz w:val="21"/>
                          </w:rPr>
                          <w:t>伤</w:t>
                        </w: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121" w:right="11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评定等级</w:t>
                        </w:r>
                      </w:p>
                    </w:tc>
                    <w:tc>
                      <w:tcPr>
                        <w:tcW w:w="10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228" w:right="21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II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0" w:right="33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III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17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121" w:right="11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检验等级</w:t>
                        </w:r>
                      </w:p>
                    </w:tc>
                    <w:tc>
                      <w:tcPr>
                        <w:tcW w:w="10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227" w:right="21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AB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级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0" w:right="25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AB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17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121" w:right="11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探伤比例</w:t>
                        </w:r>
                      </w:p>
                    </w:tc>
                    <w:tc>
                      <w:tcPr>
                        <w:tcW w:w="1010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228" w:right="21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100％</w:t>
                        </w:r>
                      </w:p>
                    </w:tc>
                    <w:tc>
                      <w:tcPr>
                        <w:tcW w:w="1008" w:type="dxa"/>
                      </w:tcPr>
                      <w:p>
                        <w:pPr>
                          <w:pStyle w:val="TableParagraph"/>
                          <w:spacing w:before="23" w:line="240" w:lineRule="auto"/>
                          <w:ind w:left="0" w:right="2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20％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rPr>
          <w:spacing w:val="-2"/>
        </w:rPr>
        <w:t>检验方法：检查超声波或射线探伤。</w:t>
      </w:r>
      <w:r>
        <w:rPr>
          <w:spacing w:val="-2"/>
        </w:rPr>
        <w:t xml:space="preserve"> </w:t>
      </w:r>
      <w:r>
        <w:rPr>
          <w:spacing w:val="-2"/>
        </w:rPr>
        <w:t>一、二级焊缝质量等级及缺陷分级表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1"/>
        <w:ind w:left="0"/>
        <w:rPr>
          <w:sz w:val="35"/>
        </w:rPr>
      </w:pPr>
    </w:p>
    <w:p>
      <w:pPr>
        <w:spacing w:before="0" w:line="393" w:lineRule="auto"/>
        <w:ind w:left="221" w:right="227" w:firstLine="420"/>
        <w:jc w:val="left"/>
        <w:rPr>
          <w:sz w:val="21"/>
        </w:rPr>
      </w:pPr>
      <w:r>
        <w:rPr>
          <w:spacing w:val="-6"/>
          <w:sz w:val="21"/>
        </w:rPr>
        <w:t>注：探伤比例的计数方法应按以下原则确定：（1）对工厂制作焊缝，应按每条焊缝计算百分比，</w:t>
      </w:r>
      <w:r>
        <w:rPr>
          <w:spacing w:val="-4"/>
          <w:sz w:val="21"/>
        </w:rPr>
        <w:t xml:space="preserve">且深伤长度应不小于 </w:t>
      </w:r>
      <w:r>
        <w:rPr>
          <w:sz w:val="21"/>
        </w:rPr>
        <w:t>2O0mm，</w:t>
      </w:r>
      <w:r>
        <w:rPr>
          <w:spacing w:val="-5"/>
          <w:sz w:val="21"/>
        </w:rPr>
        <w:t xml:space="preserve">当焊缝长度不足 </w:t>
      </w:r>
      <w:r>
        <w:rPr>
          <w:sz w:val="21"/>
        </w:rPr>
        <w:t>200mm</w:t>
      </w:r>
      <w:r>
        <w:rPr>
          <w:spacing w:val="-6"/>
          <w:sz w:val="21"/>
        </w:rPr>
        <w:t xml:space="preserve"> 时，应对整条焊缝进行探伤；</w:t>
      </w:r>
      <w:r>
        <w:rPr>
          <w:sz w:val="21"/>
        </w:rPr>
        <w:t>（2）对现场安装</w:t>
      </w:r>
      <w:r>
        <w:rPr>
          <w:spacing w:val="-1"/>
          <w:sz w:val="21"/>
        </w:rPr>
        <w:t xml:space="preserve">焊缝，应按同一类型、同一施焊条件的焊缝条数计算百分比．探伤长度应不小于 </w:t>
      </w:r>
      <w:r>
        <w:rPr>
          <w:sz w:val="21"/>
        </w:rPr>
        <w:t>200mm，并应不少</w:t>
      </w:r>
      <w:r>
        <w:rPr>
          <w:spacing w:val="-11"/>
          <w:sz w:val="21"/>
        </w:rPr>
        <w:t xml:space="preserve">于 </w:t>
      </w:r>
      <w:r>
        <w:rPr>
          <w:sz w:val="21"/>
        </w:rPr>
        <w:t>1</w:t>
      </w:r>
      <w:r>
        <w:rPr>
          <w:spacing w:val="-5"/>
          <w:sz w:val="21"/>
        </w:rPr>
        <w:t xml:space="preserve"> 条焊缝。</w:t>
      </w:r>
    </w:p>
    <w:p>
      <w:pPr>
        <w:pStyle w:val="ListParagraph"/>
        <w:numPr>
          <w:ilvl w:val="0"/>
          <w:numId w:val="68"/>
        </w:numPr>
        <w:tabs>
          <w:tab w:val="left" w:pos="1001"/>
        </w:tabs>
        <w:spacing w:before="0" w:after="0" w:line="272" w:lineRule="exact"/>
        <w:ind w:left="1001" w:right="0" w:hanging="300"/>
        <w:jc w:val="left"/>
        <w:rPr>
          <w:sz w:val="24"/>
        </w:rPr>
      </w:pPr>
      <w:r>
        <w:rPr>
          <w:spacing w:val="-2"/>
          <w:sz w:val="24"/>
        </w:rPr>
        <w:t>T</w:t>
      </w:r>
      <w:r>
        <w:rPr>
          <w:spacing w:val="-10"/>
          <w:sz w:val="24"/>
        </w:rPr>
        <w:t xml:space="preserve"> 形接头、十字接头、角接接头号等要求熔透的对接和角对接组合焊缝，其焊脚</w:t>
      </w:r>
    </w:p>
    <w:p>
      <w:pPr>
        <w:pStyle w:val="BodyText"/>
        <w:spacing w:before="133"/>
        <w:ind w:left="221"/>
      </w:pPr>
      <w:r>
        <w:t>尺寸不应小于1/4，焊脚尺寸的允许偏差为0-4MM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68"/>
        </w:numPr>
        <w:tabs>
          <w:tab w:val="left" w:pos="1061"/>
        </w:tabs>
        <w:spacing w:before="132" w:after="0" w:line="343" w:lineRule="auto"/>
        <w:ind w:left="221" w:right="331" w:firstLine="480"/>
        <w:jc w:val="left"/>
        <w:rPr>
          <w:sz w:val="24"/>
        </w:rPr>
      </w:pPr>
      <w:r>
        <w:rPr>
          <w:spacing w:val="-6"/>
          <w:sz w:val="24"/>
        </w:rPr>
        <w:t>焊缝表面不得有裂纹、焊瘤等缺陷。一级、二级焊缝不得有表面气孔、夹渣、弧</w:t>
      </w:r>
      <w:r>
        <w:rPr>
          <w:spacing w:val="-2"/>
          <w:sz w:val="24"/>
        </w:rPr>
        <w:t>坑纹、电弧擦伤等缺陷。且一级焊缝不得有咬边、未焊满、根部收缩等缺陷。</w:t>
      </w:r>
    </w:p>
    <w:p>
      <w:pPr>
        <w:pStyle w:val="BodyText"/>
        <w:spacing w:before="1" w:line="343" w:lineRule="auto"/>
        <w:ind w:left="221" w:right="331" w:firstLine="480"/>
      </w:pPr>
      <w:r>
        <w:rPr>
          <w:spacing w:val="-4"/>
        </w:rPr>
        <w:t>检查数量：每批同类构件抽查10%，且不应少于3</w:t>
      </w:r>
      <w:r>
        <w:rPr>
          <w:spacing w:val="-9"/>
        </w:rPr>
        <w:t xml:space="preserve"> 件；被抽查构件中，每一类型焊缝</w:t>
      </w:r>
      <w:r>
        <w:t>按条数抽查5%，且不应少于1 条；每条检查1 处，总抽查数不应少于10 处。</w:t>
      </w:r>
    </w:p>
    <w:p>
      <w:pPr>
        <w:pStyle w:val="BodyText"/>
        <w:spacing w:before="0" w:line="343" w:lineRule="auto"/>
        <w:ind w:left="221" w:right="331" w:firstLine="480"/>
      </w:pPr>
      <w:r>
        <w:rPr>
          <w:spacing w:val="-2"/>
        </w:rPr>
        <w:t>检验方法：观察检查或使用放大镜、焊缝量规和钢尺检查，当存在疑义时，采用渗</w:t>
      </w:r>
      <w:r>
        <w:rPr>
          <w:spacing w:val="-2"/>
        </w:rPr>
        <w:t>透或磁粉探伤检查。</w:t>
      </w:r>
    </w:p>
    <w:p>
      <w:pPr>
        <w:pStyle w:val="ListParagraph"/>
        <w:numPr>
          <w:ilvl w:val="0"/>
          <w:numId w:val="68"/>
        </w:numPr>
        <w:tabs>
          <w:tab w:val="left" w:pos="1061"/>
        </w:tabs>
        <w:spacing w:before="1" w:after="0" w:line="240" w:lineRule="auto"/>
        <w:ind w:left="1061" w:right="0" w:hanging="360"/>
        <w:jc w:val="left"/>
        <w:rPr>
          <w:sz w:val="24"/>
        </w:rPr>
      </w:pPr>
      <w:r>
        <w:rPr>
          <w:spacing w:val="-1"/>
          <w:sz w:val="24"/>
        </w:rPr>
        <w:t>二级、三级焊缝外观质量标准应符合《钢结构工程施工质量验收规范》</w:t>
      </w:r>
    </w:p>
    <w:p>
      <w:pPr>
        <w:pStyle w:val="BodyText"/>
        <w:ind w:left="221"/>
      </w:pPr>
      <w:r>
        <w:t>GB50205-2001</w:t>
      </w:r>
      <w:r>
        <w:rPr>
          <w:spacing w:val="-1"/>
        </w:rPr>
        <w:t xml:space="preserve"> 中的规定。三级对接焊缝应按二级焊缝标准进行外观质量检验。</w:t>
      </w:r>
    </w:p>
    <w:p>
      <w:pPr>
        <w:pStyle w:val="BodyText"/>
        <w:spacing w:before="133" w:line="343" w:lineRule="auto"/>
        <w:ind w:left="221" w:right="331" w:firstLine="480"/>
      </w:pPr>
      <w:r>
        <w:rPr>
          <w:spacing w:val="-4"/>
        </w:rPr>
        <w:t>检查数量：每批同类构件抽查10%，且不应少于3</w:t>
      </w:r>
      <w:r>
        <w:rPr>
          <w:spacing w:val="-9"/>
        </w:rPr>
        <w:t xml:space="preserve"> 件；被抽查构件中，每一类型焊缝</w:t>
      </w:r>
      <w:r>
        <w:t>按条数抽查5%，且不应少于1 条；每条检查1 处，总抽查数不应少于10 处。</w:t>
      </w:r>
    </w:p>
    <w:p>
      <w:pPr>
        <w:pStyle w:val="BodyText"/>
        <w:spacing w:before="0" w:line="343" w:lineRule="auto"/>
        <w:ind w:left="1661" w:right="2684" w:hanging="960"/>
      </w:pPr>
      <w:r>
        <w:pict>
          <v:shape id="_x0000_s1118" type="#_x0000_t202" style="width:420.5pt;height:49.25pt;margin-top:38.4pt;margin-left:90.45pt;mso-position-horizontal-relative:page;position:absolute;z-index:25166438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0"/>
                    <w:gridCol w:w="3360"/>
                    <w:gridCol w:w="3360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5"/>
                      <w:jc w:val="left"/>
                    </w:trPr>
                    <w:tc>
                      <w:tcPr>
                        <w:tcW w:w="1680" w:type="dxa"/>
                      </w:tcPr>
                      <w:p>
                        <w:pPr>
                          <w:pStyle w:val="TableParagraph"/>
                          <w:tabs>
                            <w:tab w:val="left" w:pos="429"/>
                          </w:tabs>
                          <w:spacing w:before="52" w:line="240" w:lineRule="auto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10"/>
                            <w:sz w:val="21"/>
                          </w:rPr>
                          <w:t>项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pacing w:val="-10"/>
                            <w:sz w:val="21"/>
                          </w:rPr>
                          <w:t>目</w:t>
                        </w:r>
                      </w:p>
                    </w:tc>
                    <w:tc>
                      <w:tcPr>
                        <w:tcW w:w="6720" w:type="dxa"/>
                        <w:gridSpan w:val="2"/>
                      </w:tcPr>
                      <w:p>
                        <w:pPr>
                          <w:pStyle w:val="TableParagraph"/>
                          <w:spacing w:before="52" w:line="240" w:lineRule="auto"/>
                          <w:ind w:left="2769" w:right="27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允 许 偏 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0"/>
                      <w:jc w:val="left"/>
                    </w:trPr>
                    <w:tc>
                      <w:tcPr>
                        <w:tcW w:w="1680" w:type="dxa"/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缺陷类型</w:t>
                        </w:r>
                      </w:p>
                    </w:tc>
                    <w:tc>
                      <w:tcPr>
                        <w:tcW w:w="3360" w:type="dxa"/>
                      </w:tcPr>
                      <w:p>
                        <w:pPr>
                          <w:pStyle w:val="TableParagraph"/>
                          <w:ind w:left="1454" w:right="144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二级</w:t>
                        </w:r>
                      </w:p>
                    </w:tc>
                    <w:tc>
                      <w:tcPr>
                        <w:tcW w:w="3360" w:type="dxa"/>
                      </w:tcPr>
                      <w:p>
                        <w:pPr>
                          <w:pStyle w:val="TableParagraph"/>
                          <w:ind w:left="1454" w:right="144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三级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0"/>
                      <w:jc w:val="left"/>
                    </w:trPr>
                    <w:tc>
                      <w:tcPr>
                        <w:tcW w:w="1680" w:type="dxa"/>
                      </w:tcPr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未焊满（</w:t>
                        </w:r>
                        <w:r>
                          <w:rPr>
                            <w:spacing w:val="-5"/>
                            <w:sz w:val="21"/>
                          </w:rPr>
                          <w:t>指不足</w:t>
                        </w:r>
                      </w:p>
                    </w:tc>
                    <w:tc>
                      <w:tcPr>
                        <w:tcW w:w="3360" w:type="dxa"/>
                      </w:tcPr>
                      <w:p>
                        <w:pPr>
                          <w:pStyle w:val="TableParagraph"/>
                          <w:rPr>
                            <w:rFonts w:ascii="Times New Roman" w:eastAsia="Times New Roman" w:hAnsi="Times New Roman"/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≤</w:t>
                        </w:r>
                        <w:r>
                          <w:rPr>
                            <w:rFonts w:ascii="Times New Roman" w:eastAsia="Times New Roman" w:hAnsi="Times New Roman"/>
                            <w:sz w:val="21"/>
                          </w:rPr>
                          <w:t>0.</w:t>
                        </w:r>
                        <w:r>
                          <w:rPr>
                            <w:rFonts w:ascii="Times New Roman" w:eastAsia="Times New Roman" w:hAnsi="Times New Roman"/>
                            <w:spacing w:val="-2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/>
                            <w:sz w:val="21"/>
                          </w:rPr>
                          <w:t>2</w:t>
                        </w:r>
                        <w:r>
                          <w:rPr>
                            <w:sz w:val="21"/>
                          </w:rPr>
                          <w:t>＋</w:t>
                        </w:r>
                        <w:r>
                          <w:rPr>
                            <w:rFonts w:ascii="Times New Roman" w:eastAsia="Times New Roman" w:hAnsi="Times New Roman"/>
                            <w:sz w:val="21"/>
                          </w:rPr>
                          <w:t>0.02t</w:t>
                        </w:r>
                        <w:r>
                          <w:rPr>
                            <w:spacing w:val="-2"/>
                            <w:sz w:val="21"/>
                          </w:rPr>
                          <w:t>，且≤</w:t>
                        </w:r>
                        <w:r>
                          <w:rPr>
                            <w:rFonts w:ascii="Times New Roman" w:eastAsia="Times New Roman" w:hAnsi="Times New Roman"/>
                            <w:spacing w:val="-4"/>
                            <w:sz w:val="21"/>
                          </w:rPr>
                          <w:t>1.0</w:t>
                        </w:r>
                      </w:p>
                    </w:tc>
                    <w:tc>
                      <w:tcPr>
                        <w:tcW w:w="3360" w:type="dxa"/>
                      </w:tcPr>
                      <w:p>
                        <w:pPr>
                          <w:pStyle w:val="TableParagraph"/>
                          <w:rPr>
                            <w:rFonts w:ascii="Times New Roman" w:eastAsia="Times New Roman" w:hAnsi="Times New Roman"/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≤</w:t>
                        </w:r>
                        <w:r>
                          <w:rPr>
                            <w:rFonts w:ascii="Times New Roman" w:eastAsia="Times New Roman" w:hAnsi="Times New Roman"/>
                            <w:sz w:val="21"/>
                          </w:rPr>
                          <w:t>0.2</w:t>
                        </w:r>
                        <w:r>
                          <w:rPr>
                            <w:rFonts w:ascii="Times New Roman" w:eastAsia="Times New Roman" w:hAnsi="Times New Roman"/>
                            <w:spacing w:val="52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 xml:space="preserve">＋ </w:t>
                        </w:r>
                        <w:r>
                          <w:rPr>
                            <w:rFonts w:ascii="Times New Roman" w:eastAsia="Times New Roman" w:hAnsi="Times New Roman"/>
                            <w:sz w:val="21"/>
                          </w:rPr>
                          <w:t>0.04t</w:t>
                        </w:r>
                        <w:r>
                          <w:rPr>
                            <w:spacing w:val="-2"/>
                            <w:sz w:val="21"/>
                          </w:rPr>
                          <w:t>，且≤</w:t>
                        </w:r>
                        <w:r>
                          <w:rPr>
                            <w:rFonts w:ascii="Times New Roman" w:eastAsia="Times New Roman" w:hAnsi="Times New Roman"/>
                            <w:spacing w:val="-4"/>
                            <w:sz w:val="21"/>
                          </w:rPr>
                          <w:t>2.0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</v:shape>
        </w:pict>
      </w:r>
      <w:r>
        <w:rPr>
          <w:spacing w:val="-2"/>
        </w:rPr>
        <w:t>检验方法：观察检查或使用放大镜、焊缝量规和钢尺检查。</w:t>
      </w:r>
      <w:r>
        <w:rPr>
          <w:spacing w:val="-2"/>
        </w:rPr>
        <w:t>二级、三级焊缝外观质量标准（</w:t>
      </w:r>
      <w:r>
        <w:rPr>
          <w:rFonts w:ascii="Times New Roman" w:eastAsia="Times New Roman"/>
          <w:spacing w:val="-2"/>
        </w:rPr>
        <w:t>mm</w:t>
      </w:r>
      <w:r>
        <w:rPr>
          <w:spacing w:val="-2"/>
        </w:rPr>
        <w:t>）</w:t>
      </w:r>
    </w:p>
    <w:p>
      <w:pPr>
        <w:spacing w:after="0" w:line="343" w:lineRule="auto"/>
        <w:sectPr>
          <w:footerReference w:type="default" r:id="rId13"/>
          <w:pgSz w:w="11910" w:h="16840"/>
          <w:pgMar w:top="1460" w:right="800" w:bottom="1180" w:left="1480" w:header="0" w:footer="990"/>
          <w:pgNumType w:start="10"/>
          <w:cols w:space="708"/>
        </w:sectPr>
      </w:pPr>
    </w:p>
    <w:tbl>
      <w:tblPr>
        <w:tblStyle w:val="TableNormal1"/>
        <w:tblW w:w="0" w:type="auto"/>
        <w:jc w:val="left"/>
        <w:tblInd w:w="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0"/>
        <w:gridCol w:w="3360"/>
        <w:gridCol w:w="3360"/>
      </w:tblGrid>
      <w:tr>
        <w:tblPrEx>
          <w:tblW w:w="0" w:type="auto"/>
          <w:jc w:val="left"/>
          <w:tblInd w:w="3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1680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设计要求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6720" w:type="dxa"/>
            <w:gridSpan w:val="2"/>
          </w:tcPr>
          <w:p>
            <w:pPr>
              <w:pStyle w:val="TableParagraph"/>
              <w:rPr>
                <w:rFonts w:ascii="Times New Roman" w:eastAsia="Times New Roman"/>
                <w:sz w:val="21"/>
              </w:rPr>
            </w:pPr>
            <w:r>
              <w:rPr>
                <w:spacing w:val="-27"/>
                <w:sz w:val="21"/>
              </w:rPr>
              <w:t xml:space="preserve">每 </w:t>
            </w:r>
            <w:r>
              <w:rPr>
                <w:rFonts w:ascii="Times New Roman" w:eastAsia="Times New Roman"/>
                <w:sz w:val="21"/>
              </w:rPr>
              <w:t xml:space="preserve">100.0 </w:t>
            </w:r>
            <w:r>
              <w:rPr>
                <w:spacing w:val="-1"/>
                <w:sz w:val="21"/>
              </w:rPr>
              <w:t>焊缝内缺陷总长＜</w:t>
            </w:r>
            <w:r>
              <w:rPr>
                <w:rFonts w:ascii="Times New Roman" w:eastAsia="Times New Roman"/>
                <w:spacing w:val="-4"/>
                <w:sz w:val="21"/>
              </w:rPr>
              <w:t>25.0</w:t>
            </w:r>
          </w:p>
        </w:tc>
      </w:tr>
      <w:tr>
        <w:tblPrEx>
          <w:tblW w:w="0" w:type="auto"/>
          <w:jc w:val="left"/>
          <w:tblInd w:w="3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1680" w:type="dxa"/>
            <w:vMerge w:val="restart"/>
          </w:tcPr>
          <w:p>
            <w:pPr>
              <w:pStyle w:val="TableParagraph"/>
              <w:spacing w:before="5" w:line="240" w:lineRule="auto"/>
              <w:ind w:left="0"/>
              <w:rPr>
                <w:sz w:val="14"/>
              </w:rPr>
            </w:pPr>
          </w:p>
          <w:p>
            <w:pPr>
              <w:pStyle w:val="TableParagraph"/>
              <w:spacing w:before="0" w:line="240" w:lineRule="auto"/>
              <w:ind w:left="420"/>
              <w:rPr>
                <w:sz w:val="21"/>
              </w:rPr>
            </w:pPr>
            <w:r>
              <w:rPr>
                <w:spacing w:val="-3"/>
                <w:sz w:val="21"/>
              </w:rPr>
              <w:t>根部收缩</w:t>
            </w:r>
          </w:p>
        </w:tc>
        <w:tc>
          <w:tcPr>
            <w:tcW w:w="3360" w:type="dxa"/>
          </w:tcPr>
          <w:p>
            <w:pPr>
              <w:pStyle w:val="TableParagraph"/>
              <w:rPr>
                <w:rFonts w:ascii="Times New Roman" w:eastAsia="Times New Roman" w:hAnsi="Times New Roman"/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Times New Roman" w:eastAsia="Times New Roman" w:hAnsi="Times New Roman"/>
                <w:sz w:val="21"/>
              </w:rPr>
              <w:t>0.2</w:t>
            </w:r>
            <w:r>
              <w:rPr>
                <w:sz w:val="21"/>
              </w:rPr>
              <w:t>＋</w:t>
            </w:r>
            <w:r>
              <w:rPr>
                <w:rFonts w:ascii="Times New Roman" w:eastAsia="Times New Roman" w:hAnsi="Times New Roman"/>
                <w:sz w:val="21"/>
              </w:rPr>
              <w:t>0.02t</w:t>
            </w:r>
            <w:r>
              <w:rPr>
                <w:spacing w:val="-2"/>
                <w:sz w:val="21"/>
              </w:rPr>
              <w:t>，且≤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1.0</w:t>
            </w:r>
          </w:p>
        </w:tc>
        <w:tc>
          <w:tcPr>
            <w:tcW w:w="3360" w:type="dxa"/>
          </w:tcPr>
          <w:p>
            <w:pPr>
              <w:pStyle w:val="TableParagraph"/>
              <w:rPr>
                <w:rFonts w:ascii="Times New Roman" w:eastAsia="Times New Roman" w:hAnsi="Times New Roman"/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Times New Roman" w:eastAsia="Times New Roman" w:hAnsi="Times New Roman"/>
                <w:sz w:val="21"/>
              </w:rPr>
              <w:t>0.2</w:t>
            </w:r>
            <w:r>
              <w:rPr>
                <w:sz w:val="21"/>
              </w:rPr>
              <w:t>＋</w:t>
            </w:r>
            <w:r>
              <w:rPr>
                <w:rFonts w:ascii="Times New Roman" w:eastAsia="Times New Roman" w:hAnsi="Times New Roman"/>
                <w:sz w:val="21"/>
              </w:rPr>
              <w:t>0.04t</w:t>
            </w:r>
            <w:r>
              <w:rPr>
                <w:spacing w:val="-2"/>
                <w:sz w:val="21"/>
              </w:rPr>
              <w:t>，且≤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2.0</w:t>
            </w:r>
          </w:p>
        </w:tc>
      </w:tr>
      <w:tr>
        <w:tblPrEx>
          <w:tblW w:w="0" w:type="auto"/>
          <w:jc w:val="left"/>
          <w:tblInd w:w="3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1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2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长度不限</w:t>
            </w:r>
          </w:p>
        </w:tc>
      </w:tr>
      <w:tr>
        <w:tblPrEx>
          <w:tblW w:w="0" w:type="auto"/>
          <w:jc w:val="left"/>
          <w:tblInd w:w="3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1680" w:type="dxa"/>
          </w:tcPr>
          <w:p>
            <w:pPr>
              <w:pStyle w:val="TableParagraph"/>
              <w:spacing w:before="9" w:line="240" w:lineRule="auto"/>
              <w:ind w:left="0"/>
              <w:rPr>
                <w:sz w:val="25"/>
              </w:rPr>
            </w:pPr>
          </w:p>
          <w:p>
            <w:pPr>
              <w:pStyle w:val="TableParagraph"/>
              <w:tabs>
                <w:tab w:val="left" w:pos="944"/>
              </w:tabs>
              <w:spacing w:before="0" w:line="240" w:lineRule="auto"/>
              <w:ind w:left="525"/>
              <w:rPr>
                <w:sz w:val="21"/>
              </w:rPr>
            </w:pPr>
            <w:r>
              <w:rPr>
                <w:spacing w:val="-10"/>
                <w:sz w:val="21"/>
              </w:rPr>
              <w:t>咬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边</w:t>
            </w:r>
          </w:p>
        </w:tc>
        <w:tc>
          <w:tcPr>
            <w:tcW w:w="3360" w:type="dxa"/>
          </w:tcPr>
          <w:p>
            <w:pPr>
              <w:pStyle w:val="TableParagraph"/>
              <w:spacing w:before="0" w:line="300" w:lineRule="exact"/>
              <w:ind w:right="96"/>
              <w:jc w:val="both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≤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0.05t</w:t>
            </w:r>
            <w:r>
              <w:rPr>
                <w:spacing w:val="-12"/>
                <w:sz w:val="21"/>
              </w:rPr>
              <w:t xml:space="preserve">， 且≤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0.5</w:t>
            </w:r>
            <w:r>
              <w:rPr>
                <w:rFonts w:ascii="Times New Roman" w:eastAsia="Times New Roman" w:hAnsi="Times New Roman"/>
                <w:spacing w:val="-11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>； 连续长度≤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100.0</w:t>
            </w:r>
            <w:r>
              <w:rPr>
                <w:spacing w:val="-4"/>
                <w:sz w:val="21"/>
              </w:rPr>
              <w:t>，且焊缝两侧咬边总长≤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10</w:t>
            </w:r>
            <w:r>
              <w:rPr>
                <w:spacing w:val="-4"/>
                <w:sz w:val="21"/>
              </w:rPr>
              <w:t>％</w:t>
            </w:r>
            <w:r>
              <w:rPr>
                <w:spacing w:val="-4"/>
                <w:sz w:val="21"/>
              </w:rPr>
              <w:t>焊缝全长</w:t>
            </w:r>
          </w:p>
        </w:tc>
        <w:tc>
          <w:tcPr>
            <w:tcW w:w="3360" w:type="dxa"/>
          </w:tcPr>
          <w:p>
            <w:pPr>
              <w:pStyle w:val="TableParagraph"/>
              <w:spacing w:line="240" w:lineRule="auto"/>
              <w:rPr>
                <w:sz w:val="21"/>
              </w:rPr>
            </w:pPr>
            <w:r>
              <w:rPr>
                <w:sz w:val="21"/>
              </w:rPr>
              <w:t>≤</w:t>
            </w:r>
            <w:r>
              <w:rPr>
                <w:rFonts w:ascii="Times New Roman" w:eastAsia="Times New Roman" w:hAnsi="Times New Roman"/>
                <w:sz w:val="21"/>
              </w:rPr>
              <w:t xml:space="preserve">0.01t </w:t>
            </w:r>
            <w:r>
              <w:rPr>
                <w:sz w:val="21"/>
              </w:rPr>
              <w:t>且≤</w:t>
            </w:r>
            <w:r>
              <w:rPr>
                <w:rFonts w:ascii="Times New Roman" w:eastAsia="Times New Roman" w:hAnsi="Times New Roman"/>
                <w:sz w:val="21"/>
              </w:rPr>
              <w:t>1.0</w:t>
            </w:r>
            <w:r>
              <w:rPr>
                <w:spacing w:val="-2"/>
                <w:sz w:val="21"/>
              </w:rPr>
              <w:t>，长度不限</w:t>
            </w:r>
          </w:p>
        </w:tc>
      </w:tr>
      <w:tr>
        <w:tblPrEx>
          <w:tblW w:w="0" w:type="auto"/>
          <w:jc w:val="left"/>
          <w:tblInd w:w="3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680" w:type="dxa"/>
          </w:tcPr>
          <w:p>
            <w:pPr>
              <w:pStyle w:val="TableParagraph"/>
              <w:spacing w:before="0" w:line="240" w:lineRule="auto"/>
              <w:ind w:left="0"/>
              <w:rPr>
                <w:sz w:val="14"/>
              </w:rPr>
            </w:pPr>
          </w:p>
          <w:p>
            <w:pPr>
              <w:pStyle w:val="TableParagraph"/>
              <w:spacing w:before="0" w:line="240" w:lineRule="auto"/>
              <w:ind w:left="0" w:right="409"/>
              <w:jc w:val="right"/>
              <w:rPr>
                <w:sz w:val="21"/>
              </w:rPr>
            </w:pPr>
            <w:r>
              <w:rPr>
                <w:spacing w:val="-3"/>
                <w:sz w:val="21"/>
              </w:rPr>
              <w:t>弧坑裂纹</w:t>
            </w:r>
          </w:p>
        </w:tc>
        <w:tc>
          <w:tcPr>
            <w:tcW w:w="3360" w:type="dxa"/>
          </w:tcPr>
          <w:p>
            <w:pPr>
              <w:pStyle w:val="TableParagraph"/>
              <w:spacing w:before="194" w:line="240" w:lineRule="auto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-</w:t>
            </w:r>
          </w:p>
        </w:tc>
        <w:tc>
          <w:tcPr>
            <w:tcW w:w="3360" w:type="dxa"/>
          </w:tcPr>
          <w:p>
            <w:pPr>
              <w:pStyle w:val="TableParagraph"/>
              <w:spacing w:before="0" w:line="300" w:lineRule="exact"/>
              <w:ind w:right="96"/>
              <w:rPr>
                <w:sz w:val="21"/>
              </w:rPr>
            </w:pPr>
            <w:r>
              <w:rPr>
                <w:sz w:val="21"/>
              </w:rPr>
              <w:t>允许存在个别长度≤</w:t>
            </w:r>
            <w:r>
              <w:rPr>
                <w:rFonts w:ascii="Times New Roman" w:eastAsia="Times New Roman" w:hAnsi="Times New Roman"/>
                <w:sz w:val="21"/>
              </w:rPr>
              <w:t xml:space="preserve">5.0 </w:t>
            </w:r>
            <w:r>
              <w:rPr>
                <w:sz w:val="21"/>
              </w:rPr>
              <w:t>的弧坑裂</w:t>
            </w:r>
            <w:r>
              <w:rPr>
                <w:spacing w:val="-10"/>
                <w:sz w:val="21"/>
              </w:rPr>
              <w:t>纹</w:t>
            </w:r>
          </w:p>
        </w:tc>
      </w:tr>
      <w:tr>
        <w:tblPrEx>
          <w:tblW w:w="0" w:type="auto"/>
          <w:jc w:val="left"/>
          <w:tblInd w:w="3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1680" w:type="dxa"/>
          </w:tcPr>
          <w:p>
            <w:pPr>
              <w:pStyle w:val="TableParagraph"/>
              <w:ind w:left="0" w:right="409"/>
              <w:jc w:val="right"/>
              <w:rPr>
                <w:sz w:val="21"/>
              </w:rPr>
            </w:pPr>
            <w:r>
              <w:rPr>
                <w:spacing w:val="-3"/>
                <w:sz w:val="21"/>
              </w:rPr>
              <w:t>电弧擦伤</w:t>
            </w:r>
          </w:p>
        </w:tc>
        <w:tc>
          <w:tcPr>
            <w:tcW w:w="3360" w:type="dxa"/>
          </w:tcPr>
          <w:p>
            <w:pPr>
              <w:pStyle w:val="TableParagraph"/>
              <w:spacing w:before="44" w:line="236" w:lineRule="exact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-</w:t>
            </w:r>
          </w:p>
        </w:tc>
        <w:tc>
          <w:tcPr>
            <w:tcW w:w="3360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允许存在个别电弧擦伤</w:t>
            </w:r>
          </w:p>
        </w:tc>
      </w:tr>
      <w:tr>
        <w:tblPrEx>
          <w:tblW w:w="0" w:type="auto"/>
          <w:jc w:val="left"/>
          <w:tblInd w:w="3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1680" w:type="dxa"/>
            <w:vMerge w:val="restart"/>
          </w:tcPr>
          <w:p>
            <w:pPr>
              <w:pStyle w:val="TableParagraph"/>
              <w:spacing w:before="5" w:line="240" w:lineRule="auto"/>
              <w:ind w:left="0"/>
              <w:rPr>
                <w:sz w:val="14"/>
              </w:rPr>
            </w:pPr>
          </w:p>
          <w:p>
            <w:pPr>
              <w:pStyle w:val="TableParagraph"/>
              <w:spacing w:before="0" w:line="240" w:lineRule="auto"/>
              <w:ind w:left="420"/>
              <w:rPr>
                <w:sz w:val="21"/>
              </w:rPr>
            </w:pPr>
            <w:r>
              <w:rPr>
                <w:spacing w:val="-3"/>
                <w:sz w:val="21"/>
              </w:rPr>
              <w:t>接头不良</w:t>
            </w:r>
          </w:p>
        </w:tc>
        <w:tc>
          <w:tcPr>
            <w:tcW w:w="3360" w:type="dxa"/>
          </w:tcPr>
          <w:p>
            <w:pPr>
              <w:pStyle w:val="TableParagraph"/>
              <w:rPr>
                <w:rFonts w:ascii="Times New Roman" w:eastAsia="Times New Roman" w:hAnsi="Times New Roman"/>
                <w:sz w:val="21"/>
              </w:rPr>
            </w:pPr>
            <w:r>
              <w:rPr>
                <w:spacing w:val="-1"/>
                <w:sz w:val="21"/>
              </w:rPr>
              <w:t xml:space="preserve">缺口深度 </w:t>
            </w:r>
            <w:r>
              <w:rPr>
                <w:rFonts w:ascii="Times New Roman" w:eastAsia="Times New Roman" w:hAnsi="Times New Roman"/>
                <w:sz w:val="21"/>
              </w:rPr>
              <w:t>0 05t</w:t>
            </w:r>
            <w:r>
              <w:rPr>
                <w:spacing w:val="-2"/>
                <w:sz w:val="21"/>
              </w:rPr>
              <w:t>，且≤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0.5</w:t>
            </w:r>
          </w:p>
        </w:tc>
        <w:tc>
          <w:tcPr>
            <w:tcW w:w="3360" w:type="dxa"/>
          </w:tcPr>
          <w:p>
            <w:pPr>
              <w:pStyle w:val="TableParagraph"/>
              <w:rPr>
                <w:rFonts w:ascii="Times New Roman" w:eastAsia="Times New Roman" w:hAnsi="Times New Roman"/>
                <w:sz w:val="21"/>
              </w:rPr>
            </w:pPr>
            <w:r>
              <w:rPr>
                <w:spacing w:val="-1"/>
                <w:sz w:val="21"/>
              </w:rPr>
              <w:t xml:space="preserve">缺口深度 </w:t>
            </w:r>
            <w:r>
              <w:rPr>
                <w:rFonts w:ascii="Times New Roman" w:eastAsia="Times New Roman" w:hAnsi="Times New Roman"/>
                <w:sz w:val="21"/>
              </w:rPr>
              <w:t>0.1t</w:t>
            </w:r>
            <w:r>
              <w:rPr>
                <w:spacing w:val="-2"/>
                <w:sz w:val="21"/>
              </w:rPr>
              <w:t>，且≤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1.0</w:t>
            </w:r>
          </w:p>
        </w:tc>
      </w:tr>
      <w:tr>
        <w:tblPrEx>
          <w:tblW w:w="0" w:type="auto"/>
          <w:jc w:val="left"/>
          <w:tblInd w:w="3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1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20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每 </w:t>
            </w:r>
            <w:r>
              <w:rPr>
                <w:rFonts w:ascii="Times New Roman" w:eastAsia="Times New Roman"/>
                <w:sz w:val="21"/>
              </w:rPr>
              <w:t xml:space="preserve">1000.0 </w:t>
            </w:r>
            <w:r>
              <w:rPr>
                <w:spacing w:val="-8"/>
                <w:sz w:val="21"/>
              </w:rPr>
              <w:t xml:space="preserve">焊缝不应超过 </w:t>
            </w:r>
            <w:r>
              <w:rPr>
                <w:rFonts w:ascii="Times New Roman" w:eastAsia="Times New Roman"/>
                <w:sz w:val="21"/>
              </w:rPr>
              <w:t xml:space="preserve">1 </w:t>
            </w:r>
            <w:r>
              <w:rPr>
                <w:spacing w:val="-10"/>
                <w:sz w:val="21"/>
              </w:rPr>
              <w:t>处</w:t>
            </w:r>
          </w:p>
        </w:tc>
      </w:tr>
      <w:tr>
        <w:tblPrEx>
          <w:tblW w:w="0" w:type="auto"/>
          <w:jc w:val="left"/>
          <w:tblInd w:w="3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1680" w:type="dxa"/>
          </w:tcPr>
          <w:p>
            <w:pPr>
              <w:pStyle w:val="TableParagraph"/>
              <w:ind w:left="0" w:right="409"/>
              <w:jc w:val="right"/>
              <w:rPr>
                <w:sz w:val="21"/>
              </w:rPr>
            </w:pPr>
            <w:r>
              <w:rPr>
                <w:spacing w:val="-3"/>
                <w:sz w:val="21"/>
              </w:rPr>
              <w:t>表面夹渣</w:t>
            </w:r>
          </w:p>
        </w:tc>
        <w:tc>
          <w:tcPr>
            <w:tcW w:w="3360" w:type="dxa"/>
          </w:tcPr>
          <w:p>
            <w:pPr>
              <w:pStyle w:val="TableParagraph"/>
              <w:spacing w:before="44" w:line="236" w:lineRule="exact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-</w:t>
            </w:r>
          </w:p>
        </w:tc>
        <w:tc>
          <w:tcPr>
            <w:tcW w:w="3360" w:type="dxa"/>
          </w:tcPr>
          <w:p>
            <w:pPr>
              <w:pStyle w:val="TableParagraph"/>
              <w:rPr>
                <w:rFonts w:ascii="Times New Roman" w:eastAsia="Times New Roman" w:hAnsi="Times New Roman"/>
                <w:sz w:val="21"/>
              </w:rPr>
            </w:pPr>
            <w:r>
              <w:rPr>
                <w:sz w:val="21"/>
              </w:rPr>
              <w:t>深≤</w:t>
            </w:r>
            <w:r>
              <w:rPr>
                <w:rFonts w:ascii="Times New Roman" w:eastAsia="Times New Roman" w:hAnsi="Times New Roman"/>
                <w:sz w:val="21"/>
              </w:rPr>
              <w:t>0.2t</w:t>
            </w:r>
            <w:r>
              <w:rPr>
                <w:rFonts w:ascii="Times New Roman" w:eastAsia="Times New Roman" w:hAnsi="Times New Roman"/>
                <w:spacing w:val="52"/>
                <w:sz w:val="21"/>
              </w:rPr>
              <w:t xml:space="preserve"> </w:t>
            </w:r>
            <w:r>
              <w:rPr>
                <w:sz w:val="21"/>
              </w:rPr>
              <w:t>长≤</w:t>
            </w:r>
            <w:r>
              <w:rPr>
                <w:rFonts w:ascii="Times New Roman" w:eastAsia="Times New Roman" w:hAnsi="Times New Roman"/>
                <w:sz w:val="21"/>
              </w:rPr>
              <w:t>0.st</w:t>
            </w:r>
            <w:r>
              <w:rPr>
                <w:spacing w:val="-1"/>
                <w:sz w:val="21"/>
              </w:rPr>
              <w:t>，且≤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20.0</w:t>
            </w:r>
          </w:p>
        </w:tc>
      </w:tr>
      <w:tr>
        <w:tblPrEx>
          <w:tblW w:w="0" w:type="auto"/>
          <w:jc w:val="left"/>
          <w:tblInd w:w="3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0"/>
          <w:jc w:val="left"/>
        </w:trPr>
        <w:tc>
          <w:tcPr>
            <w:tcW w:w="1680" w:type="dxa"/>
          </w:tcPr>
          <w:p>
            <w:pPr>
              <w:pStyle w:val="TableParagraph"/>
              <w:spacing w:before="9" w:line="240" w:lineRule="auto"/>
              <w:ind w:left="0"/>
              <w:rPr>
                <w:sz w:val="25"/>
              </w:rPr>
            </w:pPr>
          </w:p>
          <w:p>
            <w:pPr>
              <w:pStyle w:val="TableParagraph"/>
              <w:spacing w:before="0" w:line="240" w:lineRule="auto"/>
              <w:ind w:left="0" w:right="409"/>
              <w:jc w:val="right"/>
              <w:rPr>
                <w:sz w:val="21"/>
              </w:rPr>
            </w:pPr>
            <w:r>
              <w:rPr>
                <w:spacing w:val="-3"/>
                <w:sz w:val="21"/>
              </w:rPr>
              <w:t>表面气孔</w:t>
            </w:r>
          </w:p>
        </w:tc>
        <w:tc>
          <w:tcPr>
            <w:tcW w:w="3360" w:type="dxa"/>
          </w:tcPr>
          <w:p>
            <w:pPr>
              <w:pStyle w:val="TableParagraph"/>
              <w:spacing w:before="10" w:line="240" w:lineRule="auto"/>
              <w:ind w:left="0"/>
              <w:rPr>
                <w:sz w:val="26"/>
              </w:rPr>
            </w:pPr>
          </w:p>
          <w:p>
            <w:pPr>
              <w:pStyle w:val="TableParagraph"/>
              <w:spacing w:before="1" w:line="240" w:lineRule="auto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-</w:t>
            </w:r>
          </w:p>
        </w:tc>
        <w:tc>
          <w:tcPr>
            <w:tcW w:w="3360" w:type="dxa"/>
          </w:tcPr>
          <w:p>
            <w:pPr>
              <w:pStyle w:val="TableParagraph"/>
              <w:spacing w:before="0" w:line="300" w:lineRule="exact"/>
              <w:ind w:right="-15"/>
              <w:rPr>
                <w:sz w:val="21"/>
              </w:rPr>
            </w:pPr>
            <w:r>
              <w:rPr>
                <w:spacing w:val="7"/>
                <w:sz w:val="21"/>
              </w:rPr>
              <w:t>每</w:t>
            </w:r>
            <w:r>
              <w:rPr>
                <w:rFonts w:ascii="Times New Roman" w:eastAsia="Times New Roman" w:hAnsi="Times New Roman"/>
                <w:sz w:val="21"/>
              </w:rPr>
              <w:t>50.0</w:t>
            </w:r>
            <w:r>
              <w:rPr>
                <w:rFonts w:ascii="Times New Roman" w:eastAsia="Times New Roman" w:hAnsi="Times New Roman"/>
                <w:spacing w:val="-22"/>
                <w:sz w:val="21"/>
              </w:rPr>
              <w:t xml:space="preserve"> </w:t>
            </w:r>
            <w:r>
              <w:rPr>
                <w:sz w:val="21"/>
              </w:rPr>
              <w:t>焊缝长度内允许直径≤</w:t>
            </w:r>
            <w:r>
              <w:rPr>
                <w:rFonts w:ascii="Times New Roman" w:eastAsia="Times New Roman" w:hAnsi="Times New Roman"/>
                <w:sz w:val="21"/>
              </w:rPr>
              <w:t>0.4t</w:t>
            </w:r>
            <w:r>
              <w:rPr>
                <w:sz w:val="21"/>
              </w:rPr>
              <w:t>，</w:t>
            </w:r>
            <w:r>
              <w:rPr>
                <w:sz w:val="21"/>
              </w:rPr>
              <w:t>且≤</w:t>
            </w:r>
            <w:r>
              <w:rPr>
                <w:rFonts w:ascii="Times New Roman" w:eastAsia="Times New Roman" w:hAnsi="Times New Roman"/>
                <w:sz w:val="21"/>
              </w:rPr>
              <w:t xml:space="preserve">3.0 </w:t>
            </w:r>
            <w:r>
              <w:rPr>
                <w:spacing w:val="-9"/>
                <w:sz w:val="21"/>
              </w:rPr>
              <w:t xml:space="preserve">的气孔 </w:t>
            </w:r>
            <w:r>
              <w:rPr>
                <w:rFonts w:ascii="Times New Roman" w:eastAsia="Times New Roman" w:hAnsi="Times New Roman"/>
                <w:sz w:val="21"/>
              </w:rPr>
              <w:t xml:space="preserve">2 </w:t>
            </w:r>
            <w:r>
              <w:rPr>
                <w:spacing w:val="-10"/>
                <w:sz w:val="21"/>
              </w:rPr>
              <w:t>个，孔距＞≥</w:t>
            </w:r>
            <w:r>
              <w:rPr>
                <w:rFonts w:ascii="Times New Roman" w:eastAsia="Times New Roman" w:hAnsi="Times New Roman"/>
                <w:sz w:val="21"/>
              </w:rPr>
              <w:t xml:space="preserve">6 </w:t>
            </w:r>
            <w:r>
              <w:rPr>
                <w:sz w:val="21"/>
              </w:rPr>
              <w:t>倍</w:t>
            </w:r>
            <w:r>
              <w:rPr>
                <w:spacing w:val="-6"/>
                <w:sz w:val="21"/>
              </w:rPr>
              <w:t>孔径</w:t>
            </w:r>
          </w:p>
        </w:tc>
      </w:tr>
      <w:tr>
        <w:tblPrEx>
          <w:tblW w:w="0" w:type="auto"/>
          <w:jc w:val="left"/>
          <w:tblInd w:w="3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8400" w:type="dxa"/>
            <w:gridSpan w:val="3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注：表内 </w:t>
            </w:r>
            <w:r>
              <w:rPr>
                <w:rFonts w:ascii="Times New Roman" w:eastAsia="Times New Roman"/>
                <w:sz w:val="21"/>
              </w:rPr>
              <w:t xml:space="preserve">t </w:t>
            </w:r>
            <w:r>
              <w:rPr>
                <w:spacing w:val="-1"/>
                <w:sz w:val="21"/>
              </w:rPr>
              <w:t>为连接处较薄的板厚。</w:t>
            </w:r>
          </w:p>
        </w:tc>
      </w:tr>
    </w:tbl>
    <w:p>
      <w:pPr>
        <w:pStyle w:val="ListParagraph"/>
        <w:numPr>
          <w:ilvl w:val="0"/>
          <w:numId w:val="48"/>
        </w:numPr>
        <w:tabs>
          <w:tab w:val="left" w:pos="1061"/>
        </w:tabs>
        <w:spacing w:before="132" w:after="0" w:line="343" w:lineRule="auto"/>
        <w:ind w:left="221" w:right="331" w:firstLine="480"/>
        <w:jc w:val="left"/>
        <w:rPr>
          <w:sz w:val="24"/>
        </w:rPr>
      </w:pPr>
      <w:r>
        <w:rPr>
          <w:spacing w:val="-16"/>
          <w:sz w:val="24"/>
        </w:rPr>
        <w:t>焊缝感观应达到：外形均匀、成型较好，焊道与焊道、焊道与基本金属间过渡较</w:t>
      </w:r>
      <w:r>
        <w:rPr>
          <w:spacing w:val="-2"/>
          <w:sz w:val="24"/>
        </w:rPr>
        <w:t>滑，焊渣和飞溅物基本清除干净。</w:t>
      </w:r>
    </w:p>
    <w:p>
      <w:pPr>
        <w:pStyle w:val="BodyText"/>
        <w:spacing w:before="0" w:line="343" w:lineRule="auto"/>
        <w:ind w:left="221" w:right="331" w:firstLine="480"/>
      </w:pPr>
      <w:r>
        <w:rPr>
          <w:spacing w:val="-4"/>
        </w:rPr>
        <w:t>检查数量：每批同类构件抽查10%，且不应少于3</w:t>
      </w:r>
      <w:r>
        <w:rPr>
          <w:spacing w:val="-9"/>
        </w:rPr>
        <w:t xml:space="preserve"> 件；被抽查构件中，每种焊缝按数</w:t>
      </w:r>
      <w:r>
        <w:t>量各抽查5%，总抽查处不应少于5 处。</w:t>
      </w:r>
    </w:p>
    <w:p>
      <w:pPr>
        <w:pStyle w:val="BodyText"/>
        <w:spacing w:before="1"/>
      </w:pPr>
      <w:r>
        <w:rPr>
          <w:spacing w:val="-1"/>
        </w:rPr>
        <w:t>检验方法：观察检查。</w:t>
      </w:r>
    </w:p>
    <w:p>
      <w:pPr>
        <w:pStyle w:val="ListParagraph"/>
        <w:numPr>
          <w:ilvl w:val="0"/>
          <w:numId w:val="48"/>
        </w:numPr>
        <w:tabs>
          <w:tab w:val="left" w:pos="1061"/>
        </w:tabs>
        <w:spacing w:before="132" w:after="0" w:line="240" w:lineRule="auto"/>
        <w:ind w:left="1061" w:right="0" w:hanging="360"/>
        <w:jc w:val="left"/>
        <w:rPr>
          <w:sz w:val="24"/>
        </w:rPr>
      </w:pPr>
      <w:r>
        <w:rPr>
          <w:spacing w:val="-1"/>
          <w:sz w:val="24"/>
        </w:rPr>
        <w:t>钢结构焊接分项工程常见质量问题及原因分析</w:t>
      </w:r>
    </w:p>
    <w:p>
      <w:pPr>
        <w:pStyle w:val="ListParagraph"/>
        <w:numPr>
          <w:ilvl w:val="0"/>
          <w:numId w:val="47"/>
        </w:numPr>
        <w:tabs>
          <w:tab w:val="left" w:pos="1302"/>
        </w:tabs>
        <w:spacing w:before="133" w:after="0" w:line="240" w:lineRule="auto"/>
        <w:ind w:left="1302" w:right="0" w:hanging="601"/>
        <w:jc w:val="left"/>
        <w:rPr>
          <w:sz w:val="24"/>
        </w:rPr>
      </w:pPr>
      <w:r>
        <w:rPr>
          <w:spacing w:val="-3"/>
          <w:sz w:val="24"/>
        </w:rPr>
        <w:t>焊接变形</w:t>
      </w:r>
    </w:p>
    <w:p>
      <w:pPr>
        <w:pStyle w:val="ListParagraph"/>
        <w:numPr>
          <w:ilvl w:val="0"/>
          <w:numId w:val="46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5"/>
          <w:sz w:val="24"/>
        </w:rPr>
        <w:t>现象</w:t>
      </w:r>
    </w:p>
    <w:p>
      <w:pPr>
        <w:pStyle w:val="BodyText"/>
        <w:spacing w:before="133"/>
      </w:pPr>
      <w:r>
        <w:rPr>
          <w:spacing w:val="-1"/>
        </w:rPr>
        <w:t>焊接后拼装构件翘曲变形。</w:t>
      </w:r>
    </w:p>
    <w:p>
      <w:pPr>
        <w:pStyle w:val="ListParagraph"/>
        <w:numPr>
          <w:ilvl w:val="0"/>
          <w:numId w:val="46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3"/>
          <w:sz w:val="24"/>
        </w:rPr>
        <w:t>原因分析</w:t>
      </w:r>
    </w:p>
    <w:p>
      <w:pPr>
        <w:pStyle w:val="BodyText"/>
        <w:spacing w:before="133"/>
      </w:pPr>
      <w:r>
        <w:rPr>
          <w:spacing w:val="-1"/>
        </w:rPr>
        <w:t>① 结构焊缝布置不对称。</w:t>
      </w:r>
    </w:p>
    <w:p>
      <w:pPr>
        <w:pStyle w:val="BodyText"/>
      </w:pPr>
      <w:r>
        <w:rPr>
          <w:spacing w:val="-1"/>
        </w:rPr>
        <w:t>② 构件刚度不一致，施焊后，变形不一致产生翘曲。</w:t>
      </w:r>
    </w:p>
    <w:p>
      <w:pPr>
        <w:pStyle w:val="ListParagraph"/>
        <w:numPr>
          <w:ilvl w:val="0"/>
          <w:numId w:val="47"/>
        </w:numPr>
        <w:tabs>
          <w:tab w:val="left" w:pos="1302"/>
        </w:tabs>
        <w:spacing w:before="133" w:after="0" w:line="240" w:lineRule="auto"/>
        <w:ind w:left="1302" w:right="0" w:hanging="601"/>
        <w:jc w:val="left"/>
        <w:rPr>
          <w:sz w:val="24"/>
        </w:rPr>
      </w:pPr>
      <w:r>
        <w:rPr>
          <w:spacing w:val="-3"/>
          <w:sz w:val="24"/>
        </w:rPr>
        <w:t>焊缝裂纹</w:t>
      </w:r>
    </w:p>
    <w:p>
      <w:pPr>
        <w:pStyle w:val="ListParagraph"/>
        <w:numPr>
          <w:ilvl w:val="0"/>
          <w:numId w:val="45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5"/>
          <w:sz w:val="24"/>
        </w:rPr>
        <w:t>现象</w:t>
      </w:r>
    </w:p>
    <w:p>
      <w:pPr>
        <w:pStyle w:val="BodyText"/>
        <w:spacing w:before="133"/>
      </w:pPr>
      <w:r>
        <w:rPr>
          <w:spacing w:val="-1"/>
        </w:rPr>
        <w:t>焊接焊缝处局部部位产生缝隙。</w:t>
      </w:r>
    </w:p>
    <w:p>
      <w:pPr>
        <w:pStyle w:val="ListParagraph"/>
        <w:numPr>
          <w:ilvl w:val="0"/>
          <w:numId w:val="45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3"/>
          <w:sz w:val="24"/>
        </w:rPr>
        <w:t>原因分析</w:t>
      </w:r>
    </w:p>
    <w:p>
      <w:pPr>
        <w:pStyle w:val="BodyText"/>
        <w:spacing w:before="133"/>
      </w:pPr>
      <w:r>
        <w:rPr>
          <w:spacing w:val="-2"/>
        </w:rPr>
        <w:t>① 预热温度太低。</w:t>
      </w:r>
    </w:p>
    <w:p>
      <w:pPr>
        <w:pStyle w:val="BodyText"/>
      </w:pPr>
      <w:r>
        <w:rPr>
          <w:spacing w:val="-1"/>
        </w:rPr>
        <w:t>② 焊接材料选择不当或质量差。</w:t>
      </w:r>
    </w:p>
    <w:p>
      <w:pPr>
        <w:pStyle w:val="BodyText"/>
        <w:spacing w:before="133"/>
      </w:pPr>
      <w:r>
        <w:rPr>
          <w:spacing w:val="-1"/>
        </w:rPr>
        <w:t>③ 焊接工艺选择不当。</w:t>
      </w:r>
    </w:p>
    <w:p>
      <w:pPr>
        <w:pStyle w:val="BodyText"/>
      </w:pPr>
      <w:r>
        <w:rPr>
          <w:spacing w:val="-1"/>
        </w:rPr>
        <w:t>④ 锈、油脂、水等杂质未清除干净就施焊。</w:t>
      </w:r>
    </w:p>
    <w:p>
      <w:pPr>
        <w:spacing w:after="0"/>
        <w:sectPr>
          <w:footerReference w:type="default" r:id="rId14"/>
          <w:pgSz w:w="11910" w:h="16840"/>
          <w:pgMar w:top="1380" w:right="800" w:bottom="1180" w:left="1480" w:header="0" w:footer="990"/>
          <w:pgNumType w:start="11"/>
          <w:cols w:space="708"/>
        </w:sectPr>
      </w:pPr>
    </w:p>
    <w:p>
      <w:pPr>
        <w:pStyle w:val="BodyText"/>
        <w:spacing w:before="52"/>
      </w:pPr>
      <w:r>
        <w:rPr>
          <w:spacing w:val="-5"/>
        </w:rPr>
        <w:t xml:space="preserve">⑤ 母材及填充金属中含 </w:t>
      </w:r>
      <w:r>
        <w:t>C、S、P、Cu</w:t>
      </w:r>
      <w:r>
        <w:rPr>
          <w:spacing w:val="-12"/>
        </w:rPr>
        <w:t xml:space="preserve"> 等元素多。</w:t>
      </w:r>
    </w:p>
    <w:p>
      <w:pPr>
        <w:pStyle w:val="BodyText"/>
      </w:pPr>
      <w:r>
        <w:rPr>
          <w:spacing w:val="-2"/>
        </w:rPr>
        <w:t>⑥ 弧坑未填满。</w:t>
      </w:r>
    </w:p>
    <w:p>
      <w:pPr>
        <w:pStyle w:val="ListParagraph"/>
        <w:numPr>
          <w:ilvl w:val="0"/>
          <w:numId w:val="47"/>
        </w:numPr>
        <w:tabs>
          <w:tab w:val="left" w:pos="1302"/>
        </w:tabs>
        <w:spacing w:before="133" w:after="0" w:line="240" w:lineRule="auto"/>
        <w:ind w:left="1302" w:right="0" w:hanging="601"/>
        <w:jc w:val="left"/>
        <w:rPr>
          <w:sz w:val="24"/>
        </w:rPr>
      </w:pPr>
      <w:r>
        <w:rPr>
          <w:sz w:val="24"/>
        </w:rPr>
        <w:t>未焊满人（或弧坑</w:t>
      </w:r>
      <w:r>
        <w:rPr>
          <w:spacing w:val="-10"/>
          <w:sz w:val="24"/>
        </w:rPr>
        <w:t>）</w:t>
      </w:r>
    </w:p>
    <w:p>
      <w:pPr>
        <w:pStyle w:val="ListParagraph"/>
        <w:numPr>
          <w:ilvl w:val="0"/>
          <w:numId w:val="44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5"/>
          <w:sz w:val="24"/>
        </w:rPr>
        <w:t>现象</w:t>
      </w:r>
    </w:p>
    <w:p>
      <w:pPr>
        <w:pStyle w:val="BodyText"/>
        <w:spacing w:before="133"/>
      </w:pPr>
      <w:r>
        <w:rPr>
          <w:spacing w:val="-1"/>
        </w:rPr>
        <w:t>焊缝表面形成连续或断续的沟槽。</w:t>
      </w:r>
    </w:p>
    <w:p>
      <w:pPr>
        <w:pStyle w:val="ListParagraph"/>
        <w:numPr>
          <w:ilvl w:val="0"/>
          <w:numId w:val="44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3"/>
          <w:sz w:val="24"/>
        </w:rPr>
        <w:t>原因分析</w:t>
      </w:r>
    </w:p>
    <w:p>
      <w:pPr>
        <w:pStyle w:val="BodyText"/>
        <w:spacing w:before="133"/>
      </w:pPr>
      <w:r>
        <w:rPr>
          <w:spacing w:val="-1"/>
        </w:rPr>
        <w:t>① 焊接层次或运条速度没控制好。</w:t>
      </w:r>
    </w:p>
    <w:p>
      <w:pPr>
        <w:pStyle w:val="BodyText"/>
      </w:pPr>
      <w:r>
        <w:rPr>
          <w:spacing w:val="-1"/>
        </w:rPr>
        <w:t>② 焊缝收弧时或焊接中断重新引弧时操作不当。</w:t>
      </w:r>
    </w:p>
    <w:p>
      <w:pPr>
        <w:pStyle w:val="BodyText"/>
        <w:spacing w:before="133"/>
      </w:pPr>
      <w:r>
        <w:rPr>
          <w:spacing w:val="-1"/>
        </w:rPr>
        <w:t>③自动焊或半自动焊时，送丝和电源同时切断。</w:t>
      </w:r>
    </w:p>
    <w:p>
      <w:pPr>
        <w:pStyle w:val="ListParagraph"/>
        <w:numPr>
          <w:ilvl w:val="0"/>
          <w:numId w:val="47"/>
        </w:numPr>
        <w:tabs>
          <w:tab w:val="left" w:pos="1302"/>
        </w:tabs>
        <w:spacing w:before="132" w:after="0" w:line="240" w:lineRule="auto"/>
        <w:ind w:left="1302" w:right="0" w:hanging="601"/>
        <w:jc w:val="left"/>
        <w:rPr>
          <w:sz w:val="24"/>
        </w:rPr>
      </w:pPr>
      <w:r>
        <w:rPr>
          <w:spacing w:val="-5"/>
          <w:sz w:val="24"/>
        </w:rPr>
        <w:t>气孔</w:t>
      </w:r>
    </w:p>
    <w:p>
      <w:pPr>
        <w:pStyle w:val="ListParagraph"/>
        <w:numPr>
          <w:ilvl w:val="0"/>
          <w:numId w:val="43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5"/>
          <w:sz w:val="24"/>
        </w:rPr>
        <w:t>现象</w:t>
      </w:r>
    </w:p>
    <w:p>
      <w:pPr>
        <w:pStyle w:val="BodyText"/>
      </w:pPr>
      <w:r>
        <w:rPr>
          <w:spacing w:val="-1"/>
        </w:rPr>
        <w:t>焊缝表面或内部形成的孔穴。</w:t>
      </w:r>
    </w:p>
    <w:p>
      <w:pPr>
        <w:pStyle w:val="ListParagraph"/>
        <w:numPr>
          <w:ilvl w:val="0"/>
          <w:numId w:val="43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3"/>
          <w:sz w:val="24"/>
        </w:rPr>
        <w:t>原因分析</w:t>
      </w:r>
    </w:p>
    <w:p>
      <w:pPr>
        <w:pStyle w:val="BodyText"/>
      </w:pPr>
      <w:r>
        <w:rPr>
          <w:spacing w:val="-1"/>
        </w:rPr>
        <w:t>① 焊条、焊剂受潮未处理。</w:t>
      </w:r>
    </w:p>
    <w:p>
      <w:pPr>
        <w:pStyle w:val="BodyText"/>
        <w:spacing w:before="133"/>
      </w:pPr>
      <w:r>
        <w:rPr>
          <w:spacing w:val="-1"/>
        </w:rPr>
        <w:t>② 锈、油脂、水等杂质未清除干净就施焊。</w:t>
      </w:r>
    </w:p>
    <w:p>
      <w:pPr>
        <w:pStyle w:val="BodyText"/>
      </w:pPr>
      <w:r>
        <w:rPr>
          <w:spacing w:val="-1"/>
        </w:rPr>
        <w:t>③ 引弧和熄弧位置重叠。</w:t>
      </w:r>
    </w:p>
    <w:p>
      <w:pPr>
        <w:pStyle w:val="BodyText"/>
        <w:spacing w:before="133"/>
      </w:pPr>
      <w:r>
        <w:rPr>
          <w:spacing w:val="-9"/>
        </w:rPr>
        <w:t xml:space="preserve">④ 母材中含 </w:t>
      </w:r>
      <w:r>
        <w:t>S</w:t>
      </w:r>
      <w:r>
        <w:rPr>
          <w:spacing w:val="-40"/>
        </w:rPr>
        <w:t xml:space="preserve"> 或 </w:t>
      </w:r>
      <w:r>
        <w:t>P</w:t>
      </w:r>
      <w:r>
        <w:rPr>
          <w:spacing w:val="-14"/>
        </w:rPr>
        <w:t xml:space="preserve"> 元素多。</w:t>
      </w:r>
    </w:p>
    <w:p>
      <w:pPr>
        <w:pStyle w:val="BodyText"/>
      </w:pPr>
      <w:r>
        <w:rPr>
          <w:spacing w:val="-1"/>
        </w:rPr>
        <w:t>⑤ 焊接时电流大、电弧长或焊接速度快。</w:t>
      </w:r>
    </w:p>
    <w:p>
      <w:pPr>
        <w:pStyle w:val="ListParagraph"/>
        <w:numPr>
          <w:ilvl w:val="0"/>
          <w:numId w:val="47"/>
        </w:numPr>
        <w:tabs>
          <w:tab w:val="left" w:pos="1302"/>
        </w:tabs>
        <w:spacing w:before="133" w:after="0" w:line="240" w:lineRule="auto"/>
        <w:ind w:left="1302" w:right="0" w:hanging="601"/>
        <w:jc w:val="left"/>
        <w:rPr>
          <w:sz w:val="24"/>
        </w:rPr>
      </w:pPr>
      <w:r>
        <w:rPr>
          <w:spacing w:val="-5"/>
          <w:sz w:val="24"/>
        </w:rPr>
        <w:t>咬边</w:t>
      </w:r>
    </w:p>
    <w:p>
      <w:pPr>
        <w:pStyle w:val="ListParagraph"/>
        <w:numPr>
          <w:ilvl w:val="0"/>
          <w:numId w:val="42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5"/>
          <w:sz w:val="24"/>
        </w:rPr>
        <w:t>现象</w:t>
      </w:r>
    </w:p>
    <w:p>
      <w:pPr>
        <w:pStyle w:val="BodyText"/>
        <w:spacing w:before="133"/>
      </w:pPr>
      <w:r>
        <w:rPr>
          <w:spacing w:val="-1"/>
        </w:rPr>
        <w:t>焊缝边缘的母材被熔成凹陷或沟槽。</w:t>
      </w:r>
    </w:p>
    <w:p>
      <w:pPr>
        <w:pStyle w:val="ListParagraph"/>
        <w:numPr>
          <w:ilvl w:val="0"/>
          <w:numId w:val="42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3"/>
          <w:sz w:val="24"/>
        </w:rPr>
        <w:t>原因分析</w:t>
      </w:r>
    </w:p>
    <w:p>
      <w:pPr>
        <w:pStyle w:val="BodyText"/>
        <w:spacing w:before="133"/>
      </w:pPr>
      <w:r>
        <w:rPr>
          <w:spacing w:val="-1"/>
        </w:rPr>
        <w:t>① 电流过大、电弧过长或焊接速度过快。</w:t>
      </w:r>
    </w:p>
    <w:p>
      <w:pPr>
        <w:pStyle w:val="BodyText"/>
      </w:pPr>
      <w:r>
        <w:rPr>
          <w:spacing w:val="-1"/>
        </w:rPr>
        <w:t>② 焊条、焊丝角度不正确。</w:t>
      </w:r>
    </w:p>
    <w:p>
      <w:pPr>
        <w:pStyle w:val="BodyText"/>
        <w:spacing w:before="133"/>
      </w:pPr>
      <w:r>
        <w:rPr>
          <w:spacing w:val="-1"/>
        </w:rPr>
        <w:t>③ 埋弧焊时电压过低。</w:t>
      </w:r>
    </w:p>
    <w:p>
      <w:pPr>
        <w:pStyle w:val="ListParagraph"/>
        <w:numPr>
          <w:ilvl w:val="0"/>
          <w:numId w:val="47"/>
        </w:numPr>
        <w:tabs>
          <w:tab w:val="left" w:pos="1302"/>
        </w:tabs>
        <w:spacing w:before="132" w:after="0" w:line="240" w:lineRule="auto"/>
        <w:ind w:left="1302" w:right="0" w:hanging="601"/>
        <w:jc w:val="left"/>
        <w:rPr>
          <w:sz w:val="24"/>
        </w:rPr>
      </w:pPr>
      <w:r>
        <w:rPr>
          <w:spacing w:val="-4"/>
          <w:sz w:val="24"/>
        </w:rPr>
        <w:t>未熔合</w:t>
      </w:r>
    </w:p>
    <w:p>
      <w:pPr>
        <w:pStyle w:val="ListParagraph"/>
        <w:numPr>
          <w:ilvl w:val="0"/>
          <w:numId w:val="41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5"/>
          <w:sz w:val="24"/>
        </w:rPr>
        <w:t>现象</w:t>
      </w:r>
    </w:p>
    <w:p>
      <w:pPr>
        <w:pStyle w:val="BodyText"/>
      </w:pPr>
      <w:r>
        <w:rPr>
          <w:spacing w:val="-1"/>
        </w:rPr>
        <w:t>焊缝填充金属之间或下母材之间的熔合不良。</w:t>
      </w:r>
    </w:p>
    <w:p>
      <w:pPr>
        <w:pStyle w:val="ListParagraph"/>
        <w:numPr>
          <w:ilvl w:val="0"/>
          <w:numId w:val="41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3"/>
          <w:sz w:val="24"/>
        </w:rPr>
        <w:t>原因分析</w:t>
      </w:r>
    </w:p>
    <w:p>
      <w:pPr>
        <w:pStyle w:val="BodyText"/>
      </w:pPr>
      <w:r>
        <w:rPr>
          <w:spacing w:val="-1"/>
        </w:rPr>
        <w:t>① 焊接时电流过小、速度过快。</w:t>
      </w:r>
    </w:p>
    <w:p>
      <w:pPr>
        <w:pStyle w:val="BodyText"/>
        <w:spacing w:before="133"/>
      </w:pPr>
      <w:r>
        <w:rPr>
          <w:spacing w:val="-1"/>
        </w:rPr>
        <w:t>② 焊接坡口形状不当、焊条直径不当。</w:t>
      </w:r>
    </w:p>
    <w:p>
      <w:pPr>
        <w:spacing w:after="0"/>
        <w:sectPr>
          <w:footerReference w:type="default" r:id="rId15"/>
          <w:pgSz w:w="11910" w:h="16840"/>
          <w:pgMar w:top="1460" w:right="800" w:bottom="1180" w:left="1480" w:header="0" w:footer="990"/>
          <w:pgNumType w:start="12"/>
          <w:cols w:space="708"/>
        </w:sectPr>
      </w:pPr>
    </w:p>
    <w:p>
      <w:pPr>
        <w:pStyle w:val="BodyText"/>
        <w:spacing w:before="52"/>
      </w:pPr>
      <w:r>
        <w:rPr>
          <w:spacing w:val="-1"/>
        </w:rPr>
        <w:t>③焊接运条角度不正确。</w:t>
      </w:r>
    </w:p>
    <w:p>
      <w:pPr>
        <w:pStyle w:val="BodyText"/>
      </w:pPr>
      <w:r>
        <w:rPr>
          <w:spacing w:val="-1"/>
        </w:rPr>
        <w:t>④ 焊接区域热量不够。</w:t>
      </w:r>
    </w:p>
    <w:p>
      <w:pPr>
        <w:pStyle w:val="BodyText"/>
        <w:spacing w:before="133"/>
      </w:pPr>
      <w:r>
        <w:rPr>
          <w:spacing w:val="-1"/>
        </w:rPr>
        <w:t>⑤ 金属表面有锈杂物，未清除干净就施焊。</w:t>
      </w:r>
    </w:p>
    <w:p>
      <w:pPr>
        <w:pStyle w:val="ListParagraph"/>
        <w:numPr>
          <w:ilvl w:val="0"/>
          <w:numId w:val="47"/>
        </w:numPr>
        <w:tabs>
          <w:tab w:val="left" w:pos="1302"/>
        </w:tabs>
        <w:spacing w:before="132" w:after="0" w:line="240" w:lineRule="auto"/>
        <w:ind w:left="1302" w:right="0" w:hanging="601"/>
        <w:jc w:val="left"/>
        <w:rPr>
          <w:sz w:val="24"/>
        </w:rPr>
      </w:pPr>
      <w:r>
        <w:rPr>
          <w:spacing w:val="-2"/>
          <w:sz w:val="24"/>
        </w:rPr>
        <w:t>焊脚高度不符</w:t>
      </w:r>
    </w:p>
    <w:p>
      <w:pPr>
        <w:pStyle w:val="ListParagraph"/>
        <w:numPr>
          <w:ilvl w:val="0"/>
          <w:numId w:val="40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5"/>
          <w:sz w:val="24"/>
        </w:rPr>
        <w:t>现象</w:t>
      </w:r>
    </w:p>
    <w:p>
      <w:pPr>
        <w:pStyle w:val="BodyText"/>
      </w:pPr>
      <w:r>
        <w:rPr>
          <w:spacing w:val="-1"/>
        </w:rPr>
        <w:t>焊脚高度过高或欠缺。</w:t>
      </w:r>
    </w:p>
    <w:p>
      <w:pPr>
        <w:pStyle w:val="ListParagraph"/>
        <w:numPr>
          <w:ilvl w:val="0"/>
          <w:numId w:val="40"/>
        </w:numPr>
        <w:tabs>
          <w:tab w:val="left" w:pos="1062"/>
        </w:tabs>
        <w:spacing w:before="133" w:after="0" w:line="240" w:lineRule="auto"/>
        <w:ind w:left="1062" w:right="0" w:hanging="361"/>
        <w:jc w:val="left"/>
        <w:rPr>
          <w:sz w:val="24"/>
        </w:rPr>
      </w:pPr>
      <w:r>
        <w:rPr>
          <w:spacing w:val="-3"/>
          <w:sz w:val="24"/>
        </w:rPr>
        <w:t>原因分析</w:t>
      </w:r>
    </w:p>
    <w:p>
      <w:pPr>
        <w:pStyle w:val="BodyText"/>
      </w:pPr>
      <w:r>
        <w:rPr>
          <w:spacing w:val="-1"/>
        </w:rPr>
        <w:t>① 焊接时焊条直径选用不当。</w:t>
      </w:r>
    </w:p>
    <w:p>
      <w:pPr>
        <w:pStyle w:val="BodyText"/>
        <w:spacing w:before="133"/>
      </w:pPr>
      <w:r>
        <w:rPr>
          <w:spacing w:val="-1"/>
        </w:rPr>
        <w:t>② 焊接时焊接层次没控制好。</w:t>
      </w:r>
    </w:p>
    <w:p>
      <w:pPr>
        <w:pStyle w:val="BodyText"/>
      </w:pPr>
      <w:r>
        <w:rPr>
          <w:spacing w:val="-2"/>
        </w:rPr>
        <w:t>③ 焊接速度不当。</w:t>
      </w:r>
    </w:p>
    <w:p>
      <w:pPr>
        <w:pStyle w:val="ListParagraph"/>
        <w:numPr>
          <w:ilvl w:val="0"/>
          <w:numId w:val="47"/>
        </w:numPr>
        <w:tabs>
          <w:tab w:val="left" w:pos="1302"/>
        </w:tabs>
        <w:spacing w:before="133" w:after="0" w:line="240" w:lineRule="auto"/>
        <w:ind w:left="1302" w:right="0" w:hanging="601"/>
        <w:jc w:val="left"/>
        <w:rPr>
          <w:sz w:val="24"/>
        </w:rPr>
      </w:pPr>
      <w:r>
        <w:rPr>
          <w:spacing w:val="-3"/>
          <w:sz w:val="24"/>
        </w:rPr>
        <w:t>焊缝过高</w:t>
      </w:r>
    </w:p>
    <w:p>
      <w:pPr>
        <w:pStyle w:val="ListParagraph"/>
        <w:numPr>
          <w:ilvl w:val="0"/>
          <w:numId w:val="39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5"/>
          <w:sz w:val="24"/>
        </w:rPr>
        <w:t>现象</w:t>
      </w:r>
    </w:p>
    <w:p>
      <w:pPr>
        <w:pStyle w:val="BodyText"/>
        <w:spacing w:before="133"/>
      </w:pPr>
      <w:r>
        <w:rPr>
          <w:spacing w:val="-1"/>
        </w:rPr>
        <w:t>焊缝上突出焊接表面高度过高。</w:t>
      </w:r>
    </w:p>
    <w:p>
      <w:pPr>
        <w:pStyle w:val="ListParagraph"/>
        <w:numPr>
          <w:ilvl w:val="0"/>
          <w:numId w:val="39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3"/>
          <w:sz w:val="24"/>
        </w:rPr>
        <w:t>原因分析</w:t>
      </w:r>
    </w:p>
    <w:p>
      <w:pPr>
        <w:pStyle w:val="BodyText"/>
        <w:spacing w:before="133"/>
      </w:pPr>
      <w:r>
        <w:rPr>
          <w:spacing w:val="-2"/>
        </w:rPr>
        <w:t>① 焊接电流过小。</w:t>
      </w:r>
    </w:p>
    <w:p>
      <w:pPr>
        <w:pStyle w:val="BodyText"/>
      </w:pPr>
      <w:r>
        <w:rPr>
          <w:spacing w:val="-2"/>
        </w:rPr>
        <w:t>② 焊接速度太慢。</w:t>
      </w:r>
    </w:p>
    <w:p>
      <w:pPr>
        <w:pStyle w:val="BodyText"/>
        <w:spacing w:before="133"/>
      </w:pPr>
      <w:r>
        <w:rPr>
          <w:spacing w:val="-1"/>
        </w:rPr>
        <w:t>③ 焊接层次没控制好。</w:t>
      </w:r>
    </w:p>
    <w:p>
      <w:pPr>
        <w:pStyle w:val="BodyText"/>
      </w:pPr>
      <w:r>
        <w:rPr>
          <w:spacing w:val="-1"/>
        </w:rPr>
        <w:t>④ 埋弧焊起点没控制好。</w:t>
      </w:r>
    </w:p>
    <w:p>
      <w:pPr>
        <w:pStyle w:val="ListParagraph"/>
        <w:numPr>
          <w:ilvl w:val="0"/>
          <w:numId w:val="47"/>
        </w:numPr>
        <w:tabs>
          <w:tab w:val="left" w:pos="1302"/>
        </w:tabs>
        <w:spacing w:before="133" w:after="0" w:line="240" w:lineRule="auto"/>
        <w:ind w:left="1302" w:right="0" w:hanging="601"/>
        <w:jc w:val="left"/>
        <w:rPr>
          <w:sz w:val="24"/>
        </w:rPr>
      </w:pPr>
      <w:r>
        <w:rPr>
          <w:spacing w:val="-4"/>
          <w:sz w:val="24"/>
        </w:rPr>
        <w:t>未焊透</w:t>
      </w:r>
    </w:p>
    <w:p>
      <w:pPr>
        <w:pStyle w:val="ListParagraph"/>
        <w:numPr>
          <w:ilvl w:val="0"/>
          <w:numId w:val="38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5"/>
          <w:sz w:val="24"/>
        </w:rPr>
        <w:t>现象</w:t>
      </w:r>
    </w:p>
    <w:p>
      <w:pPr>
        <w:pStyle w:val="BodyText"/>
        <w:spacing w:before="133"/>
      </w:pPr>
      <w:r>
        <w:rPr>
          <w:spacing w:val="-1"/>
        </w:rPr>
        <w:t>焊缝根部或层间出现未将母材熔化或未填满熔化金属。</w:t>
      </w:r>
    </w:p>
    <w:p>
      <w:pPr>
        <w:pStyle w:val="ListParagraph"/>
        <w:numPr>
          <w:ilvl w:val="0"/>
          <w:numId w:val="38"/>
        </w:numPr>
        <w:tabs>
          <w:tab w:val="left" w:pos="1062"/>
        </w:tabs>
        <w:spacing w:before="132" w:after="0" w:line="240" w:lineRule="auto"/>
        <w:ind w:left="1062" w:right="0" w:hanging="361"/>
        <w:jc w:val="left"/>
        <w:rPr>
          <w:sz w:val="24"/>
        </w:rPr>
      </w:pPr>
      <w:r>
        <w:rPr>
          <w:spacing w:val="-3"/>
          <w:sz w:val="24"/>
        </w:rPr>
        <w:t>原因分析</w:t>
      </w:r>
    </w:p>
    <w:p>
      <w:pPr>
        <w:pStyle w:val="BodyText"/>
        <w:spacing w:before="133"/>
      </w:pPr>
      <w:r>
        <w:rPr>
          <w:spacing w:val="-1"/>
        </w:rPr>
        <w:t>① 采用的焊接电流过小，焊接速度太快。</w:t>
      </w:r>
    </w:p>
    <w:p>
      <w:pPr>
        <w:pStyle w:val="BodyText"/>
      </w:pPr>
      <w:r>
        <w:rPr>
          <w:spacing w:val="-1"/>
        </w:rPr>
        <w:t>② 焊接根部未处理得当。</w:t>
      </w:r>
    </w:p>
    <w:p>
      <w:pPr>
        <w:pStyle w:val="BodyText"/>
        <w:spacing w:before="133"/>
      </w:pPr>
      <w:r>
        <w:rPr>
          <w:spacing w:val="-1"/>
        </w:rPr>
        <w:t>③ 坡口加工角度过小，钝边过大。</w:t>
      </w:r>
    </w:p>
    <w:p>
      <w:pPr>
        <w:pStyle w:val="BodyText"/>
      </w:pPr>
      <w:r>
        <w:rPr>
          <w:spacing w:val="-2"/>
        </w:rPr>
        <w:t>④ 装配间隙过小。</w:t>
      </w:r>
    </w:p>
    <w:p>
      <w:pPr>
        <w:pStyle w:val="ListParagraph"/>
        <w:numPr>
          <w:ilvl w:val="0"/>
          <w:numId w:val="48"/>
        </w:numPr>
        <w:tabs>
          <w:tab w:val="left" w:pos="1061"/>
        </w:tabs>
        <w:spacing w:before="133" w:after="0" w:line="240" w:lineRule="auto"/>
        <w:ind w:left="1061" w:right="0" w:hanging="360"/>
        <w:jc w:val="left"/>
        <w:rPr>
          <w:sz w:val="24"/>
        </w:rPr>
      </w:pPr>
      <w:r>
        <w:rPr>
          <w:spacing w:val="-1"/>
          <w:sz w:val="24"/>
        </w:rPr>
        <w:t>钢结构焊接分项质量控制资料</w:t>
      </w:r>
    </w:p>
    <w:p>
      <w:pPr>
        <w:pStyle w:val="ListParagraph"/>
        <w:numPr>
          <w:ilvl w:val="0"/>
          <w:numId w:val="37"/>
        </w:numPr>
        <w:tabs>
          <w:tab w:val="left" w:pos="1302"/>
        </w:tabs>
        <w:spacing w:before="132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焊条、焊丝、焊剂、电渣焊熔嘴等焊接材料出厂合格证明文件及检验报告。</w:t>
      </w:r>
    </w:p>
    <w:p>
      <w:pPr>
        <w:pStyle w:val="ListParagraph"/>
        <w:numPr>
          <w:ilvl w:val="0"/>
          <w:numId w:val="37"/>
        </w:numPr>
        <w:tabs>
          <w:tab w:val="left" w:pos="1302"/>
        </w:tabs>
        <w:spacing w:before="133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焊条、焊剂等烘焙记录。</w:t>
      </w:r>
    </w:p>
    <w:p>
      <w:pPr>
        <w:pStyle w:val="ListParagraph"/>
        <w:numPr>
          <w:ilvl w:val="0"/>
          <w:numId w:val="37"/>
        </w:numPr>
        <w:tabs>
          <w:tab w:val="left" w:pos="1302"/>
        </w:tabs>
        <w:spacing w:before="132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重要钢结构采用的焊接材料复验报告。</w:t>
      </w:r>
    </w:p>
    <w:p>
      <w:pPr>
        <w:pStyle w:val="ListParagraph"/>
        <w:numPr>
          <w:ilvl w:val="0"/>
          <w:numId w:val="37"/>
        </w:numPr>
        <w:tabs>
          <w:tab w:val="left" w:pos="1302"/>
        </w:tabs>
        <w:spacing w:before="133" w:after="0" w:line="240" w:lineRule="auto"/>
        <w:ind w:left="1302" w:right="0" w:hanging="601"/>
        <w:jc w:val="left"/>
        <w:rPr>
          <w:sz w:val="24"/>
        </w:rPr>
      </w:pPr>
      <w:r>
        <w:rPr>
          <w:spacing w:val="-1"/>
          <w:sz w:val="24"/>
        </w:rPr>
        <w:t>焊工合格证及其认可范围、有效期。</w:t>
      </w:r>
    </w:p>
    <w:p>
      <w:pPr>
        <w:spacing w:after="0" w:line="240" w:lineRule="auto"/>
        <w:jc w:val="left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https://d.book118.com/308104107130006042</w:t>
        </w:r>
      </w:hyperlink>
    </w:p>
    <w:p>
      <w:pPr>
        <w:spacing w:after="0" w:line="240" w:lineRule="auto"/>
        <w:jc w:val="left"/>
        <w:rPr>
          <w:sz w:val="24"/>
        </w:rPr>
      </w:pPr>
    </w:p>
    <w:sectPr>
      <w:footerReference w:type="default" r:id="rId17"/>
      <w:pgSz w:w="11910" w:h="16840"/>
      <w:pgMar w:top="1460" w:right="800" w:bottom="1180" w:left="1480" w:header="0" w:footer="99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pt;height:12pt;margin-top:781.38pt;margin-left:304.3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pt;height:12pt;margin-top:781.38pt;margin-left:304.3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pt;height:12pt;margin-top:781.38pt;margin-left:304.3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pt;height:12pt;margin-top:781.38pt;margin-left:304.3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pt;height:12pt;margin-top:781.38pt;margin-left:304.3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pt;height:12pt;margin-top:781.38pt;margin-left:304.3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pt;height:12pt;margin-top:781.38pt;margin-left:304.3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pt;height:12pt;margin-top:781.38pt;margin-left:304.3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pt;height:12pt;margin-top:781.38pt;margin-left:304.3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pt;height:12pt;margin-top:781.38pt;margin-left:304.3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pt;height:12pt;margin-top:781.38pt;margin-left:304.3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pt;height:12pt;margin-top:781.38pt;margin-left:304.3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pt;height:12pt;margin-top:781.38pt;margin-left:304.3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4E437A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0"/>
      </w:pPr>
      <w:rPr>
        <w:rFonts w:hint="default"/>
        <w:lang w:val="en-US" w:eastAsia="zh-CN" w:bidi="ar-SA"/>
      </w:rPr>
    </w:lvl>
  </w:abstractNum>
  <w:abstractNum w:abstractNumId="1">
    <w:nsid w:val="0153261D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0"/>
      </w:pPr>
      <w:rPr>
        <w:rFonts w:hint="default"/>
        <w:lang w:val="en-US" w:eastAsia="zh-CN" w:bidi="ar-SA"/>
      </w:rPr>
    </w:lvl>
  </w:abstractNum>
  <w:abstractNum w:abstractNumId="2">
    <w:nsid w:val="029326F1"/>
    <w:multiLevelType w:val="hybridMultilevel"/>
    <w:tmpl w:val="00000000"/>
    <w:lvl w:ilvl="0">
      <w:start w:val="1"/>
      <w:numFmt w:val="decimal"/>
      <w:lvlText w:val="（%1）"/>
      <w:lvlJc w:val="left"/>
      <w:pPr>
        <w:ind w:left="634" w:hanging="52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50" w:hanging="52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61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71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482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69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903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114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24" w:hanging="526"/>
      </w:pPr>
      <w:rPr>
        <w:rFonts w:hint="default"/>
        <w:lang w:val="en-US" w:eastAsia="zh-CN" w:bidi="ar-SA"/>
      </w:rPr>
    </w:lvl>
  </w:abstractNum>
  <w:abstractNum w:abstractNumId="3">
    <w:nsid w:val="04290E1A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4">
    <w:nsid w:val="05A72562"/>
    <w:multiLevelType w:val="hybridMultilevel"/>
    <w:tmpl w:val="00000000"/>
    <w:lvl w:ilvl="0">
      <w:start w:val="1"/>
      <w:numFmt w:val="decimal"/>
      <w:lvlText w:val="%1.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5">
    <w:nsid w:val="073129DC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6">
    <w:nsid w:val="073AB827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7">
    <w:nsid w:val="07D210E9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8">
    <w:nsid w:val="0A00F160"/>
    <w:multiLevelType w:val="hybridMultilevel"/>
    <w:tmpl w:val="00000000"/>
    <w:lvl w:ilvl="0">
      <w:start w:val="1"/>
      <w:numFmt w:val="decimal"/>
      <w:lvlText w:val="（%1）"/>
      <w:lvlJc w:val="left"/>
      <w:pPr>
        <w:ind w:left="634" w:hanging="52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50" w:hanging="52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61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71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482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69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903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114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24" w:hanging="526"/>
      </w:pPr>
      <w:rPr>
        <w:rFonts w:hint="default"/>
        <w:lang w:val="en-US" w:eastAsia="zh-CN" w:bidi="ar-SA"/>
      </w:rPr>
    </w:lvl>
  </w:abstractNum>
  <w:abstractNum w:abstractNumId="9">
    <w:nsid w:val="0ABA1406"/>
    <w:multiLevelType w:val="hybridMultilevel"/>
    <w:tmpl w:val="00000000"/>
    <w:lvl w:ilvl="0">
      <w:start w:val="1"/>
      <w:numFmt w:val="decimal"/>
      <w:lvlText w:val="（%1）"/>
      <w:lvlJc w:val="left"/>
      <w:pPr>
        <w:ind w:left="13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3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6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9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2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60" w:hanging="601"/>
      </w:pPr>
      <w:rPr>
        <w:rFonts w:hint="default"/>
        <w:lang w:val="en-US" w:eastAsia="zh-CN" w:bidi="ar-SA"/>
      </w:rPr>
    </w:lvl>
  </w:abstractNum>
  <w:abstractNum w:abstractNumId="10">
    <w:nsid w:val="0C23BB9C"/>
    <w:multiLevelType w:val="hybridMultilevel"/>
    <w:tmpl w:val="00000000"/>
    <w:lvl w:ilvl="0">
      <w:start w:val="1"/>
      <w:numFmt w:val="decimal"/>
      <w:lvlText w:val="（%1）"/>
      <w:lvlJc w:val="left"/>
      <w:pPr>
        <w:ind w:left="13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3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6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9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2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60" w:hanging="601"/>
      </w:pPr>
      <w:rPr>
        <w:rFonts w:hint="default"/>
        <w:lang w:val="en-US" w:eastAsia="zh-CN" w:bidi="ar-SA"/>
      </w:rPr>
    </w:lvl>
  </w:abstractNum>
  <w:abstractNum w:abstractNumId="11">
    <w:nsid w:val="0C6B2540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0"/>
      </w:pPr>
      <w:rPr>
        <w:rFonts w:hint="default"/>
        <w:lang w:val="en-US" w:eastAsia="zh-CN" w:bidi="ar-SA"/>
      </w:rPr>
    </w:lvl>
  </w:abstractNum>
  <w:abstractNum w:abstractNumId="12">
    <w:nsid w:val="0FD4E06F"/>
    <w:multiLevelType w:val="hybridMultilevel"/>
    <w:tmpl w:val="00000000"/>
    <w:lvl w:ilvl="0">
      <w:start w:val="1"/>
      <w:numFmt w:val="decimal"/>
      <w:lvlText w:val="（%1）"/>
      <w:lvlJc w:val="left"/>
      <w:pPr>
        <w:ind w:left="634" w:hanging="52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50" w:hanging="52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61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71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482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69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903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114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24" w:hanging="526"/>
      </w:pPr>
      <w:rPr>
        <w:rFonts w:hint="default"/>
        <w:lang w:val="en-US" w:eastAsia="zh-CN" w:bidi="ar-SA"/>
      </w:rPr>
    </w:lvl>
  </w:abstractNum>
  <w:abstractNum w:abstractNumId="13">
    <w:nsid w:val="107D0D65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14">
    <w:nsid w:val="10E0602C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15">
    <w:nsid w:val="16065C57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16">
    <w:nsid w:val="1E9F94C9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52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64" w:hanging="52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29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93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58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42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87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952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216" w:hanging="526"/>
      </w:pPr>
      <w:rPr>
        <w:rFonts w:hint="default"/>
        <w:lang w:val="en-US" w:eastAsia="zh-CN" w:bidi="ar-SA"/>
      </w:rPr>
    </w:lvl>
  </w:abstractNum>
  <w:abstractNum w:abstractNumId="17">
    <w:nsid w:val="2121C9C8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18">
    <w:nsid w:val="23428DBB"/>
    <w:multiLevelType w:val="hybridMultilevel"/>
    <w:tmpl w:val="00000000"/>
    <w:lvl w:ilvl="0">
      <w:start w:val="1"/>
      <w:numFmt w:val="decimal"/>
      <w:lvlText w:val="（%1）"/>
      <w:lvlJc w:val="left"/>
      <w:pPr>
        <w:ind w:left="2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601"/>
      </w:pPr>
      <w:rPr>
        <w:rFonts w:hint="default"/>
        <w:lang w:val="en-US" w:eastAsia="zh-CN" w:bidi="ar-SA"/>
      </w:rPr>
    </w:lvl>
  </w:abstractNum>
  <w:abstractNum w:abstractNumId="19">
    <w:nsid w:val="24289195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20">
    <w:nsid w:val="25F54A30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21">
    <w:nsid w:val="266DB123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22">
    <w:nsid w:val="28655AEE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23">
    <w:nsid w:val="2A5A9206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24">
    <w:nsid w:val="2B20A4DA"/>
    <w:multiLevelType w:val="hybridMultilevel"/>
    <w:tmpl w:val="00000000"/>
    <w:lvl w:ilvl="0">
      <w:start w:val="1"/>
      <w:numFmt w:val="decimal"/>
      <w:lvlText w:val="（%1）"/>
      <w:lvlJc w:val="left"/>
      <w:pPr>
        <w:ind w:left="2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49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601"/>
      </w:pPr>
      <w:rPr>
        <w:rFonts w:hint="default"/>
        <w:lang w:val="en-US" w:eastAsia="zh-CN" w:bidi="ar-SA"/>
      </w:rPr>
    </w:lvl>
  </w:abstractNum>
  <w:abstractNum w:abstractNumId="25">
    <w:nsid w:val="2B2BF06F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0"/>
      </w:pPr>
      <w:rPr>
        <w:rFonts w:hint="default"/>
        <w:lang w:val="en-US" w:eastAsia="zh-CN" w:bidi="ar-SA"/>
      </w:rPr>
    </w:lvl>
  </w:abstractNum>
  <w:abstractNum w:abstractNumId="26">
    <w:nsid w:val="2D7E590B"/>
    <w:multiLevelType w:val="hybridMultilevel"/>
    <w:tmpl w:val="00000000"/>
    <w:lvl w:ilvl="0">
      <w:start w:val="1"/>
      <w:numFmt w:val="decimal"/>
      <w:lvlText w:val="%1."/>
      <w:lvlJc w:val="left"/>
      <w:pPr>
        <w:ind w:left="221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360"/>
      </w:pPr>
      <w:rPr>
        <w:rFonts w:hint="default"/>
        <w:lang w:val="en-US" w:eastAsia="zh-CN" w:bidi="ar-SA"/>
      </w:rPr>
    </w:lvl>
  </w:abstractNum>
  <w:abstractNum w:abstractNumId="27">
    <w:nsid w:val="2E5364FD"/>
    <w:multiLevelType w:val="hybridMultilevel"/>
    <w:tmpl w:val="00000000"/>
    <w:lvl w:ilvl="0">
      <w:start w:val="1"/>
      <w:numFmt w:val="decimal"/>
      <w:lvlText w:val="（%1）"/>
      <w:lvlJc w:val="left"/>
      <w:pPr>
        <w:ind w:left="221" w:hanging="708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70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70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70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70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70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70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70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708"/>
      </w:pPr>
      <w:rPr>
        <w:rFonts w:hint="default"/>
        <w:lang w:val="en-US" w:eastAsia="zh-CN" w:bidi="ar-SA"/>
      </w:rPr>
    </w:lvl>
  </w:abstractNum>
  <w:abstractNum w:abstractNumId="28">
    <w:nsid w:val="2FE3520B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29">
    <w:nsid w:val="309AFB04"/>
    <w:multiLevelType w:val="hybridMultilevel"/>
    <w:tmpl w:val="00000000"/>
    <w:lvl w:ilvl="0">
      <w:start w:val="1"/>
      <w:numFmt w:val="decimal"/>
      <w:lvlText w:val="%1."/>
      <w:lvlJc w:val="left"/>
      <w:pPr>
        <w:ind w:left="221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360"/>
      </w:pPr>
      <w:rPr>
        <w:rFonts w:hint="default"/>
        <w:lang w:val="en-US" w:eastAsia="zh-CN" w:bidi="ar-SA"/>
      </w:rPr>
    </w:lvl>
  </w:abstractNum>
  <w:abstractNum w:abstractNumId="30">
    <w:nsid w:val="36106684"/>
    <w:multiLevelType w:val="hybridMultilevel"/>
    <w:tmpl w:val="00000000"/>
    <w:lvl w:ilvl="0">
      <w:start w:val="1"/>
      <w:numFmt w:val="decimal"/>
      <w:lvlText w:val="（%1）"/>
      <w:lvlJc w:val="left"/>
      <w:pPr>
        <w:ind w:left="2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601"/>
      </w:pPr>
      <w:rPr>
        <w:rFonts w:hint="default"/>
        <w:lang w:val="en-US" w:eastAsia="zh-CN" w:bidi="ar-SA"/>
      </w:rPr>
    </w:lvl>
  </w:abstractNum>
  <w:abstractNum w:abstractNumId="31">
    <w:nsid w:val="36FE3E3B"/>
    <w:multiLevelType w:val="hybridMultilevel"/>
    <w:tmpl w:val="00000000"/>
    <w:lvl w:ilvl="0">
      <w:start w:val="1"/>
      <w:numFmt w:val="decimal"/>
      <w:lvlText w:val="（%1）"/>
      <w:lvlJc w:val="left"/>
      <w:pPr>
        <w:ind w:left="634" w:hanging="52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50" w:hanging="52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61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71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482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69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903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114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24" w:hanging="526"/>
      </w:pPr>
      <w:rPr>
        <w:rFonts w:hint="default"/>
        <w:lang w:val="en-US" w:eastAsia="zh-CN" w:bidi="ar-SA"/>
      </w:rPr>
    </w:lvl>
  </w:abstractNum>
  <w:abstractNum w:abstractNumId="32">
    <w:nsid w:val="3A9210BF"/>
    <w:multiLevelType w:val="hybridMultilevel"/>
    <w:tmpl w:val="00000000"/>
    <w:lvl w:ilvl="0">
      <w:start w:val="1"/>
      <w:numFmt w:val="decimal"/>
      <w:lvlText w:val="%1."/>
      <w:lvlJc w:val="left"/>
      <w:pPr>
        <w:ind w:left="1051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0"/>
      </w:pPr>
      <w:rPr>
        <w:rFonts w:hint="default"/>
        <w:lang w:val="en-US" w:eastAsia="zh-CN" w:bidi="ar-SA"/>
      </w:rPr>
    </w:lvl>
  </w:abstractNum>
  <w:abstractNum w:abstractNumId="33">
    <w:nsid w:val="3A9D9958"/>
    <w:multiLevelType w:val="hybridMultilevel"/>
    <w:tmpl w:val="00000000"/>
    <w:lvl w:ilvl="0">
      <w:start w:val="1"/>
      <w:numFmt w:val="decimal"/>
      <w:lvlText w:val="（%1）"/>
      <w:lvlJc w:val="left"/>
      <w:pPr>
        <w:ind w:left="13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3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6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9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2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60" w:hanging="601"/>
      </w:pPr>
      <w:rPr>
        <w:rFonts w:hint="default"/>
        <w:lang w:val="en-US" w:eastAsia="zh-CN" w:bidi="ar-SA"/>
      </w:rPr>
    </w:lvl>
  </w:abstractNum>
  <w:abstractNum w:abstractNumId="34">
    <w:nsid w:val="3B721D5D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35">
    <w:nsid w:val="40E9D4DB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36">
    <w:nsid w:val="43D52B81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37">
    <w:nsid w:val="43E3CD18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0"/>
      </w:pPr>
      <w:rPr>
        <w:rFonts w:hint="default"/>
        <w:lang w:val="en-US" w:eastAsia="zh-CN" w:bidi="ar-SA"/>
      </w:rPr>
    </w:lvl>
  </w:abstractNum>
  <w:abstractNum w:abstractNumId="38">
    <w:nsid w:val="4532B62E"/>
    <w:multiLevelType w:val="hybridMultilevel"/>
    <w:tmpl w:val="00000000"/>
    <w:lvl w:ilvl="0">
      <w:start w:val="1"/>
      <w:numFmt w:val="decimal"/>
      <w:lvlText w:val="（%1）"/>
      <w:lvlJc w:val="left"/>
      <w:pPr>
        <w:ind w:left="634" w:hanging="52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50" w:hanging="52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61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71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482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69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903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114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24" w:hanging="526"/>
      </w:pPr>
      <w:rPr>
        <w:rFonts w:hint="default"/>
        <w:lang w:val="en-US" w:eastAsia="zh-CN" w:bidi="ar-SA"/>
      </w:rPr>
    </w:lvl>
  </w:abstractNum>
  <w:abstractNum w:abstractNumId="39">
    <w:nsid w:val="45641CBA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40">
    <w:nsid w:val="45935E98"/>
    <w:multiLevelType w:val="hybridMultilevel"/>
    <w:tmpl w:val="00000000"/>
    <w:lvl w:ilvl="0">
      <w:start w:val="1"/>
      <w:numFmt w:val="decimal"/>
      <w:lvlText w:val="%1.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41">
    <w:nsid w:val="487A5E13"/>
    <w:multiLevelType w:val="hybridMultilevel"/>
    <w:tmpl w:val="00000000"/>
    <w:lvl w:ilvl="0">
      <w:start w:val="1"/>
      <w:numFmt w:val="decimal"/>
      <w:lvlText w:val="（%1）"/>
      <w:lvlJc w:val="left"/>
      <w:pPr>
        <w:ind w:left="13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3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6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9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2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60" w:hanging="601"/>
      </w:pPr>
      <w:rPr>
        <w:rFonts w:hint="default"/>
        <w:lang w:val="en-US" w:eastAsia="zh-CN" w:bidi="ar-SA"/>
      </w:rPr>
    </w:lvl>
  </w:abstractNum>
  <w:abstractNum w:abstractNumId="42">
    <w:nsid w:val="4ACD706E"/>
    <w:multiLevelType w:val="hybridMultilevel"/>
    <w:tmpl w:val="00000000"/>
    <w:lvl w:ilvl="0">
      <w:start w:val="1"/>
      <w:numFmt w:val="decimal"/>
      <w:lvlText w:val="%1."/>
      <w:lvlJc w:val="left"/>
      <w:pPr>
        <w:ind w:left="1062" w:hanging="36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43">
    <w:nsid w:val="4E53E209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44">
    <w:nsid w:val="5235EF48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45">
    <w:nsid w:val="53DCB41A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46">
    <w:nsid w:val="53E9E9AF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47">
    <w:nsid w:val="5826AE64"/>
    <w:multiLevelType w:val="hybridMultilevel"/>
    <w:tmpl w:val="00000000"/>
    <w:lvl w:ilvl="0">
      <w:start w:val="1"/>
      <w:numFmt w:val="decimal"/>
      <w:lvlText w:val="%1."/>
      <w:lvlJc w:val="left"/>
      <w:pPr>
        <w:ind w:left="221" w:hanging="3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3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3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3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3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3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3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3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300"/>
      </w:pPr>
      <w:rPr>
        <w:rFonts w:hint="default"/>
        <w:lang w:val="en-US" w:eastAsia="zh-CN" w:bidi="ar-SA"/>
      </w:rPr>
    </w:lvl>
  </w:abstractNum>
  <w:abstractNum w:abstractNumId="48">
    <w:nsid w:val="5A2D4230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49">
    <w:nsid w:val="5C131E59"/>
    <w:multiLevelType w:val="hybridMultilevel"/>
    <w:tmpl w:val="00000000"/>
    <w:lvl w:ilvl="0">
      <w:start w:val="1"/>
      <w:numFmt w:val="decimal"/>
      <w:lvlText w:val="（%1）"/>
      <w:lvlJc w:val="left"/>
      <w:pPr>
        <w:ind w:left="13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3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6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9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2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60" w:hanging="601"/>
      </w:pPr>
      <w:rPr>
        <w:rFonts w:hint="default"/>
        <w:lang w:val="en-US" w:eastAsia="zh-CN" w:bidi="ar-SA"/>
      </w:rPr>
    </w:lvl>
  </w:abstractNum>
  <w:abstractNum w:abstractNumId="50">
    <w:nsid w:val="5CA2CD4B"/>
    <w:multiLevelType w:val="hybridMultilevel"/>
    <w:tmpl w:val="00000000"/>
    <w:lvl w:ilvl="0">
      <w:start w:val="1"/>
      <w:numFmt w:val="decimal"/>
      <w:lvlText w:val="（%1）"/>
      <w:lvlJc w:val="left"/>
      <w:pPr>
        <w:ind w:left="13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3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6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9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2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60" w:hanging="601"/>
      </w:pPr>
      <w:rPr>
        <w:rFonts w:hint="default"/>
        <w:lang w:val="en-US" w:eastAsia="zh-CN" w:bidi="ar-SA"/>
      </w:rPr>
    </w:lvl>
  </w:abstractNum>
  <w:abstractNum w:abstractNumId="51">
    <w:nsid w:val="5CF46FFE"/>
    <w:multiLevelType w:val="hybridMultilevel"/>
    <w:tmpl w:val="00000000"/>
    <w:lvl w:ilvl="0">
      <w:start w:val="1"/>
      <w:numFmt w:val="decimal"/>
      <w:lvlText w:val="（%1）"/>
      <w:lvlJc w:val="left"/>
      <w:pPr>
        <w:ind w:left="2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601"/>
      </w:pPr>
      <w:rPr>
        <w:rFonts w:hint="default"/>
        <w:lang w:val="en-US" w:eastAsia="zh-CN" w:bidi="ar-SA"/>
      </w:rPr>
    </w:lvl>
  </w:abstractNum>
  <w:abstractNum w:abstractNumId="52">
    <w:nsid w:val="5DC0AB67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53">
    <w:nsid w:val="5E5F7F15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54">
    <w:nsid w:val="621E8FBB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55">
    <w:nsid w:val="6267592C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56">
    <w:nsid w:val="64894BE5"/>
    <w:multiLevelType w:val="hybridMultilevel"/>
    <w:tmpl w:val="00000000"/>
    <w:lvl w:ilvl="0">
      <w:start w:val="1"/>
      <w:numFmt w:val="decimal"/>
      <w:lvlText w:val="%1.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57">
    <w:nsid w:val="668B49F9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58">
    <w:nsid w:val="6779BB26"/>
    <w:multiLevelType w:val="hybridMultilevel"/>
    <w:tmpl w:val="00000000"/>
    <w:lvl w:ilvl="0">
      <w:start w:val="1"/>
      <w:numFmt w:val="decimal"/>
      <w:lvlText w:val="%1."/>
      <w:lvlJc w:val="left"/>
      <w:pPr>
        <w:ind w:left="221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360"/>
      </w:pPr>
      <w:rPr>
        <w:rFonts w:hint="default"/>
        <w:lang w:val="en-US" w:eastAsia="zh-CN" w:bidi="ar-SA"/>
      </w:rPr>
    </w:lvl>
  </w:abstractNum>
  <w:abstractNum w:abstractNumId="59">
    <w:nsid w:val="679B226D"/>
    <w:multiLevelType w:val="hybridMultilevel"/>
    <w:tmpl w:val="00000000"/>
    <w:lvl w:ilvl="0">
      <w:start w:val="1"/>
      <w:numFmt w:val="decimal"/>
      <w:lvlText w:val="（%1）"/>
      <w:lvlJc w:val="left"/>
      <w:pPr>
        <w:ind w:left="2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601"/>
      </w:pPr>
      <w:rPr>
        <w:rFonts w:hint="default"/>
        <w:lang w:val="en-US" w:eastAsia="zh-CN" w:bidi="ar-SA"/>
      </w:rPr>
    </w:lvl>
  </w:abstractNum>
  <w:abstractNum w:abstractNumId="60">
    <w:nsid w:val="69C9CA39"/>
    <w:multiLevelType w:val="hybridMultilevel"/>
    <w:tmpl w:val="00000000"/>
    <w:lvl w:ilvl="0">
      <w:start w:val="1"/>
      <w:numFmt w:val="decimal"/>
      <w:lvlText w:val="（%1）"/>
      <w:lvlJc w:val="left"/>
      <w:pPr>
        <w:ind w:left="2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601"/>
      </w:pPr>
      <w:rPr>
        <w:rFonts w:hint="default"/>
        <w:lang w:val="en-US" w:eastAsia="zh-CN" w:bidi="ar-SA"/>
      </w:rPr>
    </w:lvl>
  </w:abstractNum>
  <w:abstractNum w:abstractNumId="61">
    <w:nsid w:val="69F33FE1"/>
    <w:multiLevelType w:val="hybridMultilevel"/>
    <w:tmpl w:val="00000000"/>
    <w:lvl w:ilvl="0">
      <w:start w:val="1"/>
      <w:numFmt w:val="decimal"/>
      <w:lvlText w:val="%1）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62">
    <w:nsid w:val="7A61014F"/>
    <w:multiLevelType w:val="hybridMultilevel"/>
    <w:tmpl w:val="00000000"/>
    <w:lvl w:ilvl="0">
      <w:start w:val="1"/>
      <w:numFmt w:val="decimal"/>
      <w:lvlText w:val="（%1）"/>
      <w:lvlJc w:val="left"/>
      <w:pPr>
        <w:ind w:left="1302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25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32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65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7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30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95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28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60" w:hanging="601"/>
      </w:pPr>
      <w:rPr>
        <w:rFonts w:hint="default"/>
        <w:lang w:val="en-US" w:eastAsia="zh-CN" w:bidi="ar-SA"/>
      </w:rPr>
    </w:lvl>
  </w:abstractNum>
  <w:abstractNum w:abstractNumId="63">
    <w:nsid w:val="7C413736"/>
    <w:multiLevelType w:val="hybridMultilevel"/>
    <w:tmpl w:val="00000000"/>
    <w:lvl w:ilvl="0">
      <w:start w:val="1"/>
      <w:numFmt w:val="decimal"/>
      <w:lvlText w:val="%1."/>
      <w:lvlJc w:val="left"/>
      <w:pPr>
        <w:ind w:left="1062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1"/>
      </w:pPr>
      <w:rPr>
        <w:rFonts w:hint="default"/>
        <w:lang w:val="en-US" w:eastAsia="zh-CN" w:bidi="ar-SA"/>
      </w:rPr>
    </w:lvl>
  </w:abstractNum>
  <w:abstractNum w:abstractNumId="64">
    <w:nsid w:val="7CE2D6F3"/>
    <w:multiLevelType w:val="hybridMultilevel"/>
    <w:tmpl w:val="00000000"/>
    <w:lvl w:ilvl="0">
      <w:start w:val="1"/>
      <w:numFmt w:val="decimal"/>
      <w:lvlText w:val="%1."/>
      <w:lvlJc w:val="left"/>
      <w:pPr>
        <w:ind w:left="1061" w:hanging="36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16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73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9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9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5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2" w:hanging="360"/>
      </w:pPr>
      <w:rPr>
        <w:rFonts w:hint="default"/>
        <w:lang w:val="en-US" w:eastAsia="zh-CN" w:bidi="ar-SA"/>
      </w:rPr>
    </w:lvl>
  </w:abstractNum>
  <w:abstractNum w:abstractNumId="65">
    <w:nsid w:val="7D04CAF2"/>
    <w:multiLevelType w:val="hybridMultilevel"/>
    <w:tmpl w:val="00000000"/>
    <w:lvl w:ilvl="0">
      <w:start w:val="1"/>
      <w:numFmt w:val="decimal"/>
      <w:lvlText w:val="%1."/>
      <w:lvlJc w:val="left"/>
      <w:pPr>
        <w:ind w:left="942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08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77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4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14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8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5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20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88" w:hanging="241"/>
      </w:pPr>
      <w:rPr>
        <w:rFonts w:hint="default"/>
        <w:lang w:val="en-US" w:eastAsia="zh-CN" w:bidi="ar-SA"/>
      </w:rPr>
    </w:lvl>
  </w:abstractNum>
  <w:abstractNum w:abstractNumId="66">
    <w:nsid w:val="7DECE34A"/>
    <w:multiLevelType w:val="hybridMultilevel"/>
    <w:tmpl w:val="00000000"/>
    <w:lvl w:ilvl="0">
      <w:start w:val="1"/>
      <w:numFmt w:val="decimal"/>
      <w:lvlText w:val="%1."/>
      <w:lvlJc w:val="left"/>
      <w:pPr>
        <w:ind w:left="221" w:hanging="30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3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3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3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3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3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3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3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300"/>
      </w:pPr>
      <w:rPr>
        <w:rFonts w:hint="default"/>
        <w:lang w:val="en-US" w:eastAsia="zh-CN" w:bidi="ar-SA"/>
      </w:rPr>
    </w:lvl>
  </w:abstractNum>
  <w:abstractNum w:abstractNumId="67">
    <w:nsid w:val="7DFFF18F"/>
    <w:multiLevelType w:val="hybridMultilevel"/>
    <w:tmpl w:val="00000000"/>
    <w:lvl w:ilvl="0">
      <w:start w:val="1"/>
      <w:numFmt w:val="decimal"/>
      <w:lvlText w:val="（%1）"/>
      <w:lvlJc w:val="left"/>
      <w:pPr>
        <w:ind w:left="2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0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1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1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2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63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0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744" w:hanging="601"/>
      </w:pPr>
      <w:rPr>
        <w:rFonts w:hint="default"/>
        <w:lang w:val="en-US" w:eastAsia="zh-CN" w:bidi="ar-SA"/>
      </w:rPr>
    </w:lvl>
  </w:abstractNum>
  <w:num w:numId="1">
    <w:abstractNumId w:val="49"/>
  </w:num>
  <w:num w:numId="2">
    <w:abstractNumId w:val="27"/>
  </w:num>
  <w:num w:numId="3">
    <w:abstractNumId w:val="34"/>
  </w:num>
  <w:num w:numId="4">
    <w:abstractNumId w:val="42"/>
  </w:num>
  <w:num w:numId="5">
    <w:abstractNumId w:val="63"/>
  </w:num>
  <w:num w:numId="6">
    <w:abstractNumId w:val="4"/>
  </w:num>
  <w:num w:numId="7">
    <w:abstractNumId w:val="56"/>
  </w:num>
  <w:num w:numId="8">
    <w:abstractNumId w:val="40"/>
  </w:num>
  <w:num w:numId="9">
    <w:abstractNumId w:val="38"/>
  </w:num>
  <w:num w:numId="10">
    <w:abstractNumId w:val="16"/>
  </w:num>
  <w:num w:numId="11">
    <w:abstractNumId w:val="12"/>
  </w:num>
  <w:num w:numId="12">
    <w:abstractNumId w:val="2"/>
  </w:num>
  <w:num w:numId="13">
    <w:abstractNumId w:val="8"/>
  </w:num>
  <w:num w:numId="14">
    <w:abstractNumId w:val="31"/>
  </w:num>
  <w:num w:numId="15">
    <w:abstractNumId w:val="30"/>
  </w:num>
  <w:num w:numId="16">
    <w:abstractNumId w:val="24"/>
  </w:num>
  <w:num w:numId="17">
    <w:abstractNumId w:val="54"/>
  </w:num>
  <w:num w:numId="18">
    <w:abstractNumId w:val="19"/>
  </w:num>
  <w:num w:numId="19">
    <w:abstractNumId w:val="52"/>
  </w:num>
  <w:num w:numId="20">
    <w:abstractNumId w:val="55"/>
  </w:num>
  <w:num w:numId="21">
    <w:abstractNumId w:val="28"/>
  </w:num>
  <w:num w:numId="22">
    <w:abstractNumId w:val="46"/>
  </w:num>
  <w:num w:numId="23">
    <w:abstractNumId w:val="15"/>
  </w:num>
  <w:num w:numId="24">
    <w:abstractNumId w:val="61"/>
  </w:num>
  <w:num w:numId="25">
    <w:abstractNumId w:val="44"/>
  </w:num>
  <w:num w:numId="26">
    <w:abstractNumId w:val="41"/>
  </w:num>
  <w:num w:numId="27">
    <w:abstractNumId w:val="7"/>
  </w:num>
  <w:num w:numId="28">
    <w:abstractNumId w:val="21"/>
  </w:num>
  <w:num w:numId="29">
    <w:abstractNumId w:val="5"/>
  </w:num>
  <w:num w:numId="30">
    <w:abstractNumId w:val="57"/>
  </w:num>
  <w:num w:numId="31">
    <w:abstractNumId w:val="9"/>
  </w:num>
  <w:num w:numId="32">
    <w:abstractNumId w:val="6"/>
  </w:num>
  <w:num w:numId="33">
    <w:abstractNumId w:val="23"/>
  </w:num>
  <w:num w:numId="34">
    <w:abstractNumId w:val="17"/>
  </w:num>
  <w:num w:numId="35">
    <w:abstractNumId w:val="33"/>
  </w:num>
  <w:num w:numId="36">
    <w:abstractNumId w:val="66"/>
  </w:num>
  <w:num w:numId="37">
    <w:abstractNumId w:val="10"/>
  </w:num>
  <w:num w:numId="38">
    <w:abstractNumId w:val="43"/>
  </w:num>
  <w:num w:numId="39">
    <w:abstractNumId w:val="39"/>
  </w:num>
  <w:num w:numId="40">
    <w:abstractNumId w:val="3"/>
  </w:num>
  <w:num w:numId="41">
    <w:abstractNumId w:val="14"/>
  </w:num>
  <w:num w:numId="42">
    <w:abstractNumId w:val="22"/>
  </w:num>
  <w:num w:numId="43">
    <w:abstractNumId w:val="20"/>
  </w:num>
  <w:num w:numId="44">
    <w:abstractNumId w:val="53"/>
  </w:num>
  <w:num w:numId="45">
    <w:abstractNumId w:val="36"/>
  </w:num>
  <w:num w:numId="46">
    <w:abstractNumId w:val="45"/>
  </w:num>
  <w:num w:numId="47">
    <w:abstractNumId w:val="50"/>
  </w:num>
  <w:num w:numId="48">
    <w:abstractNumId w:val="29"/>
  </w:num>
  <w:num w:numId="49">
    <w:abstractNumId w:val="59"/>
  </w:num>
  <w:num w:numId="50">
    <w:abstractNumId w:val="13"/>
  </w:num>
  <w:num w:numId="51">
    <w:abstractNumId w:val="48"/>
  </w:num>
  <w:num w:numId="52">
    <w:abstractNumId w:val="18"/>
  </w:num>
  <w:num w:numId="53">
    <w:abstractNumId w:val="64"/>
  </w:num>
  <w:num w:numId="54">
    <w:abstractNumId w:val="51"/>
  </w:num>
  <w:num w:numId="55">
    <w:abstractNumId w:val="0"/>
  </w:num>
  <w:num w:numId="56">
    <w:abstractNumId w:val="67"/>
  </w:num>
  <w:num w:numId="57">
    <w:abstractNumId w:val="60"/>
  </w:num>
  <w:num w:numId="58">
    <w:abstractNumId w:val="62"/>
  </w:num>
  <w:num w:numId="59">
    <w:abstractNumId w:val="1"/>
  </w:num>
  <w:num w:numId="60">
    <w:abstractNumId w:val="58"/>
  </w:num>
  <w:num w:numId="61">
    <w:abstractNumId w:val="25"/>
  </w:num>
  <w:num w:numId="62">
    <w:abstractNumId w:val="32"/>
  </w:num>
  <w:num w:numId="63">
    <w:abstractNumId w:val="11"/>
  </w:num>
  <w:num w:numId="64">
    <w:abstractNumId w:val="37"/>
  </w:num>
  <w:num w:numId="65">
    <w:abstractNumId w:val="47"/>
  </w:num>
  <w:num w:numId="66">
    <w:abstractNumId w:val="65"/>
  </w:num>
  <w:num w:numId="67">
    <w:abstractNumId w:val="35"/>
  </w:num>
  <w:num w:numId="6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right="112"/>
      <w:jc w:val="center"/>
      <w:outlineLvl w:val="0"/>
    </w:pPr>
    <w:rPr>
      <w:rFonts w:ascii="Microsoft JhengHei" w:eastAsia="Microsoft JhengHei" w:hAnsi="Microsoft JhengHei" w:cs="Microsoft JhengHei"/>
      <w:b/>
      <w:bCs/>
      <w:sz w:val="30"/>
      <w:szCs w:val="30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221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32"/>
      <w:ind w:left="701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26"/>
      <w:ind w:right="113"/>
      <w:jc w:val="center"/>
    </w:pPr>
    <w:rPr>
      <w:rFonts w:ascii="Microsoft JhengHei" w:eastAsia="Microsoft JhengHei" w:hAnsi="Microsoft JhengHei" w:cs="Microsoft JhengHei"/>
      <w:b/>
      <w:bCs/>
      <w:sz w:val="52"/>
      <w:szCs w:val="5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32"/>
      <w:ind w:left="1062" w:hanging="36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30" w:line="250" w:lineRule="exact"/>
      <w:ind w:left="108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hyperlink" Target="https://d.book118.com/308104107130006042" TargetMode="External" /><Relationship Id="rId17" Type="http://schemas.openxmlformats.org/officeDocument/2006/relationships/footer" Target="footer13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2024-03-04T13:29:31Z</dcterms:created>
  <dcterms:modified xsi:type="dcterms:W3CDTF">2024-03-04T13:29:31Z</dcterms:modified>
</cp:coreProperties>
</file>