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抗阿特拉津等除草剂转基因大豆新品种项目计划设计方案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3" w:history="1">
        <w:r>
          <w:rPr>
            <w:rFonts w:ascii="仿宋" w:eastAsia="仿宋" w:hAnsi="仿宋" w:cs="仿宋" w:hint="eastAsia"/>
            <w:lang w:eastAsia="zh-CN"/>
          </w:rPr>
          <w:t>前言</w:t>
        </w:r>
        <w:r>
          <w:tab/>
        </w:r>
        <w:r>
          <w:fldChar w:fldCharType="begin"/>
        </w:r>
        <w:r>
          <w:instrText xml:space="preserve"> PAGEREF _Toc18483 \h </w:instrText>
        </w:r>
        <w:r>
          <w:fldChar w:fldCharType="separate"/>
        </w:r>
        <w:r>
          <w:t>3</w:t>
        </w:r>
        <w:r>
          <w:fldChar w:fldCharType="end"/>
        </w:r>
      </w:hyperlink>
    </w:p>
    <w:p>
      <w:pPr>
        <w:pStyle w:val="TOC1"/>
        <w:tabs>
          <w:tab w:val="right" w:leader="dot" w:pos="8306"/>
        </w:tabs>
      </w:pPr>
      <w:hyperlink w:anchor="_Toc6002" w:history="1">
        <w:r>
          <w:rPr>
            <w:rFonts w:ascii="仿宋" w:eastAsia="仿宋" w:hAnsi="仿宋" w:cs="仿宋" w:hint="eastAsia"/>
            <w:lang w:eastAsia="zh-CN"/>
          </w:rPr>
          <w:t>一、抗阿特拉津等除草剂转基因大豆新品种项目概论</w:t>
        </w:r>
        <w:r>
          <w:tab/>
        </w:r>
        <w:r>
          <w:fldChar w:fldCharType="begin"/>
        </w:r>
        <w:r>
          <w:instrText xml:space="preserve"> PAGEREF _Toc6002 \h </w:instrText>
        </w:r>
        <w:r>
          <w:fldChar w:fldCharType="separate"/>
        </w:r>
        <w:r>
          <w:t>3</w:t>
        </w:r>
        <w:r>
          <w:fldChar w:fldCharType="end"/>
        </w:r>
      </w:hyperlink>
    </w:p>
    <w:p>
      <w:pPr>
        <w:pStyle w:val="TOC2"/>
        <w:tabs>
          <w:tab w:val="right" w:leader="dot" w:pos="8306"/>
        </w:tabs>
      </w:pPr>
      <w:hyperlink w:anchor="_Toc14340" w:history="1">
        <w:r>
          <w:rPr>
            <w:rFonts w:ascii="仿宋" w:eastAsia="仿宋" w:hAnsi="仿宋" w:cs="仿宋" w:hint="eastAsia"/>
            <w:lang w:eastAsia="zh-CN"/>
          </w:rPr>
          <w:t>(一)、抗阿特拉津等除草剂转基因大豆新品种项目概况</w:t>
        </w:r>
        <w:r>
          <w:tab/>
        </w:r>
        <w:r>
          <w:fldChar w:fldCharType="begin"/>
        </w:r>
        <w:r>
          <w:instrText xml:space="preserve"> PAGEREF _Toc14340 \h </w:instrText>
        </w:r>
        <w:r>
          <w:fldChar w:fldCharType="separate"/>
        </w:r>
        <w:r>
          <w:t>3</w:t>
        </w:r>
        <w:r>
          <w:fldChar w:fldCharType="end"/>
        </w:r>
      </w:hyperlink>
    </w:p>
    <w:p>
      <w:pPr>
        <w:pStyle w:val="TOC2"/>
        <w:tabs>
          <w:tab w:val="right" w:leader="dot" w:pos="8306"/>
        </w:tabs>
      </w:pPr>
      <w:hyperlink w:anchor="_Toc6092" w:history="1">
        <w:r>
          <w:rPr>
            <w:rFonts w:ascii="仿宋" w:eastAsia="仿宋" w:hAnsi="仿宋" w:cs="仿宋" w:hint="eastAsia"/>
            <w:lang w:eastAsia="zh-CN"/>
          </w:rPr>
          <w:t>(二)、抗阿特拉津等除草剂转基因大豆新品种项目目标</w:t>
        </w:r>
        <w:r>
          <w:tab/>
        </w:r>
        <w:r>
          <w:fldChar w:fldCharType="begin"/>
        </w:r>
        <w:r>
          <w:instrText xml:space="preserve"> PAGEREF _Toc6092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(三)、抗阿特拉津等除草剂转基因大豆新品种项目提出的理由</w:t>
        </w:r>
        <w:r>
          <w:tab/>
        </w:r>
        <w:r>
          <w:fldChar w:fldCharType="begin"/>
        </w:r>
        <w:r>
          <w:instrText xml:space="preserve"> PAGEREF _Toc11945 \h </w:instrText>
        </w:r>
        <w:r>
          <w:fldChar w:fldCharType="separate"/>
        </w:r>
        <w:r>
          <w:t>7</w:t>
        </w:r>
        <w:r>
          <w:fldChar w:fldCharType="end"/>
        </w:r>
      </w:hyperlink>
    </w:p>
    <w:p>
      <w:pPr>
        <w:pStyle w:val="TOC2"/>
        <w:tabs>
          <w:tab w:val="right" w:leader="dot" w:pos="8306"/>
        </w:tabs>
      </w:pPr>
      <w:hyperlink w:anchor="_Toc5990" w:history="1">
        <w:r>
          <w:rPr>
            <w:rFonts w:ascii="仿宋" w:eastAsia="仿宋" w:hAnsi="仿宋" w:cs="仿宋" w:hint="eastAsia"/>
            <w:lang w:eastAsia="zh-CN"/>
          </w:rPr>
          <w:t>(四)、抗阿特拉津等除草剂转基因大豆新品种项目意义</w:t>
        </w:r>
        <w:r>
          <w:tab/>
        </w:r>
        <w:r>
          <w:fldChar w:fldCharType="begin"/>
        </w:r>
        <w:r>
          <w:instrText xml:space="preserve"> PAGEREF _Toc5990 \h </w:instrText>
        </w:r>
        <w:r>
          <w:fldChar w:fldCharType="separate"/>
        </w:r>
        <w:r>
          <w:t>9</w:t>
        </w:r>
        <w:r>
          <w:fldChar w:fldCharType="end"/>
        </w:r>
      </w:hyperlink>
    </w:p>
    <w:p>
      <w:pPr>
        <w:pStyle w:val="TOC2"/>
        <w:tabs>
          <w:tab w:val="right" w:leader="dot" w:pos="8306"/>
        </w:tabs>
      </w:pPr>
      <w:hyperlink w:anchor="_Toc9565" w:history="1">
        <w:r>
          <w:rPr>
            <w:rFonts w:ascii="仿宋" w:eastAsia="仿宋" w:hAnsi="仿宋" w:cs="仿宋" w:hint="eastAsia"/>
            <w:lang w:eastAsia="zh-CN"/>
          </w:rPr>
          <w:t>(五)、抗阿特拉津等除草剂转基因大豆新品种项目背景</w:t>
        </w:r>
        <w:r>
          <w:tab/>
        </w:r>
        <w:r>
          <w:fldChar w:fldCharType="begin"/>
        </w:r>
        <w:r>
          <w:instrText xml:space="preserve"> PAGEREF _Toc9565 \h </w:instrText>
        </w:r>
        <w:r>
          <w:fldChar w:fldCharType="separate"/>
        </w:r>
        <w:r>
          <w:t>10</w:t>
        </w:r>
        <w:r>
          <w:fldChar w:fldCharType="end"/>
        </w:r>
      </w:hyperlink>
    </w:p>
    <w:p>
      <w:pPr>
        <w:pStyle w:val="TOC1"/>
        <w:tabs>
          <w:tab w:val="right" w:leader="dot" w:pos="8306"/>
        </w:tabs>
      </w:pPr>
      <w:hyperlink w:anchor="_Toc29280" w:history="1">
        <w:r>
          <w:rPr>
            <w:rFonts w:ascii="仿宋" w:eastAsia="仿宋" w:hAnsi="仿宋" w:cs="仿宋" w:hint="eastAsia"/>
            <w:lang w:eastAsia="zh-CN"/>
          </w:rPr>
          <w:t>二、抗阿特拉津等除草剂转基因大豆新品种项目绩效评估</w:t>
        </w:r>
        <w:r>
          <w:tab/>
        </w:r>
        <w:r>
          <w:fldChar w:fldCharType="begin"/>
        </w:r>
        <w:r>
          <w:instrText xml:space="preserve"> PAGEREF _Toc29280 \h </w:instrText>
        </w:r>
        <w:r>
          <w:fldChar w:fldCharType="separate"/>
        </w:r>
        <w:r>
          <w:t>11</w:t>
        </w:r>
        <w:r>
          <w:fldChar w:fldCharType="end"/>
        </w:r>
      </w:hyperlink>
    </w:p>
    <w:p>
      <w:pPr>
        <w:pStyle w:val="TOC2"/>
        <w:tabs>
          <w:tab w:val="right" w:leader="dot" w:pos="8306"/>
        </w:tabs>
      </w:pPr>
      <w:hyperlink w:anchor="_Toc30799" w:history="1">
        <w:r>
          <w:rPr>
            <w:rFonts w:ascii="仿宋" w:eastAsia="仿宋" w:hAnsi="仿宋" w:cs="仿宋" w:hint="eastAsia"/>
            <w:lang w:eastAsia="zh-CN"/>
          </w:rPr>
          <w:t>(一)、绩效评估指标</w:t>
        </w:r>
        <w:r>
          <w:tab/>
        </w:r>
        <w:r>
          <w:fldChar w:fldCharType="begin"/>
        </w:r>
        <w:r>
          <w:instrText xml:space="preserve"> PAGEREF _Toc30799 \h </w:instrText>
        </w:r>
        <w:r>
          <w:fldChar w:fldCharType="separate"/>
        </w:r>
        <w:r>
          <w:t>11</w:t>
        </w:r>
        <w:r>
          <w:fldChar w:fldCharType="end"/>
        </w:r>
      </w:hyperlink>
    </w:p>
    <w:p>
      <w:pPr>
        <w:pStyle w:val="TOC2"/>
        <w:tabs>
          <w:tab w:val="right" w:leader="dot" w:pos="8306"/>
        </w:tabs>
      </w:pPr>
      <w:hyperlink w:anchor="_Toc27281" w:history="1">
        <w:r>
          <w:rPr>
            <w:rFonts w:ascii="仿宋" w:eastAsia="仿宋" w:hAnsi="仿宋" w:cs="仿宋" w:hint="eastAsia"/>
            <w:lang w:eastAsia="zh-CN"/>
          </w:rPr>
          <w:t>(二)、绩效评估方法</w:t>
        </w:r>
        <w:r>
          <w:tab/>
        </w:r>
        <w:r>
          <w:fldChar w:fldCharType="begin"/>
        </w:r>
        <w:r>
          <w:instrText xml:space="preserve"> PAGEREF _Toc27281 \h </w:instrText>
        </w:r>
        <w:r>
          <w:fldChar w:fldCharType="separate"/>
        </w:r>
        <w:r>
          <w:t>12</w:t>
        </w:r>
        <w:r>
          <w:fldChar w:fldCharType="end"/>
        </w:r>
      </w:hyperlink>
    </w:p>
    <w:p>
      <w:pPr>
        <w:pStyle w:val="TOC2"/>
        <w:tabs>
          <w:tab w:val="right" w:leader="dot" w:pos="8306"/>
        </w:tabs>
      </w:pPr>
      <w:hyperlink w:anchor="_Toc26321" w:history="1">
        <w:r>
          <w:rPr>
            <w:rFonts w:ascii="仿宋" w:eastAsia="仿宋" w:hAnsi="仿宋" w:cs="仿宋" w:hint="eastAsia"/>
            <w:lang w:eastAsia="zh-CN"/>
          </w:rPr>
          <w:t>(三)、绩效评估周期</w:t>
        </w:r>
        <w:r>
          <w:tab/>
        </w:r>
        <w:r>
          <w:fldChar w:fldCharType="begin"/>
        </w:r>
        <w:r>
          <w:instrText xml:space="preserve"> PAGEREF _Toc26321 \h </w:instrText>
        </w:r>
        <w:r>
          <w:fldChar w:fldCharType="separate"/>
        </w:r>
        <w:r>
          <w:t>14</w:t>
        </w:r>
        <w:r>
          <w:fldChar w:fldCharType="end"/>
        </w:r>
      </w:hyperlink>
    </w:p>
    <w:p>
      <w:pPr>
        <w:pStyle w:val="TOC1"/>
        <w:tabs>
          <w:tab w:val="right" w:leader="dot" w:pos="8306"/>
        </w:tabs>
      </w:pPr>
      <w:hyperlink w:anchor="_Toc7023" w:history="1">
        <w:r>
          <w:rPr>
            <w:rFonts w:ascii="仿宋" w:eastAsia="仿宋" w:hAnsi="仿宋" w:cs="仿宋" w:hint="eastAsia"/>
            <w:lang w:eastAsia="zh-CN"/>
          </w:rPr>
          <w:t>三、抗阿特拉津等除草剂转基因大豆新品种项目土建工程</w:t>
        </w:r>
        <w:r>
          <w:tab/>
        </w:r>
        <w:r>
          <w:fldChar w:fldCharType="begin"/>
        </w:r>
        <w:r>
          <w:instrText xml:space="preserve"> PAGEREF _Toc7023 \h </w:instrText>
        </w:r>
        <w:r>
          <w:fldChar w:fldCharType="separate"/>
        </w:r>
        <w:r>
          <w:t>15</w:t>
        </w:r>
        <w:r>
          <w:fldChar w:fldCharType="end"/>
        </w:r>
      </w:hyperlink>
    </w:p>
    <w:p>
      <w:pPr>
        <w:pStyle w:val="TOC2"/>
        <w:tabs>
          <w:tab w:val="right" w:leader="dot" w:pos="8306"/>
        </w:tabs>
      </w:pPr>
      <w:hyperlink w:anchor="_Toc23081" w:history="1">
        <w:r>
          <w:rPr>
            <w:rFonts w:ascii="仿宋" w:eastAsia="仿宋" w:hAnsi="仿宋" w:cs="仿宋" w:hint="eastAsia"/>
            <w:lang w:eastAsia="zh-CN"/>
          </w:rPr>
          <w:t>(一)、建筑工程设计原则</w:t>
        </w:r>
        <w:r>
          <w:tab/>
        </w:r>
        <w:r>
          <w:fldChar w:fldCharType="begin"/>
        </w:r>
        <w:r>
          <w:instrText xml:space="preserve"> PAGEREF _Toc23081 \h </w:instrText>
        </w:r>
        <w:r>
          <w:fldChar w:fldCharType="separate"/>
        </w:r>
        <w:r>
          <w:t>15</w:t>
        </w:r>
        <w:r>
          <w:fldChar w:fldCharType="end"/>
        </w:r>
      </w:hyperlink>
    </w:p>
    <w:p>
      <w:pPr>
        <w:pStyle w:val="TOC2"/>
        <w:tabs>
          <w:tab w:val="right" w:leader="dot" w:pos="8306"/>
        </w:tabs>
      </w:pPr>
      <w:hyperlink w:anchor="_Toc15917" w:history="1">
        <w:r>
          <w:rPr>
            <w:rFonts w:ascii="仿宋" w:eastAsia="仿宋" w:hAnsi="仿宋" w:cs="仿宋" w:hint="eastAsia"/>
            <w:lang w:eastAsia="zh-CN"/>
          </w:rPr>
          <w:t>(二)、土建工程设计年限及安全等级</w:t>
        </w:r>
        <w:r>
          <w:tab/>
        </w:r>
        <w:r>
          <w:fldChar w:fldCharType="begin"/>
        </w:r>
        <w:r>
          <w:instrText xml:space="preserve"> PAGEREF _Toc15917 \h </w:instrText>
        </w:r>
        <w:r>
          <w:fldChar w:fldCharType="separate"/>
        </w:r>
        <w:r>
          <w:t>16</w:t>
        </w:r>
        <w:r>
          <w:fldChar w:fldCharType="end"/>
        </w:r>
      </w:hyperlink>
    </w:p>
    <w:p>
      <w:pPr>
        <w:pStyle w:val="TOC2"/>
        <w:tabs>
          <w:tab w:val="right" w:leader="dot" w:pos="8306"/>
        </w:tabs>
      </w:pPr>
      <w:hyperlink w:anchor="_Toc20411" w:history="1">
        <w:r>
          <w:rPr>
            <w:rFonts w:ascii="仿宋" w:eastAsia="仿宋" w:hAnsi="仿宋" w:cs="仿宋" w:hint="eastAsia"/>
            <w:lang w:eastAsia="zh-CN"/>
          </w:rPr>
          <w:t>(三)、建筑工程设计总体要求</w:t>
        </w:r>
        <w:r>
          <w:tab/>
        </w:r>
        <w:r>
          <w:fldChar w:fldCharType="begin"/>
        </w:r>
        <w:r>
          <w:instrText xml:space="preserve"> PAGEREF _Toc20411 \h </w:instrText>
        </w:r>
        <w:r>
          <w:fldChar w:fldCharType="separate"/>
        </w:r>
        <w:r>
          <w:t>17</w:t>
        </w:r>
        <w:r>
          <w:fldChar w:fldCharType="end"/>
        </w:r>
      </w:hyperlink>
    </w:p>
    <w:p>
      <w:pPr>
        <w:pStyle w:val="TOC2"/>
        <w:tabs>
          <w:tab w:val="right" w:leader="dot" w:pos="8306"/>
        </w:tabs>
      </w:pPr>
      <w:hyperlink w:anchor="_Toc18352" w:history="1">
        <w:r>
          <w:rPr>
            <w:rFonts w:ascii="仿宋" w:eastAsia="仿宋" w:hAnsi="仿宋" w:cs="仿宋" w:hint="eastAsia"/>
            <w:lang w:eastAsia="zh-CN"/>
          </w:rPr>
          <w:t>(四)、土建工程建设指标</w:t>
        </w:r>
        <w:r>
          <w:tab/>
        </w:r>
        <w:r>
          <w:fldChar w:fldCharType="begin"/>
        </w:r>
        <w:r>
          <w:instrText xml:space="preserve"> PAGEREF _Toc18352 \h </w:instrText>
        </w:r>
        <w:r>
          <w:fldChar w:fldCharType="separate"/>
        </w:r>
        <w:r>
          <w:t>18</w:t>
        </w:r>
        <w:r>
          <w:fldChar w:fldCharType="end"/>
        </w:r>
      </w:hyperlink>
    </w:p>
    <w:p>
      <w:pPr>
        <w:pStyle w:val="TOC1"/>
        <w:tabs>
          <w:tab w:val="right" w:leader="dot" w:pos="8306"/>
        </w:tabs>
      </w:pPr>
      <w:hyperlink w:anchor="_Toc27041" w:history="1">
        <w:r>
          <w:rPr>
            <w:rFonts w:ascii="仿宋" w:eastAsia="仿宋" w:hAnsi="仿宋" w:cs="仿宋" w:hint="eastAsia"/>
            <w:lang w:eastAsia="zh-CN"/>
          </w:rPr>
          <w:t>四、产品规划分析</w:t>
        </w:r>
        <w:r>
          <w:tab/>
        </w:r>
        <w:r>
          <w:fldChar w:fldCharType="begin"/>
        </w:r>
        <w:r>
          <w:instrText xml:space="preserve"> PAGEREF _Toc27041 \h </w:instrText>
        </w:r>
        <w:r>
          <w:fldChar w:fldCharType="separate"/>
        </w:r>
        <w:r>
          <w:t>18</w:t>
        </w:r>
        <w:r>
          <w:fldChar w:fldCharType="end"/>
        </w:r>
      </w:hyperlink>
    </w:p>
    <w:p>
      <w:pPr>
        <w:pStyle w:val="TOC2"/>
        <w:tabs>
          <w:tab w:val="right" w:leader="dot" w:pos="8306"/>
        </w:tabs>
      </w:pPr>
      <w:hyperlink w:anchor="_Toc30544" w:history="1">
        <w:r>
          <w:rPr>
            <w:rFonts w:ascii="仿宋" w:eastAsia="仿宋" w:hAnsi="仿宋" w:cs="仿宋" w:hint="eastAsia"/>
            <w:lang w:eastAsia="zh-CN"/>
          </w:rPr>
          <w:t>(一)、产品规划</w:t>
        </w:r>
        <w:r>
          <w:tab/>
        </w:r>
        <w:r>
          <w:fldChar w:fldCharType="begin"/>
        </w:r>
        <w:r>
          <w:instrText xml:space="preserve"> PAGEREF _Toc30544 \h </w:instrText>
        </w:r>
        <w:r>
          <w:fldChar w:fldCharType="separate"/>
        </w:r>
        <w:r>
          <w:t>18</w:t>
        </w:r>
        <w:r>
          <w:fldChar w:fldCharType="end"/>
        </w:r>
      </w:hyperlink>
    </w:p>
    <w:p>
      <w:pPr>
        <w:pStyle w:val="TOC2"/>
        <w:tabs>
          <w:tab w:val="right" w:leader="dot" w:pos="8306"/>
        </w:tabs>
      </w:pPr>
      <w:hyperlink w:anchor="_Toc239" w:history="1">
        <w:r>
          <w:rPr>
            <w:rFonts w:ascii="仿宋" w:eastAsia="仿宋" w:hAnsi="仿宋" w:cs="仿宋" w:hint="eastAsia"/>
            <w:lang w:eastAsia="zh-CN"/>
          </w:rPr>
          <w:t>(二)、建设规模</w:t>
        </w:r>
        <w:r>
          <w:tab/>
        </w:r>
        <w:r>
          <w:fldChar w:fldCharType="begin"/>
        </w:r>
        <w:r>
          <w:instrText xml:space="preserve"> PAGEREF _Toc239 \h </w:instrText>
        </w:r>
        <w:r>
          <w:fldChar w:fldCharType="separate"/>
        </w:r>
        <w:r>
          <w:t>19</w:t>
        </w:r>
        <w:r>
          <w:fldChar w:fldCharType="end"/>
        </w:r>
      </w:hyperlink>
    </w:p>
    <w:p>
      <w:pPr>
        <w:pStyle w:val="TOC1"/>
        <w:tabs>
          <w:tab w:val="right" w:leader="dot" w:pos="8306"/>
        </w:tabs>
      </w:pPr>
      <w:hyperlink w:anchor="_Toc25727" w:history="1">
        <w:r>
          <w:rPr>
            <w:rFonts w:ascii="仿宋" w:eastAsia="仿宋" w:hAnsi="仿宋" w:cs="仿宋" w:hint="eastAsia"/>
            <w:lang w:eastAsia="zh-CN"/>
          </w:rPr>
          <w:t>五、抗阿特拉津等除草剂转基因大豆新品种项目危机管理</w:t>
        </w:r>
        <w:r>
          <w:tab/>
        </w:r>
        <w:r>
          <w:fldChar w:fldCharType="begin"/>
        </w:r>
        <w:r>
          <w:instrText xml:space="preserve"> PAGEREF _Toc25727 \h </w:instrText>
        </w:r>
        <w:r>
          <w:fldChar w:fldCharType="separate"/>
        </w:r>
        <w:r>
          <w:t>21</w:t>
        </w:r>
        <w:r>
          <w:fldChar w:fldCharType="end"/>
        </w:r>
      </w:hyperlink>
    </w:p>
    <w:p>
      <w:pPr>
        <w:pStyle w:val="TOC2"/>
        <w:tabs>
          <w:tab w:val="right" w:leader="dot" w:pos="8306"/>
        </w:tabs>
      </w:pPr>
      <w:hyperlink w:anchor="_Toc12087" w:history="1">
        <w:r>
          <w:rPr>
            <w:rFonts w:ascii="仿宋" w:eastAsia="仿宋" w:hAnsi="仿宋" w:cs="仿宋" w:hint="eastAsia"/>
            <w:lang w:eastAsia="zh-CN"/>
          </w:rPr>
          <w:t>(一)、危机预警与识别</w:t>
        </w:r>
        <w:r>
          <w:tab/>
        </w:r>
        <w:r>
          <w:fldChar w:fldCharType="begin"/>
        </w:r>
        <w:r>
          <w:instrText xml:space="preserve"> PAGEREF _Toc12087 \h </w:instrText>
        </w:r>
        <w:r>
          <w:fldChar w:fldCharType="separate"/>
        </w:r>
        <w:r>
          <w:t>21</w:t>
        </w:r>
        <w:r>
          <w:fldChar w:fldCharType="end"/>
        </w:r>
      </w:hyperlink>
    </w:p>
    <w:p>
      <w:pPr>
        <w:pStyle w:val="TOC2"/>
        <w:tabs>
          <w:tab w:val="right" w:leader="dot" w:pos="8306"/>
        </w:tabs>
      </w:pPr>
      <w:hyperlink w:anchor="_Toc19147" w:history="1">
        <w:r>
          <w:rPr>
            <w:rFonts w:ascii="仿宋" w:eastAsia="仿宋" w:hAnsi="仿宋" w:cs="仿宋" w:hint="eastAsia"/>
            <w:lang w:eastAsia="zh-CN"/>
          </w:rPr>
          <w:t>(二)、危机应对与恢复</w:t>
        </w:r>
        <w:r>
          <w:tab/>
        </w:r>
        <w:r>
          <w:fldChar w:fldCharType="begin"/>
        </w:r>
        <w:r>
          <w:instrText xml:space="preserve"> PAGEREF _Toc19147 \h </w:instrText>
        </w:r>
        <w:r>
          <w:fldChar w:fldCharType="separate"/>
        </w:r>
        <w:r>
          <w:t>22</w:t>
        </w:r>
        <w:r>
          <w:fldChar w:fldCharType="end"/>
        </w:r>
      </w:hyperlink>
    </w:p>
    <w:p>
      <w:pPr>
        <w:pStyle w:val="TOC1"/>
        <w:tabs>
          <w:tab w:val="right" w:leader="dot" w:pos="8306"/>
        </w:tabs>
      </w:pPr>
      <w:hyperlink w:anchor="_Toc12550" w:history="1">
        <w:r>
          <w:rPr>
            <w:rFonts w:ascii="仿宋" w:eastAsia="仿宋" w:hAnsi="仿宋" w:cs="仿宋" w:hint="eastAsia"/>
            <w:lang w:eastAsia="zh-CN"/>
          </w:rPr>
          <w:t>六、工艺说明</w:t>
        </w:r>
        <w:r>
          <w:tab/>
        </w:r>
        <w:r>
          <w:fldChar w:fldCharType="begin"/>
        </w:r>
        <w:r>
          <w:instrText xml:space="preserve"> PAGEREF _Toc12550 \h </w:instrText>
        </w:r>
        <w:r>
          <w:fldChar w:fldCharType="separate"/>
        </w:r>
        <w:r>
          <w:t>24</w:t>
        </w:r>
        <w:r>
          <w:fldChar w:fldCharType="end"/>
        </w:r>
      </w:hyperlink>
    </w:p>
    <w:p>
      <w:pPr>
        <w:pStyle w:val="TOC2"/>
        <w:tabs>
          <w:tab w:val="right" w:leader="dot" w:pos="8306"/>
        </w:tabs>
      </w:pPr>
      <w:hyperlink w:anchor="_Toc3804" w:history="1">
        <w:r>
          <w:rPr>
            <w:rFonts w:ascii="仿宋" w:eastAsia="仿宋" w:hAnsi="仿宋" w:cs="仿宋" w:hint="eastAsia"/>
            <w:lang w:eastAsia="zh-CN"/>
          </w:rPr>
          <w:t>(一)、技术管理特点</w:t>
        </w:r>
        <w:r>
          <w:tab/>
        </w:r>
        <w:r>
          <w:fldChar w:fldCharType="begin"/>
        </w:r>
        <w:r>
          <w:instrText xml:space="preserve"> PAGEREF _Toc3804 \h </w:instrText>
        </w:r>
        <w:r>
          <w:fldChar w:fldCharType="separate"/>
        </w:r>
        <w:r>
          <w:t>24</w:t>
        </w:r>
        <w:r>
          <w:fldChar w:fldCharType="end"/>
        </w:r>
      </w:hyperlink>
    </w:p>
    <w:p>
      <w:pPr>
        <w:pStyle w:val="TOC2"/>
        <w:tabs>
          <w:tab w:val="right" w:leader="dot" w:pos="8306"/>
        </w:tabs>
      </w:pPr>
      <w:hyperlink w:anchor="_Toc20852" w:history="1">
        <w:r>
          <w:rPr>
            <w:rFonts w:ascii="仿宋" w:eastAsia="仿宋" w:hAnsi="仿宋" w:cs="仿宋" w:hint="eastAsia"/>
            <w:lang w:eastAsia="zh-CN"/>
          </w:rPr>
          <w:t>(二)、抗阿特拉津等除草剂转基因大豆新品种项目工艺技术设计方案</w:t>
        </w:r>
        <w:r>
          <w:tab/>
        </w:r>
        <w:r>
          <w:fldChar w:fldCharType="begin"/>
        </w:r>
        <w:r>
          <w:instrText xml:space="preserve"> PAGEREF _Toc20852 \h </w:instrText>
        </w:r>
        <w:r>
          <w:fldChar w:fldCharType="separate"/>
        </w:r>
        <w:r>
          <w:t>25</w:t>
        </w:r>
        <w:r>
          <w:fldChar w:fldCharType="end"/>
        </w:r>
      </w:hyperlink>
    </w:p>
    <w:p>
      <w:pPr>
        <w:pStyle w:val="TOC2"/>
        <w:tabs>
          <w:tab w:val="right" w:leader="dot" w:pos="8306"/>
        </w:tabs>
      </w:pPr>
      <w:hyperlink w:anchor="_Toc3154" w:history="1">
        <w:r>
          <w:rPr>
            <w:rFonts w:ascii="仿宋" w:eastAsia="仿宋" w:hAnsi="仿宋" w:cs="仿宋" w:hint="eastAsia"/>
            <w:lang w:eastAsia="zh-CN"/>
          </w:rPr>
          <w:t>(三)、设备选型方案</w:t>
        </w:r>
        <w:r>
          <w:tab/>
        </w:r>
        <w:r>
          <w:fldChar w:fldCharType="begin"/>
        </w:r>
        <w:r>
          <w:instrText xml:space="preserve"> PAGEREF _Toc3154 \h </w:instrText>
        </w:r>
        <w:r>
          <w:fldChar w:fldCharType="separate"/>
        </w:r>
        <w:r>
          <w:t>27</w:t>
        </w:r>
        <w:r>
          <w:fldChar w:fldCharType="end"/>
        </w:r>
      </w:hyperlink>
    </w:p>
    <w:p>
      <w:pPr>
        <w:pStyle w:val="TOC1"/>
        <w:tabs>
          <w:tab w:val="right" w:leader="dot" w:pos="8306"/>
        </w:tabs>
      </w:pPr>
      <w:hyperlink w:anchor="_Toc20215" w:history="1">
        <w:r>
          <w:rPr>
            <w:rFonts w:ascii="仿宋" w:eastAsia="仿宋" w:hAnsi="仿宋" w:cs="仿宋" w:hint="eastAsia"/>
            <w:lang w:eastAsia="zh-CN"/>
          </w:rPr>
          <w:t>七、抗阿特拉津等除草剂转基因大豆新品种项目经营效益</w:t>
        </w:r>
        <w:r>
          <w:tab/>
        </w:r>
        <w:r>
          <w:fldChar w:fldCharType="begin"/>
        </w:r>
        <w:r>
          <w:instrText xml:space="preserve"> PAGEREF _Toc20215 \h </w:instrText>
        </w:r>
        <w:r>
          <w:fldChar w:fldCharType="separate"/>
        </w:r>
        <w:r>
          <w:t>28</w:t>
        </w:r>
        <w:r>
          <w:fldChar w:fldCharType="end"/>
        </w:r>
      </w:hyperlink>
    </w:p>
    <w:p>
      <w:pPr>
        <w:pStyle w:val="TOC2"/>
        <w:tabs>
          <w:tab w:val="right" w:leader="dot" w:pos="8306"/>
        </w:tabs>
      </w:pPr>
      <w:hyperlink w:anchor="_Toc31671" w:history="1">
        <w:r>
          <w:rPr>
            <w:rFonts w:ascii="仿宋" w:eastAsia="仿宋" w:hAnsi="仿宋" w:cs="仿宋" w:hint="eastAsia"/>
            <w:lang w:eastAsia="zh-CN"/>
          </w:rPr>
          <w:t>(一)、经济评价财务测算</w:t>
        </w:r>
        <w:r>
          <w:tab/>
        </w:r>
        <w:r>
          <w:fldChar w:fldCharType="begin"/>
        </w:r>
        <w:r>
          <w:instrText xml:space="preserve"> PAGEREF _Toc31671 \h </w:instrText>
        </w:r>
        <w:r>
          <w:fldChar w:fldCharType="separate"/>
        </w:r>
        <w:r>
          <w:t>28</w:t>
        </w:r>
        <w:r>
          <w:fldChar w:fldCharType="end"/>
        </w:r>
      </w:hyperlink>
    </w:p>
    <w:p>
      <w:pPr>
        <w:pStyle w:val="TOC2"/>
        <w:tabs>
          <w:tab w:val="right" w:leader="dot" w:pos="8306"/>
        </w:tabs>
      </w:pPr>
      <w:hyperlink w:anchor="_Toc27679" w:history="1">
        <w:r>
          <w:rPr>
            <w:rFonts w:ascii="仿宋" w:eastAsia="仿宋" w:hAnsi="仿宋" w:cs="仿宋" w:hint="eastAsia"/>
            <w:lang w:eastAsia="zh-CN"/>
          </w:rPr>
          <w:t>(二)、抗阿特拉津等除草剂转基因大豆新品种项目盈利能力分析</w:t>
        </w:r>
        <w:r>
          <w:tab/>
        </w:r>
        <w:r>
          <w:fldChar w:fldCharType="begin"/>
        </w:r>
        <w:r>
          <w:instrText xml:space="preserve"> PAGEREF _Toc27679 \h </w:instrText>
        </w:r>
        <w:r>
          <w:fldChar w:fldCharType="separate"/>
        </w:r>
        <w:r>
          <w:t>29</w:t>
        </w:r>
        <w:r>
          <w:fldChar w:fldCharType="end"/>
        </w:r>
      </w:hyperlink>
    </w:p>
    <w:p>
      <w:pPr>
        <w:pStyle w:val="TOC1"/>
        <w:tabs>
          <w:tab w:val="right" w:leader="dot" w:pos="8306"/>
        </w:tabs>
      </w:pPr>
      <w:hyperlink w:anchor="_Toc30942" w:history="1">
        <w:r>
          <w:rPr>
            <w:rFonts w:ascii="仿宋" w:eastAsia="仿宋" w:hAnsi="仿宋" w:cs="仿宋" w:hint="eastAsia"/>
            <w:lang w:eastAsia="zh-CN"/>
          </w:rPr>
          <w:t>八、抗阿特拉津等除草剂转基因大豆新品种项目人力资源管理</w:t>
        </w:r>
        <w:r>
          <w:tab/>
        </w:r>
        <w:r>
          <w:fldChar w:fldCharType="begin"/>
        </w:r>
        <w:r>
          <w:instrText xml:space="preserve"> PAGEREF _Toc30942 \h </w:instrText>
        </w:r>
        <w:r>
          <w:fldChar w:fldCharType="separate"/>
        </w:r>
        <w:r>
          <w:t>30</w:t>
        </w:r>
        <w:r>
          <w:fldChar w:fldCharType="end"/>
        </w:r>
      </w:hyperlink>
    </w:p>
    <w:p>
      <w:pPr>
        <w:pStyle w:val="TOC2"/>
        <w:tabs>
          <w:tab w:val="right" w:leader="dot" w:pos="8306"/>
        </w:tabs>
      </w:pPr>
      <w:hyperlink w:anchor="_Toc13032" w:history="1">
        <w:r>
          <w:rPr>
            <w:rFonts w:ascii="仿宋" w:eastAsia="仿宋" w:hAnsi="仿宋" w:cs="仿宋" w:hint="eastAsia"/>
            <w:lang w:eastAsia="zh-CN"/>
          </w:rPr>
          <w:t>(一)、建立健全的预算管理制度</w:t>
        </w:r>
        <w:r>
          <w:tab/>
        </w:r>
        <w:r>
          <w:fldChar w:fldCharType="begin"/>
        </w:r>
        <w:r>
          <w:instrText xml:space="preserve"> PAGEREF _Toc13032 \h </w:instrText>
        </w:r>
        <w:r>
          <w:fldChar w:fldCharType="separate"/>
        </w:r>
        <w:r>
          <w:t>30</w:t>
        </w:r>
        <w:r>
          <w:fldChar w:fldCharType="end"/>
        </w:r>
      </w:hyperlink>
    </w:p>
    <w:p>
      <w:pPr>
        <w:pStyle w:val="TOC2"/>
        <w:tabs>
          <w:tab w:val="right" w:leader="dot" w:pos="8306"/>
        </w:tabs>
      </w:pPr>
      <w:hyperlink w:anchor="_Toc13675" w:history="1">
        <w:r>
          <w:rPr>
            <w:rFonts w:ascii="仿宋" w:eastAsia="仿宋" w:hAnsi="仿宋" w:cs="仿宋" w:hint="eastAsia"/>
            <w:lang w:eastAsia="zh-CN"/>
          </w:rPr>
          <w:t>(二)、加强资金流动监控</w:t>
        </w:r>
        <w:r>
          <w:tab/>
        </w:r>
        <w:r>
          <w:fldChar w:fldCharType="begin"/>
        </w:r>
        <w:r>
          <w:instrText xml:space="preserve"> PAGEREF _Toc13675 \h </w:instrText>
        </w:r>
        <w:r>
          <w:fldChar w:fldCharType="separate"/>
        </w:r>
        <w:r>
          <w:t>32</w:t>
        </w:r>
        <w:r>
          <w:fldChar w:fldCharType="end"/>
        </w:r>
      </w:hyperlink>
    </w:p>
    <w:p>
      <w:pPr>
        <w:pStyle w:val="TOC2"/>
        <w:tabs>
          <w:tab w:val="right" w:leader="dot" w:pos="8306"/>
        </w:tabs>
      </w:pPr>
      <w:hyperlink w:anchor="_Toc26548" w:history="1">
        <w:r>
          <w:rPr>
            <w:rFonts w:ascii="仿宋" w:eastAsia="仿宋" w:hAnsi="仿宋" w:cs="仿宋" w:hint="eastAsia"/>
            <w:lang w:eastAsia="zh-CN"/>
          </w:rPr>
          <w:t>(三)、制定完善的风险控制机制</w:t>
        </w:r>
        <w:r>
          <w:tab/>
        </w:r>
        <w:r>
          <w:fldChar w:fldCharType="begin"/>
        </w:r>
        <w:r>
          <w:instrText xml:space="preserve"> PAGEREF _Toc26548 \h </w:instrText>
        </w:r>
        <w:r>
          <w:fldChar w:fldCharType="separate"/>
        </w:r>
        <w:r>
          <w:t>34</w:t>
        </w:r>
        <w:r>
          <w:fldChar w:fldCharType="end"/>
        </w:r>
      </w:hyperlink>
    </w:p>
    <w:p>
      <w:pPr>
        <w:pStyle w:val="TOC2"/>
        <w:tabs>
          <w:tab w:val="right" w:leader="dot" w:pos="8306"/>
        </w:tabs>
      </w:pPr>
      <w:hyperlink w:anchor="_Toc80" w:history="1">
        <w:r>
          <w:rPr>
            <w:rFonts w:ascii="仿宋" w:eastAsia="仿宋" w:hAnsi="仿宋" w:cs="仿宋" w:hint="eastAsia"/>
            <w:lang w:eastAsia="zh-CN"/>
          </w:rPr>
          <w:t>(四)、优化成本管理</w:t>
        </w:r>
        <w:r>
          <w:tab/>
        </w:r>
        <w:r>
          <w:fldChar w:fldCharType="begin"/>
        </w:r>
        <w:r>
          <w:instrText xml:space="preserve"> PAGEREF _Toc80 \h </w:instrText>
        </w:r>
        <w:r>
          <w:fldChar w:fldCharType="separate"/>
        </w:r>
        <w:r>
          <w:t>35</w:t>
        </w:r>
        <w:r>
          <w:fldChar w:fldCharType="end"/>
        </w:r>
      </w:hyperlink>
    </w:p>
    <w:p>
      <w:pPr>
        <w:pStyle w:val="TOC1"/>
        <w:tabs>
          <w:tab w:val="right" w:leader="dot" w:pos="8306"/>
        </w:tabs>
      </w:pPr>
      <w:hyperlink w:anchor="_Toc20803" w:history="1">
        <w:r>
          <w:rPr>
            <w:rFonts w:ascii="仿宋" w:eastAsia="仿宋" w:hAnsi="仿宋" w:cs="仿宋" w:hint="eastAsia"/>
            <w:lang w:eastAsia="zh-CN"/>
          </w:rPr>
          <w:t>九、生产安全保护</w:t>
        </w:r>
        <w:r>
          <w:tab/>
        </w:r>
        <w:r>
          <w:fldChar w:fldCharType="begin"/>
        </w:r>
        <w:r>
          <w:instrText xml:space="preserve"> PAGEREF _Toc20803 \h </w:instrText>
        </w:r>
        <w:r>
          <w:fldChar w:fldCharType="separate"/>
        </w:r>
        <w:r>
          <w:t>37</w:t>
        </w:r>
        <w:r>
          <w:fldChar w:fldCharType="end"/>
        </w:r>
      </w:hyperlink>
    </w:p>
    <w:p>
      <w:pPr>
        <w:pStyle w:val="TOC2"/>
        <w:tabs>
          <w:tab w:val="right" w:leader="dot" w:pos="8306"/>
        </w:tabs>
      </w:pPr>
      <w:hyperlink w:anchor="_Toc21128" w:history="1">
        <w:r>
          <w:rPr>
            <w:rFonts w:ascii="仿宋" w:eastAsia="仿宋" w:hAnsi="仿宋" w:cs="仿宋" w:hint="eastAsia"/>
            <w:lang w:eastAsia="zh-CN"/>
          </w:rPr>
          <w:t>(一)、消防安全</w:t>
        </w:r>
        <w:r>
          <w:tab/>
        </w:r>
        <w:r>
          <w:fldChar w:fldCharType="begin"/>
        </w:r>
        <w:r>
          <w:instrText xml:space="preserve"> PAGEREF _Toc21128 \h </w:instrText>
        </w:r>
        <w:r>
          <w:fldChar w:fldCharType="separate"/>
        </w:r>
        <w:r>
          <w:t>37</w:t>
        </w:r>
        <w:r>
          <w:fldChar w:fldCharType="end"/>
        </w:r>
      </w:hyperlink>
    </w:p>
    <w:p>
      <w:pPr>
        <w:pStyle w:val="TOC2"/>
        <w:tabs>
          <w:tab w:val="right" w:leader="dot" w:pos="8306"/>
        </w:tabs>
      </w:pPr>
      <w:hyperlink w:anchor="_Toc25874" w:history="1">
        <w:r>
          <w:rPr>
            <w:rFonts w:ascii="仿宋" w:eastAsia="仿宋" w:hAnsi="仿宋" w:cs="仿宋" w:hint="eastAsia"/>
            <w:lang w:eastAsia="zh-CN"/>
          </w:rPr>
          <w:t>(二)、防火防爆总图布置措施</w:t>
        </w:r>
        <w:r>
          <w:tab/>
        </w:r>
        <w:r>
          <w:fldChar w:fldCharType="begin"/>
        </w:r>
        <w:r>
          <w:instrText xml:space="preserve"> PAGEREF _Toc25874 \h </w:instrText>
        </w:r>
        <w:r>
          <w:fldChar w:fldCharType="separate"/>
        </w:r>
        <w:r>
          <w:t>39</w:t>
        </w:r>
        <w:r>
          <w:fldChar w:fldCharType="end"/>
        </w:r>
      </w:hyperlink>
    </w:p>
    <w:p>
      <w:pPr>
        <w:pStyle w:val="TOC2"/>
        <w:tabs>
          <w:tab w:val="right" w:leader="dot" w:pos="8306"/>
        </w:tabs>
      </w:pPr>
      <w:hyperlink w:anchor="_Toc21079" w:history="1">
        <w:r>
          <w:rPr>
            <w:rFonts w:ascii="仿宋" w:eastAsia="仿宋" w:hAnsi="仿宋" w:cs="仿宋" w:hint="eastAsia"/>
            <w:lang w:eastAsia="zh-CN"/>
          </w:rPr>
          <w:t>(三)、自然灾害防范措施</w:t>
        </w:r>
        <w:r>
          <w:tab/>
        </w:r>
        <w:r>
          <w:fldChar w:fldCharType="begin"/>
        </w:r>
        <w:r>
          <w:instrText xml:space="preserve"> PAGEREF _Toc21079 \h </w:instrText>
        </w:r>
        <w:r>
          <w:fldChar w:fldCharType="separate"/>
        </w:r>
        <w:r>
          <w:t>40</w:t>
        </w:r>
        <w:r>
          <w:fldChar w:fldCharType="end"/>
        </w:r>
      </w:hyperlink>
    </w:p>
    <w:p>
      <w:pPr>
        <w:pStyle w:val="TOC2"/>
        <w:tabs>
          <w:tab w:val="right" w:leader="dot" w:pos="8306"/>
        </w:tabs>
      </w:pPr>
      <w:hyperlink w:anchor="_Toc9227" w:history="1">
        <w:r>
          <w:rPr>
            <w:rFonts w:ascii="仿宋" w:eastAsia="仿宋" w:hAnsi="仿宋" w:cs="仿宋" w:hint="eastAsia"/>
            <w:lang w:eastAsia="zh-CN"/>
          </w:rPr>
          <w:t>(四)、安全色及安全标志使用要求</w:t>
        </w:r>
        <w:r>
          <w:tab/>
        </w:r>
        <w:r>
          <w:fldChar w:fldCharType="begin"/>
        </w:r>
        <w:r>
          <w:instrText xml:space="preserve"> PAGEREF _Toc9227 \h </w:instrText>
        </w:r>
        <w:r>
          <w:fldChar w:fldCharType="separate"/>
        </w:r>
        <w:r>
          <w:t>41</w:t>
        </w:r>
        <w:r>
          <w:fldChar w:fldCharType="end"/>
        </w:r>
      </w:hyperlink>
    </w:p>
    <w:p>
      <w:pPr>
        <w:pStyle w:val="TOC2"/>
        <w:tabs>
          <w:tab w:val="right" w:leader="dot" w:pos="8306"/>
        </w:tabs>
      </w:pPr>
      <w:hyperlink w:anchor="_Toc2517" w:history="1">
        <w:r>
          <w:rPr>
            <w:rFonts w:ascii="仿宋" w:eastAsia="仿宋" w:hAnsi="仿宋" w:cs="仿宋" w:hint="eastAsia"/>
            <w:lang w:eastAsia="zh-CN"/>
          </w:rPr>
          <w:t>(五)、防尘防毒措施</w:t>
        </w:r>
        <w:r>
          <w:tab/>
        </w:r>
        <w:r>
          <w:fldChar w:fldCharType="begin"/>
        </w:r>
        <w:r>
          <w:instrText xml:space="preserve"> PAGEREF _Toc2517 \h </w:instrText>
        </w:r>
        <w:r>
          <w:fldChar w:fldCharType="separate"/>
        </w:r>
        <w:r>
          <w:t>42</w:t>
        </w:r>
        <w:r>
          <w:fldChar w:fldCharType="end"/>
        </w:r>
      </w:hyperlink>
    </w:p>
    <w:p>
      <w:pPr>
        <w:pStyle w:val="TOC2"/>
        <w:tabs>
          <w:tab w:val="right" w:leader="dot" w:pos="8306"/>
        </w:tabs>
      </w:pPr>
      <w:hyperlink w:anchor="_Toc4468" w:history="1">
        <w:r>
          <w:rPr>
            <w:rFonts w:ascii="仿宋" w:eastAsia="仿宋" w:hAnsi="仿宋" w:cs="仿宋" w:hint="eastAsia"/>
            <w:lang w:eastAsia="zh-CN"/>
          </w:rPr>
          <w:t>(六)、防静电、触电防护及防雷措施</w:t>
        </w:r>
        <w:r>
          <w:tab/>
        </w:r>
        <w:r>
          <w:fldChar w:fldCharType="begin"/>
        </w:r>
        <w:r>
          <w:instrText xml:space="preserve"> PAGEREF _Toc4468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7" w:history="1">
        <w:r>
          <w:rPr>
            <w:rFonts w:ascii="仿宋" w:eastAsia="仿宋" w:hAnsi="仿宋" w:cs="仿宋" w:hint="eastAsia"/>
            <w:lang w:eastAsia="zh-CN"/>
          </w:rPr>
          <w:t>(七)、机械设备安全保障措施</w:t>
        </w:r>
        <w:r>
          <w:tab/>
        </w:r>
        <w:r>
          <w:fldChar w:fldCharType="begin"/>
        </w:r>
        <w:r>
          <w:instrText xml:space="preserve"> PAGEREF _Toc12947 \h </w:instrText>
        </w:r>
        <w:r>
          <w:fldChar w:fldCharType="separate"/>
        </w:r>
        <w:r>
          <w:t>45</w:t>
        </w:r>
        <w:r>
          <w:fldChar w:fldCharType="end"/>
        </w:r>
      </w:hyperlink>
    </w:p>
    <w:p>
      <w:pPr>
        <w:pStyle w:val="TOC1"/>
        <w:tabs>
          <w:tab w:val="right" w:leader="dot" w:pos="8306"/>
        </w:tabs>
      </w:pPr>
      <w:hyperlink w:anchor="_Toc15985" w:history="1">
        <w:r>
          <w:rPr>
            <w:rFonts w:ascii="仿宋" w:eastAsia="仿宋" w:hAnsi="仿宋" w:cs="仿宋" w:hint="eastAsia"/>
            <w:lang w:eastAsia="zh-CN"/>
          </w:rPr>
          <w:t>十、抗阿特拉津等除草剂转基因大豆新品种项目风险管理</w:t>
        </w:r>
        <w:r>
          <w:tab/>
        </w:r>
        <w:r>
          <w:fldChar w:fldCharType="begin"/>
        </w:r>
        <w:r>
          <w:instrText xml:space="preserve"> PAGEREF _Toc15985 \h </w:instrText>
        </w:r>
        <w:r>
          <w:fldChar w:fldCharType="separate"/>
        </w:r>
        <w:r>
          <w:t>46</w:t>
        </w:r>
        <w:r>
          <w:fldChar w:fldCharType="end"/>
        </w:r>
      </w:hyperlink>
    </w:p>
    <w:p>
      <w:pPr>
        <w:pStyle w:val="TOC2"/>
        <w:tabs>
          <w:tab w:val="right" w:leader="dot" w:pos="8306"/>
        </w:tabs>
      </w:pPr>
      <w:hyperlink w:anchor="_Toc18325" w:history="1">
        <w:r>
          <w:rPr>
            <w:rFonts w:ascii="仿宋" w:eastAsia="仿宋" w:hAnsi="仿宋" w:cs="仿宋" w:hint="eastAsia"/>
            <w:lang w:eastAsia="zh-CN"/>
          </w:rPr>
          <w:t>(一)、风险识别与评估</w:t>
        </w:r>
        <w:r>
          <w:tab/>
        </w:r>
        <w:r>
          <w:fldChar w:fldCharType="begin"/>
        </w:r>
        <w:r>
          <w:instrText xml:space="preserve"> PAGEREF _Toc18325 \h </w:instrText>
        </w:r>
        <w:r>
          <w:fldChar w:fldCharType="separate"/>
        </w:r>
        <w:r>
          <w:t>46</w:t>
        </w:r>
        <w:r>
          <w:fldChar w:fldCharType="end"/>
        </w:r>
      </w:hyperlink>
    </w:p>
    <w:p>
      <w:pPr>
        <w:pStyle w:val="TOC2"/>
        <w:tabs>
          <w:tab w:val="right" w:leader="dot" w:pos="8306"/>
        </w:tabs>
      </w:pPr>
      <w:hyperlink w:anchor="_Toc30370" w:history="1">
        <w:r>
          <w:rPr>
            <w:rFonts w:ascii="仿宋" w:eastAsia="仿宋" w:hAnsi="仿宋" w:cs="仿宋" w:hint="eastAsia"/>
            <w:lang w:eastAsia="zh-CN"/>
          </w:rPr>
          <w:t>(二)、风险应对策略</w:t>
        </w:r>
        <w:r>
          <w:tab/>
        </w:r>
        <w:r>
          <w:fldChar w:fldCharType="begin"/>
        </w:r>
        <w:r>
          <w:instrText xml:space="preserve"> PAGEREF _Toc30370 \h </w:instrText>
        </w:r>
        <w:r>
          <w:fldChar w:fldCharType="separate"/>
        </w:r>
        <w:r>
          <w:t>48</w:t>
        </w:r>
        <w:r>
          <w:fldChar w:fldCharType="end"/>
        </w:r>
      </w:hyperlink>
    </w:p>
    <w:p>
      <w:pPr>
        <w:pStyle w:val="TOC2"/>
        <w:tabs>
          <w:tab w:val="right" w:leader="dot" w:pos="8306"/>
        </w:tabs>
      </w:pPr>
      <w:hyperlink w:anchor="_Toc22523" w:history="1">
        <w:r>
          <w:rPr>
            <w:rFonts w:ascii="仿宋" w:eastAsia="仿宋" w:hAnsi="仿宋" w:cs="仿宋" w:hint="eastAsia"/>
            <w:lang w:eastAsia="zh-CN"/>
          </w:rPr>
          <w:t>(三)、风险监控与控制</w:t>
        </w:r>
        <w:r>
          <w:tab/>
        </w:r>
        <w:r>
          <w:fldChar w:fldCharType="begin"/>
        </w:r>
        <w:r>
          <w:instrText xml:space="preserve"> PAGEREF _Toc22523 \h </w:instrText>
        </w:r>
        <w:r>
          <w:fldChar w:fldCharType="separate"/>
        </w:r>
        <w:r>
          <w:t>50</w:t>
        </w:r>
        <w:r>
          <w:fldChar w:fldCharType="end"/>
        </w:r>
      </w:hyperlink>
    </w:p>
    <w:p>
      <w:pPr>
        <w:pStyle w:val="TOC1"/>
        <w:tabs>
          <w:tab w:val="right" w:leader="dot" w:pos="8306"/>
        </w:tabs>
      </w:pPr>
      <w:hyperlink w:anchor="_Toc16034" w:history="1">
        <w:r>
          <w:rPr>
            <w:rFonts w:ascii="仿宋" w:eastAsia="仿宋" w:hAnsi="仿宋" w:cs="仿宋" w:hint="eastAsia"/>
            <w:lang w:eastAsia="zh-CN"/>
          </w:rPr>
          <w:t>十一、抗阿特拉津等除草剂转基因大豆新品种项目社会影响</w:t>
        </w:r>
        <w:r>
          <w:tab/>
        </w:r>
        <w:r>
          <w:fldChar w:fldCharType="begin"/>
        </w:r>
        <w:r>
          <w:instrText xml:space="preserve"> PAGEREF _Toc16034 \h </w:instrText>
        </w:r>
        <w:r>
          <w:fldChar w:fldCharType="separate"/>
        </w:r>
        <w:r>
          <w:t>51</w:t>
        </w:r>
        <w:r>
          <w:fldChar w:fldCharType="end"/>
        </w:r>
      </w:hyperlink>
    </w:p>
    <w:p>
      <w:pPr>
        <w:pStyle w:val="TOC2"/>
        <w:tabs>
          <w:tab w:val="right" w:leader="dot" w:pos="8306"/>
        </w:tabs>
      </w:pPr>
      <w:hyperlink w:anchor="_Toc10250" w:history="1">
        <w:r>
          <w:rPr>
            <w:rFonts w:ascii="仿宋" w:eastAsia="仿宋" w:hAnsi="仿宋" w:cs="仿宋" w:hint="eastAsia"/>
            <w:lang w:eastAsia="zh-CN"/>
          </w:rPr>
          <w:t>(一)、社会责任与义务</w:t>
        </w:r>
        <w:r>
          <w:tab/>
        </w:r>
        <w:r>
          <w:fldChar w:fldCharType="begin"/>
        </w:r>
        <w:r>
          <w:instrText xml:space="preserve"> PAGEREF _Toc10250 \h </w:instrText>
        </w:r>
        <w:r>
          <w:fldChar w:fldCharType="separate"/>
        </w:r>
        <w:r>
          <w:t>51</w:t>
        </w:r>
        <w:r>
          <w:fldChar w:fldCharType="end"/>
        </w:r>
      </w:hyperlink>
    </w:p>
    <w:p>
      <w:pPr>
        <w:pStyle w:val="TOC2"/>
        <w:tabs>
          <w:tab w:val="right" w:leader="dot" w:pos="8306"/>
        </w:tabs>
      </w:pPr>
      <w:hyperlink w:anchor="_Toc7017" w:history="1">
        <w:r>
          <w:rPr>
            <w:rFonts w:ascii="仿宋" w:eastAsia="仿宋" w:hAnsi="仿宋" w:cs="仿宋" w:hint="eastAsia"/>
            <w:lang w:eastAsia="zh-CN"/>
          </w:rPr>
          <w:t>(二)、社会参与与沟通</w:t>
        </w:r>
        <w:r>
          <w:tab/>
        </w:r>
        <w:r>
          <w:fldChar w:fldCharType="begin"/>
        </w:r>
        <w:r>
          <w:instrText xml:space="preserve"> PAGEREF _Toc7017 \h </w:instrText>
        </w:r>
        <w:r>
          <w:fldChar w:fldCharType="separate"/>
        </w:r>
        <w:r>
          <w:t>52</w:t>
        </w:r>
        <w:r>
          <w:fldChar w:fldCharType="end"/>
        </w:r>
      </w:hyperlink>
    </w:p>
    <w:p>
      <w:pPr>
        <w:pStyle w:val="TOC1"/>
        <w:tabs>
          <w:tab w:val="right" w:leader="dot" w:pos="8306"/>
        </w:tabs>
      </w:pPr>
      <w:hyperlink w:anchor="_Toc23420" w:history="1">
        <w:r>
          <w:rPr>
            <w:rFonts w:ascii="仿宋" w:eastAsia="仿宋" w:hAnsi="仿宋" w:cs="仿宋" w:hint="eastAsia"/>
            <w:lang w:eastAsia="zh-CN"/>
          </w:rPr>
          <w:t>十二、抗阿特拉津等除草剂转基因大豆新品种项目投资规划</w:t>
        </w:r>
        <w:r>
          <w:tab/>
        </w:r>
        <w:r>
          <w:fldChar w:fldCharType="begin"/>
        </w:r>
        <w:r>
          <w:instrText xml:space="preserve"> PAGEREF _Toc23420 \h </w:instrText>
        </w:r>
        <w:r>
          <w:fldChar w:fldCharType="separate"/>
        </w:r>
        <w:r>
          <w:t>53</w:t>
        </w:r>
        <w:r>
          <w:fldChar w:fldCharType="end"/>
        </w:r>
      </w:hyperlink>
    </w:p>
    <w:p>
      <w:pPr>
        <w:pStyle w:val="TOC2"/>
        <w:tabs>
          <w:tab w:val="right" w:leader="dot" w:pos="8306"/>
        </w:tabs>
      </w:pPr>
      <w:hyperlink w:anchor="_Toc4580" w:history="1">
        <w:r>
          <w:rPr>
            <w:rFonts w:ascii="仿宋" w:eastAsia="仿宋" w:hAnsi="仿宋" w:cs="仿宋" w:hint="eastAsia"/>
            <w:lang w:eastAsia="zh-CN"/>
          </w:rPr>
          <w:t>(一)、抗阿特拉津等除草剂转基因大豆新品种项目总投资估算</w:t>
        </w:r>
        <w:r>
          <w:tab/>
        </w:r>
        <w:r>
          <w:fldChar w:fldCharType="begin"/>
        </w:r>
        <w:r>
          <w:instrText xml:space="preserve"> PAGEREF _Toc4580 \h </w:instrText>
        </w:r>
        <w:r>
          <w:fldChar w:fldCharType="separate"/>
        </w:r>
        <w:r>
          <w:t>53</w:t>
        </w:r>
        <w:r>
          <w:fldChar w:fldCharType="end"/>
        </w:r>
      </w:hyperlink>
    </w:p>
    <w:p>
      <w:pPr>
        <w:pStyle w:val="TOC2"/>
        <w:tabs>
          <w:tab w:val="right" w:leader="dot" w:pos="8306"/>
        </w:tabs>
      </w:pPr>
      <w:hyperlink w:anchor="_Toc31544" w:history="1">
        <w:r>
          <w:rPr>
            <w:rFonts w:ascii="仿宋" w:eastAsia="仿宋" w:hAnsi="仿宋" w:cs="仿宋" w:hint="eastAsia"/>
            <w:lang w:eastAsia="zh-CN"/>
          </w:rPr>
          <w:t>(二)、资金筹措</w:t>
        </w:r>
        <w:r>
          <w:tab/>
        </w:r>
        <w:r>
          <w:fldChar w:fldCharType="begin"/>
        </w:r>
        <w:r>
          <w:instrText xml:space="preserve"> PAGEREF _Toc31544 \h </w:instrText>
        </w:r>
        <w:r>
          <w:fldChar w:fldCharType="separate"/>
        </w:r>
        <w:r>
          <w:t>54</w:t>
        </w:r>
        <w:r>
          <w:fldChar w:fldCharType="end"/>
        </w:r>
      </w:hyperlink>
    </w:p>
    <w:p>
      <w:pPr>
        <w:pStyle w:val="TOC1"/>
        <w:tabs>
          <w:tab w:val="right" w:leader="dot" w:pos="8306"/>
        </w:tabs>
      </w:pPr>
      <w:hyperlink w:anchor="_Toc2120" w:history="1">
        <w:r>
          <w:rPr>
            <w:rFonts w:ascii="仿宋" w:eastAsia="仿宋" w:hAnsi="仿宋" w:cs="仿宋" w:hint="eastAsia"/>
            <w:lang w:eastAsia="zh-CN"/>
          </w:rPr>
          <w:t>十三、供应链管理</w:t>
        </w:r>
        <w:r>
          <w:tab/>
        </w:r>
        <w:r>
          <w:fldChar w:fldCharType="begin"/>
        </w:r>
        <w:r>
          <w:instrText xml:space="preserve"> PAGEREF _Toc2120 \h </w:instrText>
        </w:r>
        <w:r>
          <w:fldChar w:fldCharType="separate"/>
        </w:r>
        <w:r>
          <w:t>55</w:t>
        </w:r>
        <w:r>
          <w:fldChar w:fldCharType="end"/>
        </w:r>
      </w:hyperlink>
    </w:p>
    <w:p>
      <w:pPr>
        <w:pStyle w:val="TOC2"/>
        <w:tabs>
          <w:tab w:val="right" w:leader="dot" w:pos="8306"/>
        </w:tabs>
      </w:pPr>
      <w:hyperlink w:anchor="_Toc31202" w:history="1">
        <w:r>
          <w:rPr>
            <w:rFonts w:ascii="仿宋" w:eastAsia="仿宋" w:hAnsi="仿宋" w:cs="仿宋" w:hint="eastAsia"/>
            <w:lang w:eastAsia="zh-CN"/>
          </w:rPr>
          <w:t>(一)、供应链战略规划</w:t>
        </w:r>
        <w:r>
          <w:tab/>
        </w:r>
        <w:r>
          <w:fldChar w:fldCharType="begin"/>
        </w:r>
        <w:r>
          <w:instrText xml:space="preserve"> PAGEREF _Toc31202 \h </w:instrText>
        </w:r>
        <w:r>
          <w:fldChar w:fldCharType="separate"/>
        </w:r>
        <w:r>
          <w:t>55</w:t>
        </w:r>
        <w:r>
          <w:fldChar w:fldCharType="end"/>
        </w:r>
      </w:hyperlink>
    </w:p>
    <w:p>
      <w:pPr>
        <w:pStyle w:val="TOC2"/>
        <w:tabs>
          <w:tab w:val="right" w:leader="dot" w:pos="8306"/>
        </w:tabs>
      </w:pPr>
      <w:hyperlink w:anchor="_Toc16097" w:history="1">
        <w:r>
          <w:rPr>
            <w:rFonts w:ascii="仿宋" w:eastAsia="仿宋" w:hAnsi="仿宋" w:cs="仿宋" w:hint="eastAsia"/>
            <w:lang w:eastAsia="zh-CN"/>
          </w:rPr>
          <w:t>(二)、供应商选择与合作</w:t>
        </w:r>
        <w:r>
          <w:tab/>
        </w:r>
        <w:r>
          <w:fldChar w:fldCharType="begin"/>
        </w:r>
        <w:r>
          <w:instrText xml:space="preserve"> PAGEREF _Toc16097 \h </w:instrText>
        </w:r>
        <w:r>
          <w:fldChar w:fldCharType="separate"/>
        </w:r>
        <w:r>
          <w:t>57</w:t>
        </w:r>
        <w:r>
          <w:fldChar w:fldCharType="end"/>
        </w:r>
      </w:hyperlink>
    </w:p>
    <w:p>
      <w:pPr>
        <w:pStyle w:val="TOC2"/>
        <w:tabs>
          <w:tab w:val="right" w:leader="dot" w:pos="8306"/>
        </w:tabs>
      </w:pPr>
      <w:hyperlink w:anchor="_Toc13803" w:history="1">
        <w:r>
          <w:rPr>
            <w:rFonts w:ascii="仿宋" w:eastAsia="仿宋" w:hAnsi="仿宋" w:cs="仿宋" w:hint="eastAsia"/>
            <w:lang w:eastAsia="zh-CN"/>
          </w:rPr>
          <w:t>(三)、物流与库存管理</w:t>
        </w:r>
        <w:r>
          <w:tab/>
        </w:r>
        <w:r>
          <w:fldChar w:fldCharType="begin"/>
        </w:r>
        <w:r>
          <w:instrText xml:space="preserve"> PAGEREF _Toc13803 \h </w:instrText>
        </w:r>
        <w:r>
          <w:fldChar w:fldCharType="separate"/>
        </w:r>
        <w:r>
          <w:t>58</w:t>
        </w:r>
        <w:r>
          <w:fldChar w:fldCharType="end"/>
        </w:r>
      </w:hyperlink>
    </w:p>
    <w:p>
      <w:pPr>
        <w:pStyle w:val="TOC1"/>
        <w:tabs>
          <w:tab w:val="right" w:leader="dot" w:pos="8306"/>
        </w:tabs>
      </w:pPr>
      <w:hyperlink w:anchor="_Toc1132" w:history="1">
        <w:r>
          <w:rPr>
            <w:rFonts w:ascii="仿宋" w:eastAsia="仿宋" w:hAnsi="仿宋" w:cs="仿宋" w:hint="eastAsia"/>
            <w:lang w:eastAsia="zh-CN"/>
          </w:rPr>
          <w:t>十四、抗阿特拉津等除草剂转基因大豆新品种项目实施时间节点</w:t>
        </w:r>
        <w:r>
          <w:tab/>
        </w:r>
        <w:r>
          <w:fldChar w:fldCharType="begin"/>
        </w:r>
        <w:r>
          <w:instrText xml:space="preserve"> PAGEREF _Toc1132 \h </w:instrText>
        </w:r>
        <w:r>
          <w:fldChar w:fldCharType="separate"/>
        </w:r>
        <w:r>
          <w:t>60</w:t>
        </w:r>
        <w:r>
          <w:fldChar w:fldCharType="end"/>
        </w:r>
      </w:hyperlink>
    </w:p>
    <w:p>
      <w:pPr>
        <w:pStyle w:val="TOC2"/>
        <w:tabs>
          <w:tab w:val="right" w:leader="dot" w:pos="8306"/>
        </w:tabs>
      </w:pPr>
      <w:hyperlink w:anchor="_Toc11516" w:history="1">
        <w:r>
          <w:rPr>
            <w:rFonts w:ascii="仿宋" w:eastAsia="仿宋" w:hAnsi="仿宋" w:cs="仿宋" w:hint="eastAsia"/>
            <w:lang w:eastAsia="zh-CN"/>
          </w:rPr>
          <w:t>(一)、抗阿特拉津等除草剂转基因大豆新品种项目启动阶段时间节点</w:t>
        </w:r>
        <w:r>
          <w:tab/>
        </w:r>
        <w:r>
          <w:fldChar w:fldCharType="begin"/>
        </w:r>
        <w:r>
          <w:instrText xml:space="preserve"> PAGEREF _Toc11516 \h </w:instrText>
        </w:r>
        <w:r>
          <w:fldChar w:fldCharType="separate"/>
        </w:r>
        <w:r>
          <w:t>60</w:t>
        </w:r>
        <w:r>
          <w:fldChar w:fldCharType="end"/>
        </w:r>
      </w:hyperlink>
    </w:p>
    <w:p>
      <w:pPr>
        <w:pStyle w:val="TOC2"/>
        <w:tabs>
          <w:tab w:val="right" w:leader="dot" w:pos="8306"/>
        </w:tabs>
      </w:pPr>
      <w:hyperlink w:anchor="_Toc10818" w:history="1">
        <w:r>
          <w:rPr>
            <w:rFonts w:ascii="仿宋" w:eastAsia="仿宋" w:hAnsi="仿宋" w:cs="仿宋" w:hint="eastAsia"/>
            <w:lang w:eastAsia="zh-CN"/>
          </w:rPr>
          <w:t>(二)、抗阿特拉津等除草剂转基因大豆新品种项目执行阶段时间节点</w:t>
        </w:r>
        <w:r>
          <w:tab/>
        </w:r>
        <w:r>
          <w:fldChar w:fldCharType="begin"/>
        </w:r>
        <w:r>
          <w:instrText xml:space="preserve"> PAGEREF _Toc10818 \h </w:instrText>
        </w:r>
        <w:r>
          <w:fldChar w:fldCharType="separate"/>
        </w:r>
        <w:r>
          <w:t>61</w:t>
        </w:r>
        <w:r>
          <w:fldChar w:fldCharType="end"/>
        </w:r>
      </w:hyperlink>
    </w:p>
    <w:p>
      <w:pPr>
        <w:pStyle w:val="TOC2"/>
        <w:tabs>
          <w:tab w:val="right" w:leader="dot" w:pos="8306"/>
        </w:tabs>
      </w:pPr>
      <w:hyperlink w:anchor="_Toc29691" w:history="1">
        <w:r>
          <w:rPr>
            <w:rFonts w:ascii="仿宋" w:eastAsia="仿宋" w:hAnsi="仿宋" w:cs="仿宋" w:hint="eastAsia"/>
            <w:lang w:eastAsia="zh-CN"/>
          </w:rPr>
          <w:t>(三)、抗阿特拉津等除草剂转基因大豆新品种项目完成阶段时间节点</w:t>
        </w:r>
        <w:r>
          <w:tab/>
        </w:r>
        <w:r>
          <w:fldChar w:fldCharType="begin"/>
        </w:r>
        <w:r>
          <w:instrText xml:space="preserve"> PAGEREF _Toc29691 \h </w:instrText>
        </w:r>
        <w:r>
          <w:fldChar w:fldCharType="separate"/>
        </w:r>
        <w:r>
          <w:t>63</w:t>
        </w:r>
        <w:r>
          <w:fldChar w:fldCharType="end"/>
        </w:r>
      </w:hyperlink>
    </w:p>
    <w:p>
      <w:pPr>
        <w:pStyle w:val="TOC1"/>
        <w:tabs>
          <w:tab w:val="right" w:leader="dot" w:pos="8306"/>
        </w:tabs>
      </w:pPr>
      <w:hyperlink w:anchor="_Toc7903" w:history="1">
        <w:r>
          <w:rPr>
            <w:rFonts w:ascii="仿宋" w:eastAsia="仿宋" w:hAnsi="仿宋" w:cs="仿宋" w:hint="eastAsia"/>
            <w:lang w:eastAsia="zh-CN"/>
          </w:rPr>
          <w:t>十五、抗阿特拉津等除草剂转基因大豆新品种项目变更管理</w:t>
        </w:r>
        <w:r>
          <w:tab/>
        </w:r>
        <w:r>
          <w:fldChar w:fldCharType="begin"/>
        </w:r>
        <w:r>
          <w:instrText xml:space="preserve"> PAGEREF _Toc7903 \h </w:instrText>
        </w:r>
        <w:r>
          <w:fldChar w:fldCharType="separate"/>
        </w:r>
        <w:r>
          <w:t>64</w:t>
        </w:r>
        <w:r>
          <w:fldChar w:fldCharType="end"/>
        </w:r>
      </w:hyperlink>
    </w:p>
    <w:p>
      <w:pPr>
        <w:pStyle w:val="TOC2"/>
        <w:tabs>
          <w:tab w:val="right" w:leader="dot" w:pos="8306"/>
        </w:tabs>
      </w:pPr>
      <w:hyperlink w:anchor="_Toc24571" w:history="1">
        <w:r>
          <w:rPr>
            <w:rFonts w:ascii="仿宋" w:eastAsia="仿宋" w:hAnsi="仿宋" w:cs="仿宋" w:hint="eastAsia"/>
            <w:lang w:eastAsia="zh-CN"/>
          </w:rPr>
          <w:t>(一)、变更申请与评估</w:t>
        </w:r>
        <w:r>
          <w:tab/>
        </w:r>
        <w:r>
          <w:fldChar w:fldCharType="begin"/>
        </w:r>
        <w:r>
          <w:instrText xml:space="preserve"> PAGEREF _Toc24571 \h </w:instrText>
        </w:r>
        <w:r>
          <w:fldChar w:fldCharType="separate"/>
        </w:r>
        <w:r>
          <w:t>64</w:t>
        </w:r>
        <w:r>
          <w:fldChar w:fldCharType="end"/>
        </w:r>
      </w:hyperlink>
    </w:p>
    <w:p>
      <w:pPr>
        <w:pStyle w:val="TOC2"/>
        <w:tabs>
          <w:tab w:val="right" w:leader="dot" w:pos="8306"/>
        </w:tabs>
      </w:pPr>
      <w:hyperlink w:anchor="_Toc2432" w:history="1">
        <w:r>
          <w:rPr>
            <w:rFonts w:ascii="仿宋" w:eastAsia="仿宋" w:hAnsi="仿宋" w:cs="仿宋" w:hint="eastAsia"/>
            <w:lang w:eastAsia="zh-CN"/>
          </w:rPr>
          <w:t>(二)、变更实施与控制</w:t>
        </w:r>
        <w:r>
          <w:tab/>
        </w:r>
        <w:r>
          <w:fldChar w:fldCharType="begin"/>
        </w:r>
        <w:r>
          <w:instrText xml:space="preserve"> PAGEREF _Toc2432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02"/>
      <w:r>
        <w:rPr>
          <w:rFonts w:ascii="仿宋" w:eastAsia="仿宋" w:hAnsi="仿宋" w:cs="仿宋" w:hint="eastAsia"/>
          <w:sz w:val="28"/>
          <w:lang w:eastAsia="zh-CN"/>
        </w:rPr>
        <w:t>一、抗阿特拉津等除草剂转基因大豆新品种项目概论</w:t>
      </w:r>
      <w:bookmarkEnd w:id="2"/>
    </w:p>
    <w:p>
      <w:pPr>
        <w:pStyle w:val="Heading2"/>
        <w:rPr>
          <w:rFonts w:ascii="仿宋" w:eastAsia="仿宋" w:hAnsi="仿宋" w:cs="仿宋" w:hint="eastAsia"/>
          <w:lang w:eastAsia="zh-CN"/>
        </w:rPr>
      </w:pPr>
      <w:bookmarkStart w:id="3" w:name="_Toc14340"/>
      <w:r>
        <w:rPr>
          <w:rFonts w:ascii="仿宋" w:eastAsia="仿宋" w:hAnsi="仿宋" w:cs="仿宋" w:hint="eastAsia"/>
          <w:lang w:eastAsia="zh-CN"/>
        </w:rPr>
        <w:t>(一)、抗阿特拉津等除草剂转基因大豆新品种项目概况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起源追溯至对市场的深入洞察。市场的不断演变与变革为抗阿特拉津等除草剂转基因大豆新品种项目提供了难得的机遇。当前市场存在的需求缺口和变革的大环境共同构成了抗阿特拉津等除草剂转基因大豆新品种项目的背景。这个抗阿特拉津等除草剂转基因大豆新品种项目旨在充分利用市场机遇，填补行业中尚未满足的需求，为客户提供全新的解决方案。市场的变革和需求的增长使得这个抗阿特拉津等除草剂转基因大豆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抗阿特拉津等除草剂转基因大豆新品种项目名称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正式命名为抗阿特拉津等除草剂转基因大豆新品种。这个名称不仅仅是一个标识，更代表了抗阿特拉津等除草剂转基因大豆新品种项目的核心理念和愿景。它蕴含着抗阿特拉津等除草剂转基因大豆新品种项目所要解决问题的关键字，具有强烈的表达和辨识度，为抗阿特拉津等除草剂转基因大豆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抗阿特拉津等除草剂转基因大豆新品种项目目标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核心目标是提供一种全新、高效的解决方案，满足客户日益增长的需求。抗阿特拉津等除草剂转基因大豆新品种项目追求的不仅仅是满足市场需求，更是在市场中获得卓越的竞争优势。通过不断提升产品或服务的质量和创新水平，抗阿特拉津等除草剂转基因大豆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抗阿特拉津等除草剂转基因大豆新品种项目范围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全面涵盖了产品研发、制造、市场推广和售后服务，确保从产品设计到最终用户体验的全方位关注。这一全面的抗阿特拉津等除草剂转基因大豆新品种项目范围是为了确保抗阿特拉津等除草剂转基因大豆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抗阿特拉津等除草剂转基因大豆新品种项目时间表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抗阿特拉津等除草剂转基因大豆新品种项目计划在未来18个月内完成，包括研发、测试、市场试点和正式推出等不同阶段。这个时间表的合理设计是为了确保抗阿特拉津等除草剂转基因大豆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抗阿特拉津等除草剂转基因大豆新品种项目预算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总预算估算为XX百万美元，主要分配在研发、市场推广、人员培训和运营等方面。这一充足的预算为抗阿特拉津等除草剂转基因大豆新品种项目提供了充足的资源，确保抗阿特拉津等除草剂转基因大豆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抗阿特拉津等除草剂转基因大豆新品种项目风险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可能面临的风险包括市场接受度低、技术难题、竞争激烈等。抗阿特拉津等除草剂转基因大豆新品种项目团队已经制定了相应的风险应对计划，通过前瞻性的风险管理，确保抗阿特拉津等除草剂转基因大豆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抗阿特拉津等除草剂转基因大豆新品种项目团队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汇聚了一支经验丰富、多领域专业素养的核心团队，确保抗阿特拉津等除草剂转基因大豆新品种项目在各个方面都能拥有高水平的执行力。团队的协同作战是抗阿特拉津等除草剂转基因大豆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抗阿特拉津等除草剂转基因大豆新品种项目背景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抗阿特拉津等除草剂转基因大豆新品种项目的背景根植于市场对更高效、创新产品的渴望，同时也受到科技发展对行业格局的深刻改变的影响。这为抗阿特拉津等除草剂转基因大豆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抗阿特拉津等除草剂转基因大豆新品种项目现状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阿特拉津等除草剂转基因大豆新品种项目已完成市场调研和技术验证，取得了初步的成功。这为抗阿特拉津等除草剂转基因大豆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92"/>
      <w:r>
        <w:rPr>
          <w:rFonts w:ascii="仿宋" w:eastAsia="仿宋" w:hAnsi="仿宋" w:cs="仿宋" w:hint="eastAsia"/>
          <w:sz w:val="28"/>
          <w:lang w:eastAsia="zh-CN"/>
        </w:rPr>
        <w:t>(二)、抗阿特拉津等除草剂转基因大豆新品种项目目标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阿特拉津等除草剂转基因大豆新品种项目首要业务目标是在市场中占据有利地位，实现产品/服务的成功推广和销售。通过不断提升产品质量、创新性，抗阿特拉津等除草剂转基因大豆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阿特拉津等除草剂转基因大豆新品种项目着眼于技术创新。通过持续的研发和技术升级，抗阿特拉津等除草剂转基因大豆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阿特拉津等除草剂转基因大豆新品种项目设定了客户满意度目标。通过提供卓越的产品质量和优质的客户服务，抗阿特拉津等除草剂转基因大豆新品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注重社会责任和可持续发展。通过实施环保、社会责任抗阿特拉津等除草剂转基因大豆新品种项目，抗阿特拉津等除草剂转基因大豆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团队是实现目标的核心驱动力。因此，抗阿特拉津等除草剂转基因大豆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945"/>
      <w:r>
        <w:rPr>
          <w:rFonts w:ascii="仿宋" w:eastAsia="仿宋" w:hAnsi="仿宋" w:cs="仿宋" w:hint="eastAsia"/>
          <w:sz w:val="28"/>
          <w:lang w:eastAsia="zh-CN"/>
        </w:rPr>
        <w:t>(三)、抗阿特拉津等除草剂转基因大豆新品种项目提出的理由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抗阿特拉津等除草剂转基因大豆新品种项目提出的理由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提出源于对市场机遇的深刻洞察。当前市场中存在的需求缺口和行业发展趋势表明，有巨大的商业机会等待被开发。通过准确捕捉市场机遇，抗阿特拉津等除草剂转基因大豆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理念基于对技术创新的信仰。通过持续的研发和技术投入，抗阿特拉津等除草剂转基因大豆新品种项目有望推出更具创新性的产品或服务。在科技飞速发展的当下，抗阿特拉津等除草剂转基因大豆新品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提出是为了增强企业的行业竞争力。通过提升产品或服务的质量和独特性，抗阿特拉津等除草剂转基因大豆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响应了消费者需求的变化。随着社会和科技的不断发展，消费者对产品和服务的需求也在发生变化。通过深入了解并及时回应消费者的新需求，抗阿特拉津等除草剂转基因大豆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提出是企业战略发展规划的一部分。在面对日益激烈的市场竞争和不断变化的商业环境中，抗阿特拉津等除草剂转基因大豆新品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提出不仅仅是基于商业考量，还注重社会责任。通过推出环保、社会责任等方面的抗阿特拉津等除草剂转基因大豆新品种项目，抗阿特拉津等除草剂转基因大豆新品种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提出反映了对利益相关者期望的关注。包括客户、员工、投资者等利益相关者在企业发展中都有着各自的期望，抗阿特拉津等除草剂转基因大豆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990"/>
      <w:r>
        <w:rPr>
          <w:rFonts w:ascii="仿宋" w:eastAsia="仿宋" w:hAnsi="仿宋" w:cs="仿宋" w:hint="eastAsia"/>
          <w:sz w:val="28"/>
          <w:lang w:eastAsia="zh-CN"/>
        </w:rPr>
        <w:t>(四)、抗阿特拉津等除草剂转基因大豆新品种项目意义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在实施抗阿特拉津等除草剂转基因大豆新品种项目的过程中，我们不仅仅是在追逐商业成功，更是为企业和社会的多个层面创造了深远的意义。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首要意义在于提升企业的市场竞争力。通过持续的创新和对产品质量的高标准要求，抗阿特拉津等除草剂转基因大豆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阿特拉津等除草剂转基因大豆新品种项目的推进将促使行业技术水平的提升。通过引入先进技术和创新性解决方案，抗阿特拉津等除草剂转基因大豆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阿特拉津等除草剂转基因大豆新品种项目不仅创造了大量就业机会，提高了就业水平，还注重社会责任和环保。通过参与社会公益事业和推动环保抗阿特拉津等除草剂转基因大豆新品种项目，抗阿特拉津等除草剂转基因大豆新品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综合而言，抗阿特拉津等除草剂转基因大豆新品种项目意义重大，不仅推动了企业的发展，也为行业和社会的进步贡献了积极力量。这是一个全面而深刻的影响，将在未来产生可持续的正面效应。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65"/>
      <w:r>
        <w:rPr>
          <w:rFonts w:ascii="仿宋" w:eastAsia="仿宋" w:hAnsi="仿宋" w:cs="仿宋" w:hint="eastAsia"/>
          <w:sz w:val="28"/>
          <w:lang w:eastAsia="zh-CN"/>
        </w:rPr>
        <w:t>(五)、抗阿特拉津等除草剂转基因大豆新品种项目背景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阿特拉津等除草剂转基因大豆新品种项目的动因根植于对多方面因素的审慎考量。这个抗阿特拉津等除草剂转基因大豆新品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阿特拉津等除草剂转基因大豆新品种项目背后的首要原因。科技的迅速发展和全球市场的快速变化使得企业必须灵活应对。抗阿特拉津等除草剂转基因大豆新品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阿特拉津等除草剂转基因大豆新品种项目背景中不可忽视的一环。企业需要在激烈竞争中脱颖而出，为此，抗阿特拉津等除草剂转基因大豆新品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技术的迅速发展为企业带来了机遇与挑战。作为抗阿特拉津等除草剂转基因大豆新品种项目启动的背景之一，对新兴技术的应用将有助于提升企业的技术水平，使其在不断演进的商业环境中保持竞争优势。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阿特拉津等除草剂转基因大豆新品种项目充分融入了社会责任的理念，通过可持续经营和社会公益抗阿特拉津等除草剂转基因大豆新品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280"/>
      <w:r>
        <w:rPr>
          <w:rFonts w:ascii="仿宋" w:eastAsia="仿宋" w:hAnsi="仿宋" w:cs="仿宋" w:hint="eastAsia"/>
          <w:sz w:val="28"/>
          <w:lang w:eastAsia="zh-CN"/>
        </w:rPr>
        <w:t>二、抗阿特拉津等除草剂转基因大豆新品种项目绩效评估</w:t>
      </w:r>
      <w:bookmarkEnd w:id="8"/>
    </w:p>
    <w:p>
      <w:pPr>
        <w:pStyle w:val="Heading2"/>
        <w:rPr>
          <w:rFonts w:ascii="仿宋" w:eastAsia="仿宋" w:hAnsi="仿宋" w:cs="仿宋" w:hint="eastAsia"/>
          <w:lang w:eastAsia="zh-CN"/>
        </w:rPr>
      </w:pPr>
      <w:bookmarkStart w:id="9" w:name="_Toc307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项目中，我们设计了一套全面的绩效评估指标，以确保抗阿特拉津等除草剂转基因大豆新品种项目的可控和成功交付。这些指标跨足抗阿特拉津等除草剂转基因大豆新品种项目目标、成本、进度和质量等多个维度，为我们提供了全面洞察抗阿特拉津等除草剂转基因大豆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目标达成率是我们关注的首要指标。我们设定了明确的目标，并通过定期监测和评估，迅速发现并应对潜在的目标偏差。这为抗阿特拉津等除草剂转基因大豆新品种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成本绩效是另一个核心关注点。通过实际成本与预算成本的对比分析，我们深入了解成本差异的原因，及时调整资源分配，保持抗阿特拉津等除草剂转基因大豆新品种项目在经济效益方面的合理水平。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进度作为关键的绩效指标之一，得到了精心的关注。我们制定了详细的抗阿特拉津等除草剂转基因大豆新品种项目进度计划，并设立了进度符合度指标，确保实际进度与计划进度保持一致。这使我们能够快速发现和解决潜在的进度问题，保持抗阿特拉津等除草剂转基因大豆新品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阿特拉津等除草剂转基因大豆新品种项目绩效的不可或缺的一环。我们引入了一系列的质量标准和客户满意度指标，以确保抗阿特拉津等除草剂转基因大豆新品种项目交付的成果在质量上达到或超越预期水平。通过持续监测这些指标，我们努力提升抗阿特拉津等除草剂转基因大豆新品种项目整体质量水平，为抗阿特拉津等除草剂转基因大豆新品种项目的成功交付提供有力保障。通过这些科学且全面的绩效评估，我们能够更好地引导抗阿特拉津等除草剂转基因大豆新品种项目的持续改进，确保抗阿特拉津等除草剂转基因大豆新品种项目目标的顺利达成。</w:t>
      </w:r>
    </w:p>
    <w:p>
      <w:pPr>
        <w:pStyle w:val="Heading2"/>
        <w:ind w:firstLine="560" w:firstLineChars="200"/>
        <w:rPr>
          <w:rFonts w:ascii="仿宋" w:eastAsia="仿宋" w:hAnsi="仿宋" w:cs="仿宋" w:hint="eastAsia"/>
          <w:sz w:val="28"/>
          <w:lang w:eastAsia="zh-CN"/>
        </w:rPr>
      </w:pPr>
      <w:bookmarkStart w:id="10" w:name="_Toc272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绩效评估是抗阿特拉津等除草剂转基因大豆新品种项目中的关键环节，为确保抗阿特拉津等除草剂转基因大豆新品种项目达到预期目标，我们采用了多层次、多维度的绩效评估方法。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阿特拉津等除草剂转基因大豆新品种项目的战略目标对齐，确保每个决策和行动都与抗阿特拉津等除草剂转基因大豆新品种项目整体目标保持一致。团队会定期召开战略对齐会议，审视当前工作与抗阿特拉津等除草剂转基因大豆新品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阿特拉津等除草剂转基因大豆新品种项目进度、质量、成本和风险等方面。这些指标通过数据收集和分析，为抗阿特拉津等除草剂转基因大豆新品种项目管理团队提供了客观的评估依据。例如，我们通过抗阿特拉津等除草剂转基因大豆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阿特拉津等除草剂转基因大豆新品种项目内部，还考虑了抗阿特拉津等除草剂转基因大豆新品种项目对外部环境的影响。我们定期进行干系人满意度调查，以了解各利益相关方对抗阿特拉津等除草剂转基因大豆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阿特拉津等除草剂转基因大豆新品种项目的运行状态，及时做出调整，确保抗阿特拉津等除草剂转基因大豆新品种项目在不断变化的环境中保持稳健前行。</w:t>
      </w:r>
    </w:p>
    <w:p>
      <w:pPr>
        <w:pStyle w:val="Heading2"/>
        <w:ind w:firstLine="560" w:firstLineChars="200"/>
        <w:rPr>
          <w:rFonts w:ascii="仿宋" w:eastAsia="仿宋" w:hAnsi="仿宋" w:cs="仿宋" w:hint="eastAsia"/>
          <w:sz w:val="28"/>
          <w:lang w:eastAsia="zh-CN"/>
        </w:rPr>
      </w:pPr>
      <w:bookmarkStart w:id="11" w:name="_Toc263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阿特拉津等除草剂转基因大豆新品种项目的有效管理和不断优化，我们采用了精心设计的绩效评估周期。这个周期旨在实现灵活、实时和全面的评估，以适应抗阿特拉津等除草剂转基因大豆新品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阿特拉津等除草剂转基因大豆新品种项目的不同需求，分为短期、中期和长期。短期评估关注每个迭代或工作周期，以及时发现和解决当前任务中的问题。中期评估涵盖几个迭代，深入了解整体抗阿特拉津等除草剂转基因大豆新品种项目的趋势和性能。长期评估则着眼于整个抗阿特拉津等除草剂转基因大豆新品种项目阶段，确保抗阿特拉津等除草剂转基因大豆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阿特拉津等除草剂转基因大豆新品种项目管理工具和协作平台，团队成员能够随时更新和分享抗阿特拉津等除草剂转基因大豆新品种项目数据。这种实时性的反馈机制使我们能够及时察觉潜在问题，快速调整，保持抗阿特拉津等除草剂转基因大豆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阿特拉津等除草剂转基因大豆新品种项目的决策制定密不可分。每个周期的抗阿特拉津等除草剂转基因大豆新品种项目回顾会议成为集体总结经验、识别问题深层次原因并找到创新解决方案的平台。这种定期的反思与调整机制使抗阿特拉津等除草剂转基因大豆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023"/>
      <w:r>
        <w:rPr>
          <w:rFonts w:ascii="仿宋" w:eastAsia="仿宋" w:hAnsi="仿宋" w:cs="仿宋" w:hint="eastAsia"/>
          <w:sz w:val="28"/>
          <w:lang w:eastAsia="zh-CN"/>
        </w:rPr>
        <w:t>三、抗阿特拉津等除草剂转基因大豆新品种项目土建工程</w:t>
      </w:r>
      <w:bookmarkEnd w:id="12"/>
    </w:p>
    <w:p>
      <w:pPr>
        <w:pStyle w:val="Heading2"/>
        <w:rPr>
          <w:rFonts w:ascii="仿宋" w:eastAsia="仿宋" w:hAnsi="仿宋" w:cs="仿宋" w:hint="eastAsia"/>
          <w:lang w:eastAsia="zh-CN"/>
        </w:rPr>
      </w:pPr>
      <w:bookmarkStart w:id="13" w:name="_Toc230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在抗阿特拉津等除草剂转基因大豆新品种项目的建筑工程设计中，我们将秉承一系列重要的设计原则，以确保抗阿特拉津等除草剂转基因大豆新品种项目建筑在功能、美观、可持续性等方面达到最佳效果。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首要原则是确保建筑的功能性得到最大化的发挥。我们将充分理解抗阿特拉津等除草剂转基因大豆新品种项目的实际需求，合理布局各个功能区域，保证建筑在满足业务需求的同时，提供高效的工作环境。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在建筑设计中，我们将综合考虑建设和运营成本。通过精细的经济效益分析，确保设计方案在高效利用资源的同时，对抗阿特拉津等除草剂转基因大豆新品种项目的长期盈利能力有积极的贡献。</w:t>
      </w:r>
    </w:p>
    <w:p>
      <w:pPr>
        <w:pStyle w:val="Heading2"/>
        <w:ind w:firstLine="560" w:firstLineChars="200"/>
        <w:rPr>
          <w:rFonts w:ascii="仿宋" w:eastAsia="仿宋" w:hAnsi="仿宋" w:cs="仿宋" w:hint="eastAsia"/>
          <w:sz w:val="28"/>
          <w:lang w:eastAsia="zh-CN"/>
        </w:rPr>
      </w:pPr>
      <w:bookmarkStart w:id="14" w:name="_Toc159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项目的土建工程设计中，我们将精准设定设计年限，结合抗阿特拉津等除草剂转基因大豆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https://d.book118.com/308106117053006041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E1C67"/>
    <w:rsid w:val="32CE1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0611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2024-02-24T15:04:00Z</dcterms:created>
  <dcterms:modified xsi:type="dcterms:W3CDTF">2024-02-24T15:04:20Z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F60AEEE98FC8435AB491AD9A12064B47_11</vt:lpwstr>
  </property>
  <property fmtid="{D5CDD505-2E9C-101B-9397-08002B2CF9AE}" pid="3" name="KSOProductBuildVer">
    <vt:lpwstr>2052-12.1.0.16388</vt:lpwstr>
  </property>
</Properties>
</file>