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稳相微波射频同轴电缆项目规划设计方案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3" w:history="1">
        <w:r>
          <w:rPr>
            <w:rFonts w:ascii="仿宋" w:eastAsia="仿宋" w:hAnsi="仿宋" w:cs="仿宋" w:hint="eastAsia"/>
            <w:lang w:eastAsia="zh-CN"/>
          </w:rPr>
          <w:t>概论</w:t>
        </w:r>
        <w:r>
          <w:tab/>
        </w:r>
        <w:r>
          <w:fldChar w:fldCharType="begin"/>
        </w:r>
        <w:r>
          <w:instrText xml:space="preserve"> PAGEREF _Toc313 \h </w:instrText>
        </w:r>
        <w:r>
          <w:fldChar w:fldCharType="separate"/>
        </w:r>
        <w:r>
          <w:t>3</w:t>
        </w:r>
        <w:r>
          <w:fldChar w:fldCharType="end"/>
        </w:r>
      </w:hyperlink>
    </w:p>
    <w:p>
      <w:pPr>
        <w:pStyle w:val="TOC1"/>
        <w:tabs>
          <w:tab w:val="right" w:leader="dot" w:pos="8306"/>
        </w:tabs>
      </w:pPr>
      <w:hyperlink w:anchor="_Toc2796" w:history="1">
        <w:r>
          <w:rPr>
            <w:rFonts w:ascii="仿宋" w:eastAsia="仿宋" w:hAnsi="仿宋" w:cs="仿宋" w:hint="eastAsia"/>
            <w:lang w:eastAsia="zh-CN"/>
          </w:rPr>
          <w:t>一、稳相微波射频同轴电缆项目绩效评估</w:t>
        </w:r>
        <w:r>
          <w:tab/>
        </w:r>
        <w:r>
          <w:fldChar w:fldCharType="begin"/>
        </w:r>
        <w:r>
          <w:instrText xml:space="preserve"> PAGEREF _Toc2796 \h </w:instrText>
        </w:r>
        <w:r>
          <w:fldChar w:fldCharType="separate"/>
        </w:r>
        <w:r>
          <w:t>3</w:t>
        </w:r>
        <w:r>
          <w:fldChar w:fldCharType="end"/>
        </w:r>
      </w:hyperlink>
    </w:p>
    <w:p>
      <w:pPr>
        <w:pStyle w:val="TOC2"/>
        <w:tabs>
          <w:tab w:val="right" w:leader="dot" w:pos="8306"/>
        </w:tabs>
      </w:pPr>
      <w:hyperlink w:anchor="_Toc25532" w:history="1">
        <w:r>
          <w:rPr>
            <w:rFonts w:ascii="仿宋" w:eastAsia="仿宋" w:hAnsi="仿宋" w:cs="仿宋" w:hint="eastAsia"/>
            <w:lang w:eastAsia="zh-CN"/>
          </w:rPr>
          <w:t>(一)、绩效评估指标</w:t>
        </w:r>
        <w:r>
          <w:tab/>
        </w:r>
        <w:r>
          <w:fldChar w:fldCharType="begin"/>
        </w:r>
        <w:r>
          <w:instrText xml:space="preserve"> PAGEREF _Toc25532 \h </w:instrText>
        </w:r>
        <w:r>
          <w:fldChar w:fldCharType="separate"/>
        </w:r>
        <w:r>
          <w:t>3</w:t>
        </w:r>
        <w:r>
          <w:fldChar w:fldCharType="end"/>
        </w:r>
      </w:hyperlink>
    </w:p>
    <w:p>
      <w:pPr>
        <w:pStyle w:val="TOC2"/>
        <w:tabs>
          <w:tab w:val="right" w:leader="dot" w:pos="8306"/>
        </w:tabs>
      </w:pPr>
      <w:hyperlink w:anchor="_Toc7364" w:history="1">
        <w:r>
          <w:rPr>
            <w:rFonts w:ascii="仿宋" w:eastAsia="仿宋" w:hAnsi="仿宋" w:cs="仿宋" w:hint="eastAsia"/>
            <w:lang w:eastAsia="zh-CN"/>
          </w:rPr>
          <w:t>(二)、绩效评估方法</w:t>
        </w:r>
        <w:r>
          <w:tab/>
        </w:r>
        <w:r>
          <w:fldChar w:fldCharType="begin"/>
        </w:r>
        <w:r>
          <w:instrText xml:space="preserve"> PAGEREF _Toc7364 \h </w:instrText>
        </w:r>
        <w:r>
          <w:fldChar w:fldCharType="separate"/>
        </w:r>
        <w:r>
          <w:t>4</w:t>
        </w:r>
        <w:r>
          <w:fldChar w:fldCharType="end"/>
        </w:r>
      </w:hyperlink>
    </w:p>
    <w:p>
      <w:pPr>
        <w:pStyle w:val="TOC2"/>
        <w:tabs>
          <w:tab w:val="right" w:leader="dot" w:pos="8306"/>
        </w:tabs>
      </w:pPr>
      <w:hyperlink w:anchor="_Toc30640" w:history="1">
        <w:r>
          <w:rPr>
            <w:rFonts w:ascii="仿宋" w:eastAsia="仿宋" w:hAnsi="仿宋" w:cs="仿宋" w:hint="eastAsia"/>
            <w:lang w:eastAsia="zh-CN"/>
          </w:rPr>
          <w:t>(三)、绩效评估周期</w:t>
        </w:r>
        <w:r>
          <w:tab/>
        </w:r>
        <w:r>
          <w:fldChar w:fldCharType="begin"/>
        </w:r>
        <w:r>
          <w:instrText xml:space="preserve"> PAGEREF _Toc30640 \h </w:instrText>
        </w:r>
        <w:r>
          <w:fldChar w:fldCharType="separate"/>
        </w:r>
        <w:r>
          <w:t>5</w:t>
        </w:r>
        <w:r>
          <w:fldChar w:fldCharType="end"/>
        </w:r>
      </w:hyperlink>
    </w:p>
    <w:p>
      <w:pPr>
        <w:pStyle w:val="TOC1"/>
        <w:tabs>
          <w:tab w:val="right" w:leader="dot" w:pos="8306"/>
        </w:tabs>
      </w:pPr>
      <w:hyperlink w:anchor="_Toc9104" w:history="1">
        <w:r>
          <w:rPr>
            <w:rFonts w:ascii="仿宋" w:eastAsia="仿宋" w:hAnsi="仿宋" w:cs="仿宋" w:hint="eastAsia"/>
            <w:lang w:eastAsia="zh-CN"/>
          </w:rPr>
          <w:t>二、稳相微波射频同轴电缆项目可持续发展</w:t>
        </w:r>
        <w:r>
          <w:tab/>
        </w:r>
        <w:r>
          <w:fldChar w:fldCharType="begin"/>
        </w:r>
        <w:r>
          <w:instrText xml:space="preserve"> PAGEREF _Toc9104 \h </w:instrText>
        </w:r>
        <w:r>
          <w:fldChar w:fldCharType="separate"/>
        </w:r>
        <w:r>
          <w:t>6</w:t>
        </w:r>
        <w:r>
          <w:fldChar w:fldCharType="end"/>
        </w:r>
      </w:hyperlink>
    </w:p>
    <w:p>
      <w:pPr>
        <w:pStyle w:val="TOC2"/>
        <w:tabs>
          <w:tab w:val="right" w:leader="dot" w:pos="8306"/>
        </w:tabs>
      </w:pPr>
      <w:hyperlink w:anchor="_Toc15859" w:history="1">
        <w:r>
          <w:rPr>
            <w:rFonts w:ascii="仿宋" w:eastAsia="仿宋" w:hAnsi="仿宋" w:cs="仿宋" w:hint="eastAsia"/>
            <w:lang w:eastAsia="zh-CN"/>
          </w:rPr>
          <w:t>(一)、可持续战略与实践</w:t>
        </w:r>
        <w:r>
          <w:tab/>
        </w:r>
        <w:r>
          <w:fldChar w:fldCharType="begin"/>
        </w:r>
        <w:r>
          <w:instrText xml:space="preserve"> PAGEREF _Toc15859 \h </w:instrText>
        </w:r>
        <w:r>
          <w:fldChar w:fldCharType="separate"/>
        </w:r>
        <w:r>
          <w:t>6</w:t>
        </w:r>
        <w:r>
          <w:fldChar w:fldCharType="end"/>
        </w:r>
      </w:hyperlink>
    </w:p>
    <w:p>
      <w:pPr>
        <w:pStyle w:val="TOC2"/>
        <w:tabs>
          <w:tab w:val="right" w:leader="dot" w:pos="8306"/>
        </w:tabs>
      </w:pPr>
      <w:hyperlink w:anchor="_Toc22769" w:history="1">
        <w:r>
          <w:rPr>
            <w:rFonts w:ascii="仿宋" w:eastAsia="仿宋" w:hAnsi="仿宋" w:cs="仿宋" w:hint="eastAsia"/>
            <w:lang w:eastAsia="zh-CN"/>
          </w:rPr>
          <w:t>(二)、环保与社会责任</w:t>
        </w:r>
        <w:r>
          <w:tab/>
        </w:r>
        <w:r>
          <w:fldChar w:fldCharType="begin"/>
        </w:r>
        <w:r>
          <w:instrText xml:space="preserve"> PAGEREF _Toc22769 \h </w:instrText>
        </w:r>
        <w:r>
          <w:fldChar w:fldCharType="separate"/>
        </w:r>
        <w:r>
          <w:t>7</w:t>
        </w:r>
        <w:r>
          <w:fldChar w:fldCharType="end"/>
        </w:r>
      </w:hyperlink>
    </w:p>
    <w:p>
      <w:pPr>
        <w:pStyle w:val="TOC1"/>
        <w:tabs>
          <w:tab w:val="right" w:leader="dot" w:pos="8306"/>
        </w:tabs>
      </w:pPr>
      <w:hyperlink w:anchor="_Toc15605" w:history="1">
        <w:r>
          <w:rPr>
            <w:rFonts w:ascii="仿宋" w:eastAsia="仿宋" w:hAnsi="仿宋" w:cs="仿宋" w:hint="eastAsia"/>
            <w:lang w:eastAsia="zh-CN"/>
          </w:rPr>
          <w:t>三、稳相微波射频同轴电缆项目建设单位说明</w:t>
        </w:r>
        <w:r>
          <w:tab/>
        </w:r>
        <w:r>
          <w:fldChar w:fldCharType="begin"/>
        </w:r>
        <w:r>
          <w:instrText xml:space="preserve"> PAGEREF _Toc15605 \h </w:instrText>
        </w:r>
        <w:r>
          <w:fldChar w:fldCharType="separate"/>
        </w:r>
        <w:r>
          <w:t>8</w:t>
        </w:r>
        <w:r>
          <w:fldChar w:fldCharType="end"/>
        </w:r>
      </w:hyperlink>
    </w:p>
    <w:p>
      <w:pPr>
        <w:pStyle w:val="TOC2"/>
        <w:tabs>
          <w:tab w:val="right" w:leader="dot" w:pos="8306"/>
        </w:tabs>
      </w:pPr>
      <w:hyperlink w:anchor="_Toc22432" w:history="1">
        <w:r>
          <w:rPr>
            <w:rFonts w:ascii="仿宋" w:eastAsia="仿宋" w:hAnsi="仿宋" w:cs="仿宋" w:hint="eastAsia"/>
            <w:lang w:eastAsia="zh-CN"/>
          </w:rPr>
          <w:t>(一)、稳相微波射频同轴电缆项目承办单位基本情况</w:t>
        </w:r>
        <w:r>
          <w:tab/>
        </w:r>
        <w:r>
          <w:fldChar w:fldCharType="begin"/>
        </w:r>
        <w:r>
          <w:instrText xml:space="preserve"> PAGEREF _Toc22432 \h </w:instrText>
        </w:r>
        <w:r>
          <w:fldChar w:fldCharType="separate"/>
        </w:r>
        <w:r>
          <w:t>8</w:t>
        </w:r>
        <w:r>
          <w:fldChar w:fldCharType="end"/>
        </w:r>
      </w:hyperlink>
    </w:p>
    <w:p>
      <w:pPr>
        <w:pStyle w:val="TOC2"/>
        <w:tabs>
          <w:tab w:val="right" w:leader="dot" w:pos="8306"/>
        </w:tabs>
      </w:pPr>
      <w:hyperlink w:anchor="_Toc17002" w:history="1">
        <w:r>
          <w:rPr>
            <w:rFonts w:ascii="仿宋" w:eastAsia="仿宋" w:hAnsi="仿宋" w:cs="仿宋" w:hint="eastAsia"/>
            <w:lang w:eastAsia="zh-CN"/>
          </w:rPr>
          <w:t>(二)、公司经济效益分析</w:t>
        </w:r>
        <w:r>
          <w:tab/>
        </w:r>
        <w:r>
          <w:fldChar w:fldCharType="begin"/>
        </w:r>
        <w:r>
          <w:instrText xml:space="preserve"> PAGEREF _Toc17002 \h </w:instrText>
        </w:r>
        <w:r>
          <w:fldChar w:fldCharType="separate"/>
        </w:r>
        <w:r>
          <w:t>9</w:t>
        </w:r>
        <w:r>
          <w:fldChar w:fldCharType="end"/>
        </w:r>
      </w:hyperlink>
    </w:p>
    <w:p>
      <w:pPr>
        <w:pStyle w:val="TOC1"/>
        <w:tabs>
          <w:tab w:val="right" w:leader="dot" w:pos="8306"/>
        </w:tabs>
      </w:pPr>
      <w:hyperlink w:anchor="_Toc25820" w:history="1">
        <w:r>
          <w:rPr>
            <w:rFonts w:ascii="仿宋" w:eastAsia="仿宋" w:hAnsi="仿宋" w:cs="仿宋" w:hint="eastAsia"/>
            <w:lang w:eastAsia="zh-CN"/>
          </w:rPr>
          <w:t>四、稳相微波射频同轴电缆项目土建工程</w:t>
        </w:r>
        <w:r>
          <w:tab/>
        </w:r>
        <w:r>
          <w:fldChar w:fldCharType="begin"/>
        </w:r>
        <w:r>
          <w:instrText xml:space="preserve"> PAGEREF _Toc25820 \h </w:instrText>
        </w:r>
        <w:r>
          <w:fldChar w:fldCharType="separate"/>
        </w:r>
        <w:r>
          <w:t>10</w:t>
        </w:r>
        <w:r>
          <w:fldChar w:fldCharType="end"/>
        </w:r>
      </w:hyperlink>
    </w:p>
    <w:p>
      <w:pPr>
        <w:pStyle w:val="TOC2"/>
        <w:tabs>
          <w:tab w:val="right" w:leader="dot" w:pos="8306"/>
        </w:tabs>
      </w:pPr>
      <w:hyperlink w:anchor="_Toc23431" w:history="1">
        <w:r>
          <w:rPr>
            <w:rFonts w:ascii="仿宋" w:eastAsia="仿宋" w:hAnsi="仿宋" w:cs="仿宋" w:hint="eastAsia"/>
            <w:lang w:eastAsia="zh-CN"/>
          </w:rPr>
          <w:t>(一)、建筑工程设计原则</w:t>
        </w:r>
        <w:r>
          <w:tab/>
        </w:r>
        <w:r>
          <w:fldChar w:fldCharType="begin"/>
        </w:r>
        <w:r>
          <w:instrText xml:space="preserve"> PAGEREF _Toc23431 \h </w:instrText>
        </w:r>
        <w:r>
          <w:fldChar w:fldCharType="separate"/>
        </w:r>
        <w:r>
          <w:t>10</w:t>
        </w:r>
        <w:r>
          <w:fldChar w:fldCharType="end"/>
        </w:r>
      </w:hyperlink>
    </w:p>
    <w:p>
      <w:pPr>
        <w:pStyle w:val="TOC2"/>
        <w:tabs>
          <w:tab w:val="right" w:leader="dot" w:pos="8306"/>
        </w:tabs>
      </w:pPr>
      <w:hyperlink w:anchor="_Toc2605" w:history="1">
        <w:r>
          <w:rPr>
            <w:rFonts w:ascii="仿宋" w:eastAsia="仿宋" w:hAnsi="仿宋" w:cs="仿宋" w:hint="eastAsia"/>
            <w:lang w:eastAsia="zh-CN"/>
          </w:rPr>
          <w:t>(二)、土建工程设计年限及安全等级</w:t>
        </w:r>
        <w:r>
          <w:tab/>
        </w:r>
        <w:r>
          <w:fldChar w:fldCharType="begin"/>
        </w:r>
        <w:r>
          <w:instrText xml:space="preserve"> PAGEREF _Toc2605 \h </w:instrText>
        </w:r>
        <w:r>
          <w:fldChar w:fldCharType="separate"/>
        </w:r>
        <w:r>
          <w:t>11</w:t>
        </w:r>
        <w:r>
          <w:fldChar w:fldCharType="end"/>
        </w:r>
      </w:hyperlink>
    </w:p>
    <w:p>
      <w:pPr>
        <w:pStyle w:val="TOC2"/>
        <w:tabs>
          <w:tab w:val="right" w:leader="dot" w:pos="8306"/>
        </w:tabs>
      </w:pPr>
      <w:hyperlink w:anchor="_Toc58" w:history="1">
        <w:r>
          <w:rPr>
            <w:rFonts w:ascii="仿宋" w:eastAsia="仿宋" w:hAnsi="仿宋" w:cs="仿宋" w:hint="eastAsia"/>
            <w:lang w:eastAsia="zh-CN"/>
          </w:rPr>
          <w:t>(三)、建筑工程设计总体要求</w:t>
        </w:r>
        <w:r>
          <w:tab/>
        </w:r>
        <w:r>
          <w:fldChar w:fldCharType="begin"/>
        </w:r>
        <w:r>
          <w:instrText xml:space="preserve"> PAGEREF _Toc58 \h </w:instrText>
        </w:r>
        <w:r>
          <w:fldChar w:fldCharType="separate"/>
        </w:r>
        <w:r>
          <w:t>12</w:t>
        </w:r>
        <w:r>
          <w:fldChar w:fldCharType="end"/>
        </w:r>
      </w:hyperlink>
    </w:p>
    <w:p>
      <w:pPr>
        <w:pStyle w:val="TOC2"/>
        <w:tabs>
          <w:tab w:val="right" w:leader="dot" w:pos="8306"/>
        </w:tabs>
      </w:pPr>
      <w:hyperlink w:anchor="_Toc10823" w:history="1">
        <w:r>
          <w:rPr>
            <w:rFonts w:ascii="仿宋" w:eastAsia="仿宋" w:hAnsi="仿宋" w:cs="仿宋" w:hint="eastAsia"/>
            <w:lang w:eastAsia="zh-CN"/>
          </w:rPr>
          <w:t>(四)、土建工程建设指标</w:t>
        </w:r>
        <w:r>
          <w:tab/>
        </w:r>
        <w:r>
          <w:fldChar w:fldCharType="begin"/>
        </w:r>
        <w:r>
          <w:instrText xml:space="preserve"> PAGEREF _Toc10823 \h </w:instrText>
        </w:r>
        <w:r>
          <w:fldChar w:fldCharType="separate"/>
        </w:r>
        <w:r>
          <w:t>13</w:t>
        </w:r>
        <w:r>
          <w:fldChar w:fldCharType="end"/>
        </w:r>
      </w:hyperlink>
    </w:p>
    <w:p>
      <w:pPr>
        <w:pStyle w:val="TOC1"/>
        <w:tabs>
          <w:tab w:val="right" w:leader="dot" w:pos="8306"/>
        </w:tabs>
      </w:pPr>
      <w:hyperlink w:anchor="_Toc4341" w:history="1">
        <w:r>
          <w:rPr>
            <w:rFonts w:ascii="仿宋" w:eastAsia="仿宋" w:hAnsi="仿宋" w:cs="仿宋" w:hint="eastAsia"/>
            <w:lang w:eastAsia="zh-CN"/>
          </w:rPr>
          <w:t>五、市场分析、调研</w:t>
        </w:r>
        <w:r>
          <w:tab/>
        </w:r>
        <w:r>
          <w:fldChar w:fldCharType="begin"/>
        </w:r>
        <w:r>
          <w:instrText xml:space="preserve"> PAGEREF _Toc4341 \h </w:instrText>
        </w:r>
        <w:r>
          <w:fldChar w:fldCharType="separate"/>
        </w:r>
        <w:r>
          <w:t>13</w:t>
        </w:r>
        <w:r>
          <w:fldChar w:fldCharType="end"/>
        </w:r>
      </w:hyperlink>
    </w:p>
    <w:p>
      <w:pPr>
        <w:pStyle w:val="TOC2"/>
        <w:tabs>
          <w:tab w:val="right" w:leader="dot" w:pos="8306"/>
        </w:tabs>
      </w:pPr>
      <w:hyperlink w:anchor="_Toc21019" w:history="1">
        <w:r>
          <w:rPr>
            <w:rFonts w:ascii="仿宋" w:eastAsia="仿宋" w:hAnsi="仿宋" w:cs="仿宋" w:hint="eastAsia"/>
            <w:lang w:eastAsia="zh-CN"/>
          </w:rPr>
          <w:t>(一)、稳相微波射频同轴电缆行业分析</w:t>
        </w:r>
        <w:r>
          <w:tab/>
        </w:r>
        <w:r>
          <w:fldChar w:fldCharType="begin"/>
        </w:r>
        <w:r>
          <w:instrText xml:space="preserve"> PAGEREF _Toc21019 \h </w:instrText>
        </w:r>
        <w:r>
          <w:fldChar w:fldCharType="separate"/>
        </w:r>
        <w:r>
          <w:t>13</w:t>
        </w:r>
        <w:r>
          <w:fldChar w:fldCharType="end"/>
        </w:r>
      </w:hyperlink>
    </w:p>
    <w:p>
      <w:pPr>
        <w:pStyle w:val="TOC2"/>
        <w:tabs>
          <w:tab w:val="right" w:leader="dot" w:pos="8306"/>
        </w:tabs>
      </w:pPr>
      <w:hyperlink w:anchor="_Toc1032" w:history="1">
        <w:r>
          <w:rPr>
            <w:rFonts w:ascii="仿宋" w:eastAsia="仿宋" w:hAnsi="仿宋" w:cs="仿宋" w:hint="eastAsia"/>
            <w:lang w:eastAsia="zh-CN"/>
          </w:rPr>
          <w:t>(二)、稳相微波射频同轴电缆市场分析预测</w:t>
        </w:r>
        <w:r>
          <w:tab/>
        </w:r>
        <w:r>
          <w:fldChar w:fldCharType="begin"/>
        </w:r>
        <w:r>
          <w:instrText xml:space="preserve"> PAGEREF _Toc1032 \h </w:instrText>
        </w:r>
        <w:r>
          <w:fldChar w:fldCharType="separate"/>
        </w:r>
        <w:r>
          <w:t>14</w:t>
        </w:r>
        <w:r>
          <w:fldChar w:fldCharType="end"/>
        </w:r>
      </w:hyperlink>
    </w:p>
    <w:p>
      <w:pPr>
        <w:pStyle w:val="TOC1"/>
        <w:tabs>
          <w:tab w:val="right" w:leader="dot" w:pos="8306"/>
        </w:tabs>
      </w:pPr>
      <w:hyperlink w:anchor="_Toc20309" w:history="1">
        <w:r>
          <w:rPr>
            <w:rFonts w:ascii="仿宋" w:eastAsia="仿宋" w:hAnsi="仿宋" w:cs="仿宋" w:hint="eastAsia"/>
            <w:lang w:eastAsia="zh-CN"/>
          </w:rPr>
          <w:t>六、稳相微波射频同轴电缆项目文档管理</w:t>
        </w:r>
        <w:r>
          <w:tab/>
        </w:r>
        <w:r>
          <w:fldChar w:fldCharType="begin"/>
        </w:r>
        <w:r>
          <w:instrText xml:space="preserve"> PAGEREF _Toc20309 \h </w:instrText>
        </w:r>
        <w:r>
          <w:fldChar w:fldCharType="separate"/>
        </w:r>
        <w:r>
          <w:t>15</w:t>
        </w:r>
        <w:r>
          <w:fldChar w:fldCharType="end"/>
        </w:r>
      </w:hyperlink>
    </w:p>
    <w:p>
      <w:pPr>
        <w:pStyle w:val="TOC2"/>
        <w:tabs>
          <w:tab w:val="right" w:leader="dot" w:pos="8306"/>
        </w:tabs>
      </w:pPr>
      <w:hyperlink w:anchor="_Toc18081" w:history="1">
        <w:r>
          <w:rPr>
            <w:rFonts w:ascii="仿宋" w:eastAsia="仿宋" w:hAnsi="仿宋" w:cs="仿宋" w:hint="eastAsia"/>
            <w:lang w:eastAsia="zh-CN"/>
          </w:rPr>
          <w:t>(一)、文档编制与审查</w:t>
        </w:r>
        <w:r>
          <w:tab/>
        </w:r>
        <w:r>
          <w:fldChar w:fldCharType="begin"/>
        </w:r>
        <w:r>
          <w:instrText xml:space="preserve"> PAGEREF _Toc18081 \h </w:instrText>
        </w:r>
        <w:r>
          <w:fldChar w:fldCharType="separate"/>
        </w:r>
        <w:r>
          <w:t>15</w:t>
        </w:r>
        <w:r>
          <w:fldChar w:fldCharType="end"/>
        </w:r>
      </w:hyperlink>
    </w:p>
    <w:p>
      <w:pPr>
        <w:pStyle w:val="TOC2"/>
        <w:tabs>
          <w:tab w:val="right" w:leader="dot" w:pos="8306"/>
        </w:tabs>
      </w:pPr>
      <w:hyperlink w:anchor="_Toc8148" w:history="1">
        <w:r>
          <w:rPr>
            <w:rFonts w:ascii="仿宋" w:eastAsia="仿宋" w:hAnsi="仿宋" w:cs="仿宋" w:hint="eastAsia"/>
            <w:lang w:eastAsia="zh-CN"/>
          </w:rPr>
          <w:t>(二)、文档发布与分发</w:t>
        </w:r>
        <w:r>
          <w:tab/>
        </w:r>
        <w:r>
          <w:fldChar w:fldCharType="begin"/>
        </w:r>
        <w:r>
          <w:instrText xml:space="preserve"> PAGEREF _Toc8148 \h </w:instrText>
        </w:r>
        <w:r>
          <w:fldChar w:fldCharType="separate"/>
        </w:r>
        <w:r>
          <w:t>16</w:t>
        </w:r>
        <w:r>
          <w:fldChar w:fldCharType="end"/>
        </w:r>
      </w:hyperlink>
    </w:p>
    <w:p>
      <w:pPr>
        <w:pStyle w:val="TOC2"/>
        <w:tabs>
          <w:tab w:val="right" w:leader="dot" w:pos="8306"/>
        </w:tabs>
      </w:pPr>
      <w:hyperlink w:anchor="_Toc14053" w:history="1">
        <w:r>
          <w:rPr>
            <w:rFonts w:ascii="仿宋" w:eastAsia="仿宋" w:hAnsi="仿宋" w:cs="仿宋" w:hint="eastAsia"/>
            <w:lang w:eastAsia="zh-CN"/>
          </w:rPr>
          <w:t>(三)、文档存档与归档</w:t>
        </w:r>
        <w:r>
          <w:tab/>
        </w:r>
        <w:r>
          <w:fldChar w:fldCharType="begin"/>
        </w:r>
        <w:r>
          <w:instrText xml:space="preserve"> PAGEREF _Toc14053 \h </w:instrText>
        </w:r>
        <w:r>
          <w:fldChar w:fldCharType="separate"/>
        </w:r>
        <w:r>
          <w:t>17</w:t>
        </w:r>
        <w:r>
          <w:fldChar w:fldCharType="end"/>
        </w:r>
      </w:hyperlink>
    </w:p>
    <w:p>
      <w:pPr>
        <w:pStyle w:val="TOC1"/>
        <w:tabs>
          <w:tab w:val="right" w:leader="dot" w:pos="8306"/>
        </w:tabs>
      </w:pPr>
      <w:hyperlink w:anchor="_Toc10724" w:history="1">
        <w:r>
          <w:rPr>
            <w:rFonts w:ascii="仿宋" w:eastAsia="仿宋" w:hAnsi="仿宋" w:cs="仿宋" w:hint="eastAsia"/>
            <w:lang w:eastAsia="zh-CN"/>
          </w:rPr>
          <w:t>七、稳相微波射频同轴电缆项目经营效益</w:t>
        </w:r>
        <w:r>
          <w:tab/>
        </w:r>
        <w:r>
          <w:fldChar w:fldCharType="begin"/>
        </w:r>
        <w:r>
          <w:instrText xml:space="preserve"> PAGEREF _Toc10724 \h </w:instrText>
        </w:r>
        <w:r>
          <w:fldChar w:fldCharType="separate"/>
        </w:r>
        <w:r>
          <w:t>19</w:t>
        </w:r>
        <w:r>
          <w:fldChar w:fldCharType="end"/>
        </w:r>
      </w:hyperlink>
    </w:p>
    <w:p>
      <w:pPr>
        <w:pStyle w:val="TOC2"/>
        <w:tabs>
          <w:tab w:val="right" w:leader="dot" w:pos="8306"/>
        </w:tabs>
      </w:pPr>
      <w:hyperlink w:anchor="_Toc1988" w:history="1">
        <w:r>
          <w:rPr>
            <w:rFonts w:ascii="仿宋" w:eastAsia="仿宋" w:hAnsi="仿宋" w:cs="仿宋" w:hint="eastAsia"/>
            <w:lang w:eastAsia="zh-CN"/>
          </w:rPr>
          <w:t>(一)、经济评价财务测算</w:t>
        </w:r>
        <w:r>
          <w:tab/>
        </w:r>
        <w:r>
          <w:fldChar w:fldCharType="begin"/>
        </w:r>
        <w:r>
          <w:instrText xml:space="preserve"> PAGEREF _Toc1988 \h </w:instrText>
        </w:r>
        <w:r>
          <w:fldChar w:fldCharType="separate"/>
        </w:r>
        <w:r>
          <w:t>19</w:t>
        </w:r>
        <w:r>
          <w:fldChar w:fldCharType="end"/>
        </w:r>
      </w:hyperlink>
    </w:p>
    <w:p>
      <w:pPr>
        <w:pStyle w:val="TOC2"/>
        <w:tabs>
          <w:tab w:val="right" w:leader="dot" w:pos="8306"/>
        </w:tabs>
      </w:pPr>
      <w:hyperlink w:anchor="_Toc27453" w:history="1">
        <w:r>
          <w:rPr>
            <w:rFonts w:ascii="仿宋" w:eastAsia="仿宋" w:hAnsi="仿宋" w:cs="仿宋" w:hint="eastAsia"/>
            <w:lang w:eastAsia="zh-CN"/>
          </w:rPr>
          <w:t>(二)、稳相微波射频同轴电缆项目盈利能力分析</w:t>
        </w:r>
        <w:r>
          <w:tab/>
        </w:r>
        <w:r>
          <w:fldChar w:fldCharType="begin"/>
        </w:r>
        <w:r>
          <w:instrText xml:space="preserve"> PAGEREF _Toc27453 \h </w:instrText>
        </w:r>
        <w:r>
          <w:fldChar w:fldCharType="separate"/>
        </w:r>
        <w:r>
          <w:t>20</w:t>
        </w:r>
        <w:r>
          <w:fldChar w:fldCharType="end"/>
        </w:r>
      </w:hyperlink>
    </w:p>
    <w:p>
      <w:pPr>
        <w:pStyle w:val="TOC1"/>
        <w:tabs>
          <w:tab w:val="right" w:leader="dot" w:pos="8306"/>
        </w:tabs>
      </w:pPr>
      <w:hyperlink w:anchor="_Toc9331" w:history="1">
        <w:r>
          <w:rPr>
            <w:rFonts w:ascii="仿宋" w:eastAsia="仿宋" w:hAnsi="仿宋" w:cs="仿宋" w:hint="eastAsia"/>
            <w:lang w:eastAsia="zh-CN"/>
          </w:rPr>
          <w:t>八、稳相微波射频同轴电缆项目风险管理</w:t>
        </w:r>
        <w:r>
          <w:tab/>
        </w:r>
        <w:r>
          <w:fldChar w:fldCharType="begin"/>
        </w:r>
        <w:r>
          <w:instrText xml:space="preserve"> PAGEREF _Toc9331 \h </w:instrText>
        </w:r>
        <w:r>
          <w:fldChar w:fldCharType="separate"/>
        </w:r>
        <w:r>
          <w:t>21</w:t>
        </w:r>
        <w:r>
          <w:fldChar w:fldCharType="end"/>
        </w:r>
      </w:hyperlink>
    </w:p>
    <w:p>
      <w:pPr>
        <w:pStyle w:val="TOC2"/>
        <w:tabs>
          <w:tab w:val="right" w:leader="dot" w:pos="8306"/>
        </w:tabs>
      </w:pPr>
      <w:hyperlink w:anchor="_Toc32028" w:history="1">
        <w:r>
          <w:rPr>
            <w:rFonts w:ascii="仿宋" w:eastAsia="仿宋" w:hAnsi="仿宋" w:cs="仿宋" w:hint="eastAsia"/>
            <w:lang w:eastAsia="zh-CN"/>
          </w:rPr>
          <w:t>(一)、风险识别与评估</w:t>
        </w:r>
        <w:r>
          <w:tab/>
        </w:r>
        <w:r>
          <w:fldChar w:fldCharType="begin"/>
        </w:r>
        <w:r>
          <w:instrText xml:space="preserve"> PAGEREF _Toc32028 \h </w:instrText>
        </w:r>
        <w:r>
          <w:fldChar w:fldCharType="separate"/>
        </w:r>
        <w:r>
          <w:t>21</w:t>
        </w:r>
        <w:r>
          <w:fldChar w:fldCharType="end"/>
        </w:r>
      </w:hyperlink>
    </w:p>
    <w:p>
      <w:pPr>
        <w:pStyle w:val="TOC2"/>
        <w:tabs>
          <w:tab w:val="right" w:leader="dot" w:pos="8306"/>
        </w:tabs>
      </w:pPr>
      <w:hyperlink w:anchor="_Toc6322" w:history="1">
        <w:r>
          <w:rPr>
            <w:rFonts w:ascii="仿宋" w:eastAsia="仿宋" w:hAnsi="仿宋" w:cs="仿宋" w:hint="eastAsia"/>
            <w:lang w:eastAsia="zh-CN"/>
          </w:rPr>
          <w:t>(二)、风险应对策略</w:t>
        </w:r>
        <w:r>
          <w:tab/>
        </w:r>
        <w:r>
          <w:fldChar w:fldCharType="begin"/>
        </w:r>
        <w:r>
          <w:instrText xml:space="preserve"> PAGEREF _Toc6322 \h </w:instrText>
        </w:r>
        <w:r>
          <w:fldChar w:fldCharType="separate"/>
        </w:r>
        <w:r>
          <w:t>22</w:t>
        </w:r>
        <w:r>
          <w:fldChar w:fldCharType="end"/>
        </w:r>
      </w:hyperlink>
    </w:p>
    <w:p>
      <w:pPr>
        <w:pStyle w:val="TOC2"/>
        <w:tabs>
          <w:tab w:val="right" w:leader="dot" w:pos="8306"/>
        </w:tabs>
      </w:pPr>
      <w:hyperlink w:anchor="_Toc32234" w:history="1">
        <w:r>
          <w:rPr>
            <w:rFonts w:ascii="仿宋" w:eastAsia="仿宋" w:hAnsi="仿宋" w:cs="仿宋" w:hint="eastAsia"/>
            <w:lang w:eastAsia="zh-CN"/>
          </w:rPr>
          <w:t>(三)、风险监控与控制</w:t>
        </w:r>
        <w:r>
          <w:tab/>
        </w:r>
        <w:r>
          <w:fldChar w:fldCharType="begin"/>
        </w:r>
        <w:r>
          <w:instrText xml:space="preserve"> PAGEREF _Toc32234 \h </w:instrText>
        </w:r>
        <w:r>
          <w:fldChar w:fldCharType="separate"/>
        </w:r>
        <w:r>
          <w:t>24</w:t>
        </w:r>
        <w:r>
          <w:fldChar w:fldCharType="end"/>
        </w:r>
      </w:hyperlink>
    </w:p>
    <w:p>
      <w:pPr>
        <w:pStyle w:val="TOC1"/>
        <w:tabs>
          <w:tab w:val="right" w:leader="dot" w:pos="8306"/>
        </w:tabs>
      </w:pPr>
      <w:hyperlink w:anchor="_Toc27721" w:history="1">
        <w:r>
          <w:rPr>
            <w:rFonts w:ascii="仿宋" w:eastAsia="仿宋" w:hAnsi="仿宋" w:cs="仿宋" w:hint="eastAsia"/>
            <w:lang w:eastAsia="zh-CN"/>
          </w:rPr>
          <w:t>九、稳相微波射频同轴电缆项目社会影响</w:t>
        </w:r>
        <w:r>
          <w:tab/>
        </w:r>
        <w:r>
          <w:fldChar w:fldCharType="begin"/>
        </w:r>
        <w:r>
          <w:instrText xml:space="preserve"> PAGEREF _Toc27721 \h </w:instrText>
        </w:r>
        <w:r>
          <w:fldChar w:fldCharType="separate"/>
        </w:r>
        <w:r>
          <w:t>25</w:t>
        </w:r>
        <w:r>
          <w:fldChar w:fldCharType="end"/>
        </w:r>
      </w:hyperlink>
    </w:p>
    <w:p>
      <w:pPr>
        <w:pStyle w:val="TOC2"/>
        <w:tabs>
          <w:tab w:val="right" w:leader="dot" w:pos="8306"/>
        </w:tabs>
      </w:pPr>
      <w:hyperlink w:anchor="_Toc13640" w:history="1">
        <w:r>
          <w:rPr>
            <w:rFonts w:ascii="仿宋" w:eastAsia="仿宋" w:hAnsi="仿宋" w:cs="仿宋" w:hint="eastAsia"/>
            <w:lang w:eastAsia="zh-CN"/>
          </w:rPr>
          <w:t>(一)、社会责任与义务</w:t>
        </w:r>
        <w:r>
          <w:tab/>
        </w:r>
        <w:r>
          <w:fldChar w:fldCharType="begin"/>
        </w:r>
        <w:r>
          <w:instrText xml:space="preserve"> PAGEREF _Toc13640 \h </w:instrText>
        </w:r>
        <w:r>
          <w:fldChar w:fldCharType="separate"/>
        </w:r>
        <w:r>
          <w:t>25</w:t>
        </w:r>
        <w:r>
          <w:fldChar w:fldCharType="end"/>
        </w:r>
      </w:hyperlink>
    </w:p>
    <w:p>
      <w:pPr>
        <w:pStyle w:val="TOC2"/>
        <w:tabs>
          <w:tab w:val="right" w:leader="dot" w:pos="8306"/>
        </w:tabs>
      </w:pPr>
      <w:hyperlink w:anchor="_Toc4960" w:history="1">
        <w:r>
          <w:rPr>
            <w:rFonts w:ascii="仿宋" w:eastAsia="仿宋" w:hAnsi="仿宋" w:cs="仿宋" w:hint="eastAsia"/>
            <w:lang w:eastAsia="zh-CN"/>
          </w:rPr>
          <w:t>(二)、社会参与与沟通</w:t>
        </w:r>
        <w:r>
          <w:tab/>
        </w:r>
        <w:r>
          <w:fldChar w:fldCharType="begin"/>
        </w:r>
        <w:r>
          <w:instrText xml:space="preserve"> PAGEREF _Toc4960 \h </w:instrText>
        </w:r>
        <w:r>
          <w:fldChar w:fldCharType="separate"/>
        </w:r>
        <w:r>
          <w:t>26</w:t>
        </w:r>
        <w:r>
          <w:fldChar w:fldCharType="end"/>
        </w:r>
      </w:hyperlink>
    </w:p>
    <w:p>
      <w:pPr>
        <w:pStyle w:val="TOC1"/>
        <w:tabs>
          <w:tab w:val="right" w:leader="dot" w:pos="8306"/>
        </w:tabs>
      </w:pPr>
      <w:hyperlink w:anchor="_Toc11662" w:history="1">
        <w:r>
          <w:rPr>
            <w:rFonts w:ascii="仿宋" w:eastAsia="仿宋" w:hAnsi="仿宋" w:cs="仿宋" w:hint="eastAsia"/>
            <w:lang w:eastAsia="zh-CN"/>
          </w:rPr>
          <w:t>十、稳相微波射频同轴电缆项目环境影响分析</w:t>
        </w:r>
        <w:r>
          <w:tab/>
        </w:r>
        <w:r>
          <w:fldChar w:fldCharType="begin"/>
        </w:r>
        <w:r>
          <w:instrText xml:space="preserve"> PAGEREF _Toc11662 \h </w:instrText>
        </w:r>
        <w:r>
          <w:fldChar w:fldCharType="separate"/>
        </w:r>
        <w:r>
          <w:t>27</w:t>
        </w:r>
        <w:r>
          <w:fldChar w:fldCharType="end"/>
        </w:r>
      </w:hyperlink>
    </w:p>
    <w:p>
      <w:pPr>
        <w:pStyle w:val="TOC2"/>
        <w:tabs>
          <w:tab w:val="right" w:leader="dot" w:pos="8306"/>
        </w:tabs>
      </w:pPr>
      <w:hyperlink w:anchor="_Toc25241" w:history="1">
        <w:r>
          <w:rPr>
            <w:rFonts w:ascii="仿宋" w:eastAsia="仿宋" w:hAnsi="仿宋" w:cs="仿宋" w:hint="eastAsia"/>
            <w:lang w:eastAsia="zh-CN"/>
          </w:rPr>
          <w:t>(一)、建设区域环境质量现状</w:t>
        </w:r>
        <w:r>
          <w:tab/>
        </w:r>
        <w:r>
          <w:fldChar w:fldCharType="begin"/>
        </w:r>
        <w:r>
          <w:instrText xml:space="preserve"> PAGEREF _Toc25241 \h </w:instrText>
        </w:r>
        <w:r>
          <w:fldChar w:fldCharType="separate"/>
        </w:r>
        <w:r>
          <w:t>27</w:t>
        </w:r>
        <w:r>
          <w:fldChar w:fldCharType="end"/>
        </w:r>
      </w:hyperlink>
    </w:p>
    <w:p>
      <w:pPr>
        <w:pStyle w:val="TOC2"/>
        <w:tabs>
          <w:tab w:val="right" w:leader="dot" w:pos="8306"/>
        </w:tabs>
      </w:pPr>
      <w:hyperlink w:anchor="_Toc5605" w:history="1">
        <w:r>
          <w:rPr>
            <w:rFonts w:ascii="仿宋" w:eastAsia="仿宋" w:hAnsi="仿宋" w:cs="仿宋" w:hint="eastAsia"/>
            <w:lang w:eastAsia="zh-CN"/>
          </w:rPr>
          <w:t>(二)、建设期环境保护</w:t>
        </w:r>
        <w:r>
          <w:tab/>
        </w:r>
        <w:r>
          <w:fldChar w:fldCharType="begin"/>
        </w:r>
        <w:r>
          <w:instrText xml:space="preserve"> PAGEREF _Toc5605 \h </w:instrText>
        </w:r>
        <w:r>
          <w:fldChar w:fldCharType="separate"/>
        </w:r>
        <w:r>
          <w:t>28</w:t>
        </w:r>
        <w:r>
          <w:fldChar w:fldCharType="end"/>
        </w:r>
      </w:hyperlink>
    </w:p>
    <w:p>
      <w:pPr>
        <w:pStyle w:val="TOC2"/>
        <w:tabs>
          <w:tab w:val="right" w:leader="dot" w:pos="8306"/>
        </w:tabs>
      </w:pPr>
      <w:hyperlink w:anchor="_Toc11555" w:history="1">
        <w:r>
          <w:rPr>
            <w:rFonts w:ascii="仿宋" w:eastAsia="仿宋" w:hAnsi="仿宋" w:cs="仿宋" w:hint="eastAsia"/>
            <w:lang w:eastAsia="zh-CN"/>
          </w:rPr>
          <w:t>(三)、运营期环境保护</w:t>
        </w:r>
        <w:r>
          <w:tab/>
        </w:r>
        <w:r>
          <w:fldChar w:fldCharType="begin"/>
        </w:r>
        <w:r>
          <w:instrText xml:space="preserve"> PAGEREF _Toc11555 \h </w:instrText>
        </w:r>
        <w:r>
          <w:fldChar w:fldCharType="separate"/>
        </w:r>
        <w:r>
          <w:t>30</w:t>
        </w:r>
        <w:r>
          <w:fldChar w:fldCharType="end"/>
        </w:r>
      </w:hyperlink>
    </w:p>
    <w:p>
      <w:pPr>
        <w:pStyle w:val="TOC2"/>
        <w:tabs>
          <w:tab w:val="right" w:leader="dot" w:pos="8306"/>
        </w:tabs>
      </w:pPr>
      <w:hyperlink w:anchor="_Toc6837" w:history="1">
        <w:r>
          <w:rPr>
            <w:rFonts w:ascii="仿宋" w:eastAsia="仿宋" w:hAnsi="仿宋" w:cs="仿宋" w:hint="eastAsia"/>
            <w:lang w:eastAsia="zh-CN"/>
          </w:rPr>
          <w:t>(四)、稳相微波射频同轴电缆项目建设对区域经济的影响</w:t>
        </w:r>
        <w:r>
          <w:tab/>
        </w:r>
        <w:r>
          <w:fldChar w:fldCharType="begin"/>
        </w:r>
        <w:r>
          <w:instrText xml:space="preserve"> PAGEREF _Toc6837 \h </w:instrText>
        </w:r>
        <w:r>
          <w:fldChar w:fldCharType="separate"/>
        </w:r>
        <w:r>
          <w:t>31</w:t>
        </w:r>
        <w:r>
          <w:fldChar w:fldCharType="end"/>
        </w:r>
      </w:hyperlink>
    </w:p>
    <w:p>
      <w:pPr>
        <w:pStyle w:val="TOC2"/>
        <w:tabs>
          <w:tab w:val="right" w:leader="dot" w:pos="8306"/>
        </w:tabs>
      </w:pPr>
      <w:hyperlink w:anchor="_Toc9232" w:history="1">
        <w:r>
          <w:rPr>
            <w:rFonts w:ascii="仿宋" w:eastAsia="仿宋" w:hAnsi="仿宋" w:cs="仿宋" w:hint="eastAsia"/>
            <w:lang w:eastAsia="zh-CN"/>
          </w:rPr>
          <w:t>(五)、废弃物处理</w:t>
        </w:r>
        <w:r>
          <w:tab/>
        </w:r>
        <w:r>
          <w:fldChar w:fldCharType="begin"/>
        </w:r>
        <w:r>
          <w:instrText xml:space="preserve"> PAGEREF _Toc9232 \h </w:instrText>
        </w:r>
        <w:r>
          <w:fldChar w:fldCharType="separate"/>
        </w:r>
        <w:r>
          <w:t>33</w:t>
        </w:r>
        <w:r>
          <w:fldChar w:fldCharType="end"/>
        </w:r>
      </w:hyperlink>
    </w:p>
    <w:p>
      <w:pPr>
        <w:pStyle w:val="TOC2"/>
        <w:tabs>
          <w:tab w:val="right" w:leader="dot" w:pos="8306"/>
        </w:tabs>
      </w:pPr>
      <w:hyperlink w:anchor="_Toc3577" w:history="1">
        <w:r>
          <w:rPr>
            <w:rFonts w:ascii="仿宋" w:eastAsia="仿宋" w:hAnsi="仿宋" w:cs="仿宋" w:hint="eastAsia"/>
            <w:lang w:eastAsia="zh-CN"/>
          </w:rPr>
          <w:t>(六)、特殊环境影响分析</w:t>
        </w:r>
        <w:r>
          <w:tab/>
        </w:r>
        <w:r>
          <w:fldChar w:fldCharType="begin"/>
        </w:r>
        <w:r>
          <w:instrText xml:space="preserve"> PAGEREF _Toc3577 \h </w:instrText>
        </w:r>
        <w:r>
          <w:fldChar w:fldCharType="separate"/>
        </w:r>
        <w:r>
          <w:t>34</w:t>
        </w:r>
        <w:r>
          <w:fldChar w:fldCharType="end"/>
        </w:r>
      </w:hyperlink>
    </w:p>
    <w:p>
      <w:pPr>
        <w:pStyle w:val="TOC2"/>
        <w:tabs>
          <w:tab w:val="right" w:leader="dot" w:pos="8306"/>
        </w:tabs>
      </w:pPr>
      <w:hyperlink w:anchor="_Toc2490" w:history="1">
        <w:r>
          <w:rPr>
            <w:rFonts w:ascii="仿宋" w:eastAsia="仿宋" w:hAnsi="仿宋" w:cs="仿宋" w:hint="eastAsia"/>
            <w:lang w:eastAsia="zh-CN"/>
          </w:rPr>
          <w:t>(七)、清洁生产</w:t>
        </w:r>
        <w:r>
          <w:tab/>
        </w:r>
        <w:r>
          <w:fldChar w:fldCharType="begin"/>
        </w:r>
        <w:r>
          <w:instrText xml:space="preserve"> PAGEREF _Toc2490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57" w:history="1">
        <w:r>
          <w:rPr>
            <w:rFonts w:ascii="仿宋" w:eastAsia="仿宋" w:hAnsi="仿宋" w:cs="仿宋" w:hint="eastAsia"/>
            <w:lang w:eastAsia="zh-CN"/>
          </w:rPr>
          <w:t>(八)、环境保护综合评价</w:t>
        </w:r>
        <w:r>
          <w:tab/>
        </w:r>
        <w:r>
          <w:fldChar w:fldCharType="begin"/>
        </w:r>
        <w:r>
          <w:instrText xml:space="preserve"> PAGEREF _Toc18357 \h </w:instrText>
        </w:r>
        <w:r>
          <w:fldChar w:fldCharType="separate"/>
        </w:r>
        <w:r>
          <w:t>37</w:t>
        </w:r>
        <w:r>
          <w:fldChar w:fldCharType="end"/>
        </w:r>
      </w:hyperlink>
    </w:p>
    <w:p>
      <w:pPr>
        <w:pStyle w:val="TOC1"/>
        <w:tabs>
          <w:tab w:val="right" w:leader="dot" w:pos="8306"/>
        </w:tabs>
      </w:pPr>
      <w:hyperlink w:anchor="_Toc8446" w:history="1">
        <w:r>
          <w:rPr>
            <w:rFonts w:ascii="仿宋" w:eastAsia="仿宋" w:hAnsi="仿宋" w:cs="仿宋" w:hint="eastAsia"/>
            <w:lang w:eastAsia="zh-CN"/>
          </w:rPr>
          <w:t>十一、稳相微波射频同轴电缆项目技术管理</w:t>
        </w:r>
        <w:r>
          <w:tab/>
        </w:r>
        <w:r>
          <w:fldChar w:fldCharType="begin"/>
        </w:r>
        <w:r>
          <w:instrText xml:space="preserve"> PAGEREF _Toc8446 \h </w:instrText>
        </w:r>
        <w:r>
          <w:fldChar w:fldCharType="separate"/>
        </w:r>
        <w:r>
          <w:t>38</w:t>
        </w:r>
        <w:r>
          <w:fldChar w:fldCharType="end"/>
        </w:r>
      </w:hyperlink>
    </w:p>
    <w:p>
      <w:pPr>
        <w:pStyle w:val="TOC2"/>
        <w:tabs>
          <w:tab w:val="right" w:leader="dot" w:pos="8306"/>
        </w:tabs>
      </w:pPr>
      <w:hyperlink w:anchor="_Toc9895" w:history="1">
        <w:r>
          <w:rPr>
            <w:rFonts w:ascii="仿宋" w:eastAsia="仿宋" w:hAnsi="仿宋" w:cs="仿宋" w:hint="eastAsia"/>
            <w:lang w:eastAsia="zh-CN"/>
          </w:rPr>
          <w:t>(一)、技术方案选用方向</w:t>
        </w:r>
        <w:r>
          <w:tab/>
        </w:r>
        <w:r>
          <w:fldChar w:fldCharType="begin"/>
        </w:r>
        <w:r>
          <w:instrText xml:space="preserve"> PAGEREF _Toc9895 \h </w:instrText>
        </w:r>
        <w:r>
          <w:fldChar w:fldCharType="separate"/>
        </w:r>
        <w:r>
          <w:t>38</w:t>
        </w:r>
        <w:r>
          <w:fldChar w:fldCharType="end"/>
        </w:r>
      </w:hyperlink>
    </w:p>
    <w:p>
      <w:pPr>
        <w:pStyle w:val="TOC2"/>
        <w:tabs>
          <w:tab w:val="right" w:leader="dot" w:pos="8306"/>
        </w:tabs>
      </w:pPr>
      <w:hyperlink w:anchor="_Toc16271" w:history="1">
        <w:r>
          <w:rPr>
            <w:rFonts w:ascii="仿宋" w:eastAsia="仿宋" w:hAnsi="仿宋" w:cs="仿宋" w:hint="eastAsia"/>
            <w:lang w:eastAsia="zh-CN"/>
          </w:rPr>
          <w:t>(二)、工艺技术方案选用原则</w:t>
        </w:r>
        <w:r>
          <w:tab/>
        </w:r>
        <w:r>
          <w:fldChar w:fldCharType="begin"/>
        </w:r>
        <w:r>
          <w:instrText xml:space="preserve"> PAGEREF _Toc16271 \h </w:instrText>
        </w:r>
        <w:r>
          <w:fldChar w:fldCharType="separate"/>
        </w:r>
        <w:r>
          <w:t>40</w:t>
        </w:r>
        <w:r>
          <w:fldChar w:fldCharType="end"/>
        </w:r>
      </w:hyperlink>
    </w:p>
    <w:p>
      <w:pPr>
        <w:pStyle w:val="TOC2"/>
        <w:tabs>
          <w:tab w:val="right" w:leader="dot" w:pos="8306"/>
        </w:tabs>
      </w:pPr>
      <w:hyperlink w:anchor="_Toc7137" w:history="1">
        <w:r>
          <w:rPr>
            <w:rFonts w:ascii="仿宋" w:eastAsia="仿宋" w:hAnsi="仿宋" w:cs="仿宋" w:hint="eastAsia"/>
            <w:lang w:eastAsia="zh-CN"/>
          </w:rPr>
          <w:t>(三)、工艺技术方案要求</w:t>
        </w:r>
        <w:r>
          <w:tab/>
        </w:r>
        <w:r>
          <w:fldChar w:fldCharType="begin"/>
        </w:r>
        <w:r>
          <w:instrText xml:space="preserve"> PAGEREF _Toc7137 \h </w:instrText>
        </w:r>
        <w:r>
          <w:fldChar w:fldCharType="separate"/>
        </w:r>
        <w:r>
          <w:t>42</w:t>
        </w:r>
        <w:r>
          <w:fldChar w:fldCharType="end"/>
        </w:r>
      </w:hyperlink>
    </w:p>
    <w:p>
      <w:pPr>
        <w:pStyle w:val="TOC1"/>
        <w:tabs>
          <w:tab w:val="right" w:leader="dot" w:pos="8306"/>
        </w:tabs>
      </w:pPr>
      <w:hyperlink w:anchor="_Toc25527" w:history="1">
        <w:r>
          <w:rPr>
            <w:rFonts w:ascii="仿宋" w:eastAsia="仿宋" w:hAnsi="仿宋" w:cs="仿宋" w:hint="eastAsia"/>
            <w:lang w:eastAsia="zh-CN"/>
          </w:rPr>
          <w:t>十二、生产安全保护</w:t>
        </w:r>
        <w:r>
          <w:tab/>
        </w:r>
        <w:r>
          <w:fldChar w:fldCharType="begin"/>
        </w:r>
        <w:r>
          <w:instrText xml:space="preserve"> PAGEREF _Toc25527 \h </w:instrText>
        </w:r>
        <w:r>
          <w:fldChar w:fldCharType="separate"/>
        </w:r>
        <w:r>
          <w:t>44</w:t>
        </w:r>
        <w:r>
          <w:fldChar w:fldCharType="end"/>
        </w:r>
      </w:hyperlink>
    </w:p>
    <w:p>
      <w:pPr>
        <w:pStyle w:val="TOC2"/>
        <w:tabs>
          <w:tab w:val="right" w:leader="dot" w:pos="8306"/>
        </w:tabs>
      </w:pPr>
      <w:hyperlink w:anchor="_Toc16383" w:history="1">
        <w:r>
          <w:rPr>
            <w:rFonts w:ascii="仿宋" w:eastAsia="仿宋" w:hAnsi="仿宋" w:cs="仿宋" w:hint="eastAsia"/>
            <w:lang w:eastAsia="zh-CN"/>
          </w:rPr>
          <w:t>(一)、消防安全</w:t>
        </w:r>
        <w:r>
          <w:tab/>
        </w:r>
        <w:r>
          <w:fldChar w:fldCharType="begin"/>
        </w:r>
        <w:r>
          <w:instrText xml:space="preserve"> PAGEREF _Toc16383 \h </w:instrText>
        </w:r>
        <w:r>
          <w:fldChar w:fldCharType="separate"/>
        </w:r>
        <w:r>
          <w:t>44</w:t>
        </w:r>
        <w:r>
          <w:fldChar w:fldCharType="end"/>
        </w:r>
      </w:hyperlink>
    </w:p>
    <w:p>
      <w:pPr>
        <w:pStyle w:val="TOC2"/>
        <w:tabs>
          <w:tab w:val="right" w:leader="dot" w:pos="8306"/>
        </w:tabs>
      </w:pPr>
      <w:hyperlink w:anchor="_Toc28986" w:history="1">
        <w:r>
          <w:rPr>
            <w:rFonts w:ascii="仿宋" w:eastAsia="仿宋" w:hAnsi="仿宋" w:cs="仿宋" w:hint="eastAsia"/>
            <w:lang w:eastAsia="zh-CN"/>
          </w:rPr>
          <w:t>(二)、防火防爆总图布置措施</w:t>
        </w:r>
        <w:r>
          <w:tab/>
        </w:r>
        <w:r>
          <w:fldChar w:fldCharType="begin"/>
        </w:r>
        <w:r>
          <w:instrText xml:space="preserve"> PAGEREF _Toc28986 \h </w:instrText>
        </w:r>
        <w:r>
          <w:fldChar w:fldCharType="separate"/>
        </w:r>
        <w:r>
          <w:t>46</w:t>
        </w:r>
        <w:r>
          <w:fldChar w:fldCharType="end"/>
        </w:r>
      </w:hyperlink>
    </w:p>
    <w:p>
      <w:pPr>
        <w:pStyle w:val="TOC2"/>
        <w:tabs>
          <w:tab w:val="right" w:leader="dot" w:pos="8306"/>
        </w:tabs>
      </w:pPr>
      <w:hyperlink w:anchor="_Toc9985" w:history="1">
        <w:r>
          <w:rPr>
            <w:rFonts w:ascii="仿宋" w:eastAsia="仿宋" w:hAnsi="仿宋" w:cs="仿宋" w:hint="eastAsia"/>
            <w:lang w:eastAsia="zh-CN"/>
          </w:rPr>
          <w:t>(三)、自然灾害防范措施</w:t>
        </w:r>
        <w:r>
          <w:tab/>
        </w:r>
        <w:r>
          <w:fldChar w:fldCharType="begin"/>
        </w:r>
        <w:r>
          <w:instrText xml:space="preserve"> PAGEREF _Toc9985 \h </w:instrText>
        </w:r>
        <w:r>
          <w:fldChar w:fldCharType="separate"/>
        </w:r>
        <w:r>
          <w:t>47</w:t>
        </w:r>
        <w:r>
          <w:fldChar w:fldCharType="end"/>
        </w:r>
      </w:hyperlink>
    </w:p>
    <w:p>
      <w:pPr>
        <w:pStyle w:val="TOC2"/>
        <w:tabs>
          <w:tab w:val="right" w:leader="dot" w:pos="8306"/>
        </w:tabs>
      </w:pPr>
      <w:hyperlink w:anchor="_Toc5689" w:history="1">
        <w:r>
          <w:rPr>
            <w:rFonts w:ascii="仿宋" w:eastAsia="仿宋" w:hAnsi="仿宋" w:cs="仿宋" w:hint="eastAsia"/>
            <w:lang w:eastAsia="zh-CN"/>
          </w:rPr>
          <w:t>(四)、安全色及安全标志使用要求</w:t>
        </w:r>
        <w:r>
          <w:tab/>
        </w:r>
        <w:r>
          <w:fldChar w:fldCharType="begin"/>
        </w:r>
        <w:r>
          <w:instrText xml:space="preserve"> PAGEREF _Toc5689 \h </w:instrText>
        </w:r>
        <w:r>
          <w:fldChar w:fldCharType="separate"/>
        </w:r>
        <w:r>
          <w:t>48</w:t>
        </w:r>
        <w:r>
          <w:fldChar w:fldCharType="end"/>
        </w:r>
      </w:hyperlink>
    </w:p>
    <w:p>
      <w:pPr>
        <w:pStyle w:val="TOC2"/>
        <w:tabs>
          <w:tab w:val="right" w:leader="dot" w:pos="8306"/>
        </w:tabs>
      </w:pPr>
      <w:hyperlink w:anchor="_Toc4123" w:history="1">
        <w:r>
          <w:rPr>
            <w:rFonts w:ascii="仿宋" w:eastAsia="仿宋" w:hAnsi="仿宋" w:cs="仿宋" w:hint="eastAsia"/>
            <w:lang w:eastAsia="zh-CN"/>
          </w:rPr>
          <w:t>(五)、防尘防毒措施</w:t>
        </w:r>
        <w:r>
          <w:tab/>
        </w:r>
        <w:r>
          <w:fldChar w:fldCharType="begin"/>
        </w:r>
        <w:r>
          <w:instrText xml:space="preserve"> PAGEREF _Toc4123 \h </w:instrText>
        </w:r>
        <w:r>
          <w:fldChar w:fldCharType="separate"/>
        </w:r>
        <w:r>
          <w:t>49</w:t>
        </w:r>
        <w:r>
          <w:fldChar w:fldCharType="end"/>
        </w:r>
      </w:hyperlink>
    </w:p>
    <w:p>
      <w:pPr>
        <w:pStyle w:val="TOC2"/>
        <w:tabs>
          <w:tab w:val="right" w:leader="dot" w:pos="8306"/>
        </w:tabs>
      </w:pPr>
      <w:hyperlink w:anchor="_Toc8263" w:history="1">
        <w:r>
          <w:rPr>
            <w:rFonts w:ascii="仿宋" w:eastAsia="仿宋" w:hAnsi="仿宋" w:cs="仿宋" w:hint="eastAsia"/>
            <w:lang w:eastAsia="zh-CN"/>
          </w:rPr>
          <w:t>(六)、防静电、触电防护及防雷措施</w:t>
        </w:r>
        <w:r>
          <w:tab/>
        </w:r>
        <w:r>
          <w:fldChar w:fldCharType="begin"/>
        </w:r>
        <w:r>
          <w:instrText xml:space="preserve"> PAGEREF _Toc8263 \h </w:instrText>
        </w:r>
        <w:r>
          <w:fldChar w:fldCharType="separate"/>
        </w:r>
        <w:r>
          <w:t>50</w:t>
        </w:r>
        <w:r>
          <w:fldChar w:fldCharType="end"/>
        </w:r>
      </w:hyperlink>
    </w:p>
    <w:p>
      <w:pPr>
        <w:pStyle w:val="TOC2"/>
        <w:tabs>
          <w:tab w:val="right" w:leader="dot" w:pos="8306"/>
        </w:tabs>
      </w:pPr>
      <w:hyperlink w:anchor="_Toc14591" w:history="1">
        <w:r>
          <w:rPr>
            <w:rFonts w:ascii="仿宋" w:eastAsia="仿宋" w:hAnsi="仿宋" w:cs="仿宋" w:hint="eastAsia"/>
            <w:lang w:eastAsia="zh-CN"/>
          </w:rPr>
          <w:t>(七)、机械设备安全保障措施</w:t>
        </w:r>
        <w:r>
          <w:tab/>
        </w:r>
        <w:r>
          <w:fldChar w:fldCharType="begin"/>
        </w:r>
        <w:r>
          <w:instrText xml:space="preserve"> PAGEREF _Toc14591 \h </w:instrText>
        </w:r>
        <w:r>
          <w:fldChar w:fldCharType="separate"/>
        </w:r>
        <w:r>
          <w:t>52</w:t>
        </w:r>
        <w:r>
          <w:fldChar w:fldCharType="end"/>
        </w:r>
      </w:hyperlink>
    </w:p>
    <w:p>
      <w:pPr>
        <w:pStyle w:val="TOC1"/>
        <w:tabs>
          <w:tab w:val="right" w:leader="dot" w:pos="8306"/>
        </w:tabs>
      </w:pPr>
      <w:hyperlink w:anchor="_Toc2831" w:history="1">
        <w:r>
          <w:rPr>
            <w:rFonts w:ascii="仿宋" w:eastAsia="仿宋" w:hAnsi="仿宋" w:cs="仿宋" w:hint="eastAsia"/>
            <w:lang w:eastAsia="zh-CN"/>
          </w:rPr>
          <w:t>十三、利益相关者分析与沟通计划</w:t>
        </w:r>
        <w:r>
          <w:tab/>
        </w:r>
        <w:r>
          <w:fldChar w:fldCharType="begin"/>
        </w:r>
        <w:r>
          <w:instrText xml:space="preserve"> PAGEREF _Toc2831 \h </w:instrText>
        </w:r>
        <w:r>
          <w:fldChar w:fldCharType="separate"/>
        </w:r>
        <w:r>
          <w:t>53</w:t>
        </w:r>
        <w:r>
          <w:fldChar w:fldCharType="end"/>
        </w:r>
      </w:hyperlink>
    </w:p>
    <w:p>
      <w:pPr>
        <w:pStyle w:val="TOC2"/>
        <w:tabs>
          <w:tab w:val="right" w:leader="dot" w:pos="8306"/>
        </w:tabs>
      </w:pPr>
      <w:hyperlink w:anchor="_Toc6247" w:history="1">
        <w:r>
          <w:rPr>
            <w:rFonts w:ascii="仿宋" w:eastAsia="仿宋" w:hAnsi="仿宋" w:cs="仿宋" w:hint="eastAsia"/>
            <w:lang w:eastAsia="zh-CN"/>
          </w:rPr>
          <w:t>(一)、利益相关者分析</w:t>
        </w:r>
        <w:r>
          <w:tab/>
        </w:r>
        <w:r>
          <w:fldChar w:fldCharType="begin"/>
        </w:r>
        <w:r>
          <w:instrText xml:space="preserve"> PAGEREF _Toc6247 \h </w:instrText>
        </w:r>
        <w:r>
          <w:fldChar w:fldCharType="separate"/>
        </w:r>
        <w:r>
          <w:t>53</w:t>
        </w:r>
        <w:r>
          <w:fldChar w:fldCharType="end"/>
        </w:r>
      </w:hyperlink>
    </w:p>
    <w:p>
      <w:pPr>
        <w:pStyle w:val="TOC2"/>
        <w:tabs>
          <w:tab w:val="right" w:leader="dot" w:pos="8306"/>
        </w:tabs>
      </w:pPr>
      <w:hyperlink w:anchor="_Toc7481" w:history="1">
        <w:r>
          <w:rPr>
            <w:rFonts w:ascii="仿宋" w:eastAsia="仿宋" w:hAnsi="仿宋" w:cs="仿宋" w:hint="eastAsia"/>
            <w:lang w:eastAsia="zh-CN"/>
          </w:rPr>
          <w:t>(二)、沟通计划</w:t>
        </w:r>
        <w:r>
          <w:tab/>
        </w:r>
        <w:r>
          <w:fldChar w:fldCharType="begin"/>
        </w:r>
        <w:r>
          <w:instrText xml:space="preserve"> PAGEREF _Toc7481 \h </w:instrText>
        </w:r>
        <w:r>
          <w:fldChar w:fldCharType="separate"/>
        </w:r>
        <w:r>
          <w:t>54</w:t>
        </w:r>
        <w:r>
          <w:fldChar w:fldCharType="end"/>
        </w:r>
      </w:hyperlink>
    </w:p>
    <w:p>
      <w:pPr>
        <w:pStyle w:val="TOC1"/>
        <w:tabs>
          <w:tab w:val="right" w:leader="dot" w:pos="8306"/>
        </w:tabs>
      </w:pPr>
      <w:hyperlink w:anchor="_Toc8675" w:history="1">
        <w:r>
          <w:rPr>
            <w:rFonts w:ascii="仿宋" w:eastAsia="仿宋" w:hAnsi="仿宋" w:cs="仿宋" w:hint="eastAsia"/>
            <w:lang w:eastAsia="zh-CN"/>
          </w:rPr>
          <w:t>十四、稳相微波射频同轴电缆项目实施保障措施</w:t>
        </w:r>
        <w:r>
          <w:tab/>
        </w:r>
        <w:r>
          <w:fldChar w:fldCharType="begin"/>
        </w:r>
        <w:r>
          <w:instrText xml:space="preserve"> PAGEREF _Toc8675 \h </w:instrText>
        </w:r>
        <w:r>
          <w:fldChar w:fldCharType="separate"/>
        </w:r>
        <w:r>
          <w:t>56</w:t>
        </w:r>
        <w:r>
          <w:fldChar w:fldCharType="end"/>
        </w:r>
      </w:hyperlink>
    </w:p>
    <w:p>
      <w:pPr>
        <w:pStyle w:val="TOC2"/>
        <w:tabs>
          <w:tab w:val="right" w:leader="dot" w:pos="8306"/>
        </w:tabs>
      </w:pPr>
      <w:hyperlink w:anchor="_Toc19829" w:history="1">
        <w:r>
          <w:rPr>
            <w:rFonts w:ascii="仿宋" w:eastAsia="仿宋" w:hAnsi="仿宋" w:cs="仿宋" w:hint="eastAsia"/>
            <w:lang w:eastAsia="zh-CN"/>
          </w:rPr>
          <w:t>(一)、稳相微波射频同轴电缆项目实施保障机制</w:t>
        </w:r>
        <w:r>
          <w:tab/>
        </w:r>
        <w:r>
          <w:fldChar w:fldCharType="begin"/>
        </w:r>
        <w:r>
          <w:instrText xml:space="preserve"> PAGEREF _Toc19829 \h </w:instrText>
        </w:r>
        <w:r>
          <w:fldChar w:fldCharType="separate"/>
        </w:r>
        <w:r>
          <w:t>56</w:t>
        </w:r>
        <w:r>
          <w:fldChar w:fldCharType="end"/>
        </w:r>
      </w:hyperlink>
    </w:p>
    <w:p>
      <w:pPr>
        <w:pStyle w:val="TOC2"/>
        <w:tabs>
          <w:tab w:val="right" w:leader="dot" w:pos="8306"/>
        </w:tabs>
      </w:pPr>
      <w:hyperlink w:anchor="_Toc1344" w:history="1">
        <w:r>
          <w:rPr>
            <w:rFonts w:ascii="仿宋" w:eastAsia="仿宋" w:hAnsi="仿宋" w:cs="仿宋" w:hint="eastAsia"/>
            <w:lang w:eastAsia="zh-CN"/>
          </w:rPr>
          <w:t>(二)、稳相微波射频同轴电缆项目法律合规要求</w:t>
        </w:r>
        <w:r>
          <w:tab/>
        </w:r>
        <w:r>
          <w:fldChar w:fldCharType="begin"/>
        </w:r>
        <w:r>
          <w:instrText xml:space="preserve"> PAGEREF _Toc1344 \h </w:instrText>
        </w:r>
        <w:r>
          <w:fldChar w:fldCharType="separate"/>
        </w:r>
        <w:r>
          <w:t>60</w:t>
        </w:r>
        <w:r>
          <w:fldChar w:fldCharType="end"/>
        </w:r>
      </w:hyperlink>
    </w:p>
    <w:p>
      <w:pPr>
        <w:pStyle w:val="TOC2"/>
        <w:tabs>
          <w:tab w:val="right" w:leader="dot" w:pos="8306"/>
        </w:tabs>
      </w:pPr>
      <w:hyperlink w:anchor="_Toc14542" w:history="1">
        <w:r>
          <w:rPr>
            <w:rFonts w:ascii="仿宋" w:eastAsia="仿宋" w:hAnsi="仿宋" w:cs="仿宋" w:hint="eastAsia"/>
            <w:lang w:eastAsia="zh-CN"/>
          </w:rPr>
          <w:t>(三)、稳相微波射频同轴电缆项目合同管理与法律事务</w:t>
        </w:r>
        <w:r>
          <w:tab/>
        </w:r>
        <w:r>
          <w:fldChar w:fldCharType="begin"/>
        </w:r>
        <w:r>
          <w:instrText xml:space="preserve"> PAGEREF _Toc14542 \h </w:instrText>
        </w:r>
        <w:r>
          <w:fldChar w:fldCharType="separate"/>
        </w:r>
        <w:r>
          <w:t>64</w:t>
        </w:r>
        <w:r>
          <w:fldChar w:fldCharType="end"/>
        </w:r>
      </w:hyperlink>
    </w:p>
    <w:p>
      <w:pPr>
        <w:pStyle w:val="TOC2"/>
        <w:tabs>
          <w:tab w:val="right" w:leader="dot" w:pos="8306"/>
        </w:tabs>
      </w:pPr>
      <w:hyperlink w:anchor="_Toc11777" w:history="1">
        <w:r>
          <w:rPr>
            <w:rFonts w:ascii="仿宋" w:eastAsia="仿宋" w:hAnsi="仿宋" w:cs="仿宋" w:hint="eastAsia"/>
            <w:lang w:eastAsia="zh-CN"/>
          </w:rPr>
          <w:t>(四)、稳相微波射频同轴电缆项目知识产权保护策略</w:t>
        </w:r>
        <w:r>
          <w:tab/>
        </w:r>
        <w:r>
          <w:fldChar w:fldCharType="begin"/>
        </w:r>
        <w:r>
          <w:instrText xml:space="preserve"> PAGEREF _Toc11777 \h </w:instrText>
        </w:r>
        <w:r>
          <w:fldChar w:fldCharType="separate"/>
        </w:r>
        <w:r>
          <w:t>71</w:t>
        </w:r>
        <w:r>
          <w:fldChar w:fldCharType="end"/>
        </w:r>
      </w:hyperlink>
    </w:p>
    <w:p>
      <w:pPr>
        <w:pStyle w:val="TOC1"/>
        <w:tabs>
          <w:tab w:val="right" w:leader="dot" w:pos="8306"/>
        </w:tabs>
      </w:pPr>
      <w:hyperlink w:anchor="_Toc31932" w:history="1">
        <w:r>
          <w:rPr>
            <w:rFonts w:ascii="仿宋" w:eastAsia="仿宋" w:hAnsi="仿宋" w:cs="仿宋" w:hint="eastAsia"/>
            <w:lang w:eastAsia="zh-CN"/>
          </w:rPr>
          <w:t>十五、稳相微波射频同轴电缆项目工程方案分析</w:t>
        </w:r>
        <w:r>
          <w:tab/>
        </w:r>
        <w:r>
          <w:fldChar w:fldCharType="begin"/>
        </w:r>
        <w:r>
          <w:instrText xml:space="preserve"> PAGEREF _Toc31932 \h </w:instrText>
        </w:r>
        <w:r>
          <w:fldChar w:fldCharType="separate"/>
        </w:r>
        <w:r>
          <w:t>73</w:t>
        </w:r>
        <w:r>
          <w:fldChar w:fldCharType="end"/>
        </w:r>
      </w:hyperlink>
    </w:p>
    <w:p>
      <w:pPr>
        <w:pStyle w:val="TOC2"/>
        <w:tabs>
          <w:tab w:val="right" w:leader="dot" w:pos="8306"/>
        </w:tabs>
      </w:pPr>
      <w:hyperlink w:anchor="_Toc11201" w:history="1">
        <w:r>
          <w:rPr>
            <w:rFonts w:ascii="仿宋" w:eastAsia="仿宋" w:hAnsi="仿宋" w:cs="仿宋" w:hint="eastAsia"/>
            <w:lang w:eastAsia="zh-CN"/>
          </w:rPr>
          <w:t>(一)、建筑工程设计原则</w:t>
        </w:r>
        <w:r>
          <w:tab/>
        </w:r>
        <w:r>
          <w:fldChar w:fldCharType="begin"/>
        </w:r>
        <w:r>
          <w:instrText xml:space="preserve"> PAGEREF _Toc11201 \h </w:instrText>
        </w:r>
        <w:r>
          <w:fldChar w:fldCharType="separate"/>
        </w:r>
        <w:r>
          <w:t>73</w:t>
        </w:r>
        <w:r>
          <w:fldChar w:fldCharType="end"/>
        </w:r>
      </w:hyperlink>
    </w:p>
    <w:p>
      <w:pPr>
        <w:pStyle w:val="TOC2"/>
        <w:tabs>
          <w:tab w:val="right" w:leader="dot" w:pos="8306"/>
        </w:tabs>
      </w:pPr>
      <w:hyperlink w:anchor="_Toc6789" w:history="1">
        <w:r>
          <w:rPr>
            <w:rFonts w:ascii="仿宋" w:eastAsia="仿宋" w:hAnsi="仿宋" w:cs="仿宋" w:hint="eastAsia"/>
            <w:lang w:eastAsia="zh-CN"/>
          </w:rPr>
          <w:t>(二)、土建工程建设指标</w:t>
        </w:r>
        <w:r>
          <w:tab/>
        </w:r>
        <w:r>
          <w:fldChar w:fldCharType="begin"/>
        </w:r>
        <w:r>
          <w:instrText xml:space="preserve"> PAGEREF _Toc6789 \h </w:instrText>
        </w:r>
        <w:r>
          <w:fldChar w:fldCharType="separate"/>
        </w:r>
        <w:r>
          <w:t>77</w:t>
        </w:r>
        <w:r>
          <w:fldChar w:fldCharType="end"/>
        </w:r>
      </w:hyperlink>
    </w:p>
    <w:p>
      <w:pPr>
        <w:pStyle w:val="TOC1"/>
        <w:tabs>
          <w:tab w:val="right" w:leader="dot" w:pos="8306"/>
        </w:tabs>
      </w:pPr>
      <w:hyperlink w:anchor="_Toc12913" w:history="1">
        <w:r>
          <w:rPr>
            <w:rFonts w:ascii="仿宋" w:eastAsia="仿宋" w:hAnsi="仿宋" w:cs="仿宋" w:hint="eastAsia"/>
            <w:lang w:eastAsia="zh-CN"/>
          </w:rPr>
          <w:t>十六、营销与推广策略</w:t>
        </w:r>
        <w:r>
          <w:tab/>
        </w:r>
        <w:r>
          <w:fldChar w:fldCharType="begin"/>
        </w:r>
        <w:r>
          <w:instrText xml:space="preserve"> PAGEREF _Toc12913 \h </w:instrText>
        </w:r>
        <w:r>
          <w:fldChar w:fldCharType="separate"/>
        </w:r>
        <w:r>
          <w:t>78</w:t>
        </w:r>
        <w:r>
          <w:fldChar w:fldCharType="end"/>
        </w:r>
      </w:hyperlink>
    </w:p>
    <w:p>
      <w:pPr>
        <w:pStyle w:val="TOC2"/>
        <w:tabs>
          <w:tab w:val="right" w:leader="dot" w:pos="8306"/>
        </w:tabs>
      </w:pPr>
      <w:hyperlink w:anchor="_Toc30448" w:history="1">
        <w:r>
          <w:rPr>
            <w:rFonts w:ascii="仿宋" w:eastAsia="仿宋" w:hAnsi="仿宋" w:cs="仿宋" w:hint="eastAsia"/>
            <w:lang w:eastAsia="zh-CN"/>
          </w:rPr>
          <w:t>(一)、产品/服务定位与特点</w:t>
        </w:r>
        <w:r>
          <w:tab/>
        </w:r>
        <w:r>
          <w:fldChar w:fldCharType="begin"/>
        </w:r>
        <w:r>
          <w:instrText xml:space="preserve"> PAGEREF _Toc30448 \h </w:instrText>
        </w:r>
        <w:r>
          <w:fldChar w:fldCharType="separate"/>
        </w:r>
        <w:r>
          <w:t>78</w:t>
        </w:r>
        <w:r>
          <w:fldChar w:fldCharType="end"/>
        </w:r>
      </w:hyperlink>
    </w:p>
    <w:p>
      <w:pPr>
        <w:pStyle w:val="TOC2"/>
        <w:tabs>
          <w:tab w:val="right" w:leader="dot" w:pos="8306"/>
        </w:tabs>
      </w:pPr>
      <w:hyperlink w:anchor="_Toc6617" w:history="1">
        <w:r>
          <w:rPr>
            <w:rFonts w:ascii="仿宋" w:eastAsia="仿宋" w:hAnsi="仿宋" w:cs="仿宋" w:hint="eastAsia"/>
            <w:lang w:eastAsia="zh-CN"/>
          </w:rPr>
          <w:t>(二)、市场定位与竞争分析</w:t>
        </w:r>
        <w:r>
          <w:tab/>
        </w:r>
        <w:r>
          <w:fldChar w:fldCharType="begin"/>
        </w:r>
        <w:r>
          <w:instrText xml:space="preserve"> PAGEREF _Toc6617 \h </w:instrText>
        </w:r>
        <w:r>
          <w:fldChar w:fldCharType="separate"/>
        </w:r>
        <w:r>
          <w:t>80</w:t>
        </w:r>
        <w:r>
          <w:fldChar w:fldCharType="end"/>
        </w:r>
      </w:hyperlink>
    </w:p>
    <w:p>
      <w:pPr>
        <w:pStyle w:val="TOC2"/>
        <w:tabs>
          <w:tab w:val="right" w:leader="dot" w:pos="8306"/>
        </w:tabs>
      </w:pPr>
      <w:hyperlink w:anchor="_Toc24670" w:history="1">
        <w:r>
          <w:rPr>
            <w:rFonts w:ascii="仿宋" w:eastAsia="仿宋" w:hAnsi="仿宋" w:cs="仿宋" w:hint="eastAsia"/>
            <w:lang w:eastAsia="zh-CN"/>
          </w:rPr>
          <w:t>(三)、营销渠道与策略</w:t>
        </w:r>
        <w:r>
          <w:tab/>
        </w:r>
        <w:r>
          <w:fldChar w:fldCharType="begin"/>
        </w:r>
        <w:r>
          <w:instrText xml:space="preserve"> PAGEREF _Toc24670 \h </w:instrText>
        </w:r>
        <w:r>
          <w:fldChar w:fldCharType="separate"/>
        </w:r>
        <w:r>
          <w:t>81</w:t>
        </w:r>
        <w:r>
          <w:fldChar w:fldCharType="end"/>
        </w:r>
      </w:hyperlink>
    </w:p>
    <w:p>
      <w:pPr>
        <w:pStyle w:val="TOC2"/>
        <w:tabs>
          <w:tab w:val="right" w:leader="dot" w:pos="8306"/>
        </w:tabs>
      </w:pPr>
      <w:hyperlink w:anchor="_Toc15808" w:history="1">
        <w:r>
          <w:rPr>
            <w:rFonts w:ascii="仿宋" w:eastAsia="仿宋" w:hAnsi="仿宋" w:cs="仿宋" w:hint="eastAsia"/>
            <w:lang w:eastAsia="zh-CN"/>
          </w:rPr>
          <w:t>(四)、推广与宣传活动</w:t>
        </w:r>
        <w:r>
          <w:tab/>
        </w:r>
        <w:r>
          <w:fldChar w:fldCharType="begin"/>
        </w:r>
        <w:r>
          <w:instrText xml:space="preserve"> PAGEREF _Toc15808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96"/>
      <w:r>
        <w:rPr>
          <w:rFonts w:ascii="仿宋" w:eastAsia="仿宋" w:hAnsi="仿宋" w:cs="仿宋" w:hint="eastAsia"/>
          <w:sz w:val="28"/>
          <w:lang w:eastAsia="zh-CN"/>
        </w:rPr>
        <w:t>一、稳相微波射频同轴电缆项目绩效评估</w:t>
      </w:r>
      <w:bookmarkEnd w:id="2"/>
    </w:p>
    <w:p>
      <w:pPr>
        <w:pStyle w:val="Heading2"/>
        <w:rPr>
          <w:rFonts w:ascii="仿宋" w:eastAsia="仿宋" w:hAnsi="仿宋" w:cs="仿宋" w:hint="eastAsia"/>
          <w:lang w:eastAsia="zh-CN"/>
        </w:rPr>
      </w:pPr>
      <w:bookmarkStart w:id="3" w:name="_Toc2553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稳相微波射频同轴电缆项目中，我们设计了一套全面的绩效评估指标，以确保稳相微波射频同轴电缆项目的可控和成功交付。这些指标跨足稳相微波射频同轴电缆项目目标、成本、进度和质量等多个维度，为我们提供了全面洞察稳相微波射频同轴电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稳相微波射频同轴电缆项目目标达成率是我们关注的首要指标。我们设定了明确的目标，并通过定期监测和评估，迅速发现并应对潜在的目标偏差。这为稳相微波射频同轴电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成本绩效是另一个核心关注点。通过实际成本与预算成本的对比分析，我们深入了解成本差异的原因，及时调整资源分配，保持稳相微波射频同轴电缆项目在经济效益方面的合理水平。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稳相微波射频同轴电缆项目进度作为关键的绩效指标之一，得到了精心的关注。我们制定了详细的稳相微波射频同轴电缆项目进度计划，并设立了进度符合度指标，确保实际进度与计划进度保持一致。这使我们能够快速发现和解决潜在的进度问题，保持稳相微波射频同轴电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稳相微波射频同轴电缆项目绩效的不可或缺的一环。我们引入了一系列的质量标准和客户满意度指标，以确保稳相微波射频同轴电缆项目交付的成果在质量上达到或超越预期水平。通过持续监测这些指标，我们努力提升稳相微波射频同轴电缆项目整体质量水平，为稳相微波射频同轴电缆项目的成功交付提供有力保障。通过这些科学且全面的绩效评估，我们能够更好地引导稳相微波射频同轴电缆项目的持续改进，确保稳相微波射频同轴电缆项目目标的顺利达成。</w:t>
      </w:r>
    </w:p>
    <w:p>
      <w:pPr>
        <w:pStyle w:val="Heading2"/>
        <w:ind w:firstLine="560" w:firstLineChars="200"/>
        <w:rPr>
          <w:rFonts w:ascii="仿宋" w:eastAsia="仿宋" w:hAnsi="仿宋" w:cs="仿宋" w:hint="eastAsia"/>
          <w:sz w:val="28"/>
          <w:lang w:eastAsia="zh-CN"/>
        </w:rPr>
      </w:pPr>
      <w:bookmarkStart w:id="4" w:name="_Toc736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绩效评估是稳相微波射频同轴电缆项目中的关键环节，为确保稳相微波射频同轴电缆项目达到预期目标，我们采用了多层次、多维度的绩效评估方法。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稳相微波射频同轴电缆项目的战略目标对齐，确保每个决策和行动都与稳相微波射频同轴电缆项目整体目标保持一致。团队会定期召开战略对齐会议，审视当前工作与稳相微波射频同轴电缆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稳相微波射频同轴电缆项目进度、质量、成本和风险等方面。这些指标通过数据收集和分析，为稳相微波射频同轴电缆项目管理团队提供了客观的评估依据。例如，我们通过稳相微波射频同轴电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稳相微波射频同轴电缆项目内部，还考虑了稳相微波射频同轴电缆项目对外部环境的影响。我们定期进行干系人满意度调查，以了解各利益相关方对稳相微波射频同轴电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这种多层次、多角度的绩效评估方法，使得我们能够全面了解稳相微波射频同轴电缆项目的运行状态，及时做出调整，确保稳相微波射频同轴电缆项目在不断变化的环境中保持稳健前行。</w:t>
      </w:r>
    </w:p>
    <w:p>
      <w:pPr>
        <w:pStyle w:val="Heading2"/>
        <w:ind w:firstLine="560" w:firstLineChars="200"/>
        <w:rPr>
          <w:rFonts w:ascii="仿宋" w:eastAsia="仿宋" w:hAnsi="仿宋" w:cs="仿宋" w:hint="eastAsia"/>
          <w:sz w:val="28"/>
          <w:lang w:eastAsia="zh-CN"/>
        </w:rPr>
      </w:pPr>
      <w:bookmarkStart w:id="5" w:name="_Toc3064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为了确保稳相微波射频同轴电缆项目的有效管理和不断优化，我们采用了精心设计的绩效评估周期。这个周期旨在实现灵活、实时和全面的评估，以适应稳相微波射频同轴电缆项目执行中的各种挑战。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稳相微波射频同轴电缆项目的不同需求，分为短期、中期和长期。短期评估关注每个迭代或工作周期，以及时发现和解决当前任务中的问题。中期评估涵盖几个迭代，深入了解整体稳相微波射频同轴电缆项目的趋势和性能。长期评估则着眼于整个稳相微波射频同轴电缆项目阶段，确保稳相微波射频同轴电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稳相微波射频同轴电缆项目管理工具和协作平台，团队成员能够随时更新和分享稳相微波射频同轴电缆项目数据。这种实时性的反馈机制使我们能够及时察觉潜在问题，快速调整，保持稳相微波射频同轴电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稳相微波射频同轴电缆项目的决策制定密不可分。每个周期的稳相微波射频同轴电缆项目回顾会议成为集体总结经验、识别问题深层次原因并找到创新解决方案的平台。这种定期的反思与调整机制使稳相微波射频同轴电缆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9104"/>
      <w:r>
        <w:rPr>
          <w:rFonts w:ascii="仿宋" w:eastAsia="仿宋" w:hAnsi="仿宋" w:cs="仿宋" w:hint="eastAsia"/>
          <w:sz w:val="28"/>
          <w:lang w:eastAsia="zh-CN"/>
        </w:rPr>
        <w:t>二、稳相微波射频同轴电缆项目可持续发展</w:t>
      </w:r>
      <w:bookmarkEnd w:id="6"/>
    </w:p>
    <w:p>
      <w:pPr>
        <w:pStyle w:val="Heading2"/>
        <w:rPr>
          <w:rFonts w:ascii="仿宋" w:eastAsia="仿宋" w:hAnsi="仿宋" w:cs="仿宋" w:hint="eastAsia"/>
          <w:lang w:eastAsia="zh-CN"/>
        </w:rPr>
      </w:pPr>
      <w:bookmarkStart w:id="7" w:name="_Toc15859"/>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稳相微波射频同轴电缆项目中，稳相微波射频同轴电缆项目团队着眼于未来，明确了可持续发展的战略方向。制定的具体可持续发展目标包括降低资源使用、采用环保技术、最大化社会效益等。这一步骤不仅有助于稳相微波射频同轴电缆项目在环保和社会责任方面达到最高标准，也为未来提供了明确的指引，确保稳相微波射频同轴电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可持续实践的融入稳相微波射频同轴电缆项目管理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稳相微波射频同轴电缆项目管理周期。从稳相微波射频同轴电缆项目规划开始，稳相微波射频同轴电缆项目团队就考虑了环境和社会的因素。在执行阶段，稳相微波射频同轴电缆项目团队积极推动绿色技术的应用，优化资源利用。此外，关注员工的社会责任，通过培训和沟通活动提高员工对可持续发展的认知，使他们能够在日常工作中践行可持续实践。这些举措不仅为稳相微波射频同轴电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2769"/>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稳相微波射频同轴电缆项目的可持续发展理念，我们深信环保与社会责任是稳相微波射频同轴电缆项目成功的关键支柱。在稳相微波射频同轴电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稳相微波射频同轴电缆项目团队通过引入先进的环保技术、建立高效的废物处理系统以及推动能源节约措施，积极履行环保责任。定期的环保监测和评估确保稳相微波射频同轴电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稳相微波射频同轴电缆项目不仅致力于自身可持续发展，还注重对社会的回馈。通过支持社区稳相微波射频同轴电缆项目、参与慈善事业、提供培训机会等方式，稳相微波射频同轴电缆项目积极履行社会责任。与当地社区建立积极互动，关注员工的工作与生活平衡，以及员工的身心健康，是稳相微波射频同轴电缆项目在社会责任层面的关键举措。这样的实践不仅增强了稳相微波射频同轴电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5605"/>
      <w:r>
        <w:rPr>
          <w:rFonts w:ascii="仿宋" w:eastAsia="仿宋" w:hAnsi="仿宋" w:cs="仿宋" w:hint="eastAsia"/>
          <w:sz w:val="28"/>
          <w:lang w:eastAsia="zh-CN"/>
        </w:rPr>
        <w:t>三、稳相微波射频同轴电缆项目建设单位说明</w:t>
      </w:r>
      <w:bookmarkEnd w:id="9"/>
    </w:p>
    <w:p>
      <w:pPr>
        <w:pStyle w:val="Heading2"/>
        <w:rPr>
          <w:rFonts w:ascii="仿宋" w:eastAsia="仿宋" w:hAnsi="仿宋" w:cs="仿宋" w:hint="eastAsia"/>
          <w:lang w:eastAsia="zh-CN"/>
        </w:rPr>
      </w:pPr>
      <w:bookmarkStart w:id="10" w:name="_Toc22432"/>
      <w:r>
        <w:rPr>
          <w:rFonts w:ascii="仿宋" w:eastAsia="仿宋" w:hAnsi="仿宋" w:cs="仿宋" w:hint="eastAsia"/>
          <w:lang w:eastAsia="zh-CN"/>
        </w:rPr>
        <w:t>(一)、稳相微波射频同轴电缆项目承办单位基本情况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7002"/>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稳相微波射频同轴电缆项目承办单位的XXXX，我们着眼于实现可持续的经济效益。通过技术创新和解决方案的提供，公司预计在稳相微波射频同轴电缆项目执行期间将获得可观的收入增长。这一收入来源主要包括稳相微波射频同轴电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同时，我们注重成本控制和效率提升，以确保稳相微波射频同轴电缆项目的可持续盈利。透过精细的管理和资源优化，公司期望实现稳相微波射频同轴电缆项目利润最大化。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稳相微波射频同轴电缆项目实施进行全面的投资评估，包括稳相微波射频同轴电缆项目启动阶段的资金投入和后续运营成本。通过对稳相微波射频同轴电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稳相微波射频同轴电缆项目实施过程中具备足够的资金流动性，公司将进行详尽的现金流分析。这包括资金需求的合理预测、稳相微波射频同轴电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5820"/>
      <w:r>
        <w:rPr>
          <w:rFonts w:ascii="仿宋" w:eastAsia="仿宋" w:hAnsi="仿宋" w:cs="仿宋" w:hint="eastAsia"/>
          <w:sz w:val="28"/>
          <w:lang w:eastAsia="zh-CN"/>
        </w:rPr>
        <w:t>四、稳相微波射频同轴电缆项目土建工程</w:t>
      </w:r>
      <w:bookmarkEnd w:id="12"/>
    </w:p>
    <w:p>
      <w:pPr>
        <w:pStyle w:val="Heading2"/>
        <w:rPr>
          <w:rFonts w:ascii="仿宋" w:eastAsia="仿宋" w:hAnsi="仿宋" w:cs="仿宋" w:hint="eastAsia"/>
          <w:lang w:eastAsia="zh-CN"/>
        </w:rPr>
      </w:pPr>
      <w:bookmarkStart w:id="13" w:name="_Toc23431"/>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在稳相微波射频同轴电缆项目的建筑工程设计中，我们将秉承一系列重要的设计原则，以确保稳相微波射频同轴电缆项目建筑在功能、美观、可持续性等方面达到最佳效果。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首要原则是确保建筑的功能性得到最大化的发挥。我们将充分理解稳相微波射频同轴电缆项目的实际需求，合理布局各个功能区域，保证建筑在满足业务需求的同时，提供高效的工作环境。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在建筑设计中，我们将综合考虑建设和运营成本。通过精细的经济效益分析，确保设计方案在高效利用资源的同时，对稳相微波射频同轴电缆项目的长期盈利能力有积极的贡献。</w:t>
      </w:r>
    </w:p>
    <w:p>
      <w:pPr>
        <w:pStyle w:val="Heading2"/>
        <w:ind w:firstLine="560" w:firstLineChars="200"/>
        <w:rPr>
          <w:rFonts w:ascii="仿宋" w:eastAsia="仿宋" w:hAnsi="仿宋" w:cs="仿宋" w:hint="eastAsia"/>
          <w:sz w:val="28"/>
          <w:lang w:eastAsia="zh-CN"/>
        </w:rPr>
      </w:pPr>
      <w:bookmarkStart w:id="14" w:name="_Toc2605"/>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稳相微波射频同轴电缆项目的土建工程设计中，我们将精准设定设计年限，结合稳相微波射频同轴电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稳相微波射频同轴电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58"/>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稳相微波射频同轴电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稳相微波射频同轴电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稳相微波射频同轴电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0823"/>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本期工程稳相微波射频同轴电缆项目预计总建筑面积XXX平方米，其中：计容建筑面积XXX平方米，计划建筑工程投资XX万元，占稳相微波射频同轴电缆项目总投资的XX%。</w:t>
      </w:r>
    </w:p>
    <w:p>
      <w:pPr>
        <w:pStyle w:val="Heading1"/>
        <w:ind w:firstLine="560" w:firstLineChars="200"/>
        <w:rPr>
          <w:rFonts w:ascii="仿宋" w:eastAsia="仿宋" w:hAnsi="仿宋" w:cs="仿宋" w:hint="eastAsia"/>
          <w:sz w:val="28"/>
          <w:lang w:eastAsia="zh-CN"/>
        </w:rPr>
      </w:pPr>
      <w:bookmarkStart w:id="17" w:name="_Toc4341"/>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21019"/>
      <w:r>
        <w:rPr>
          <w:rFonts w:ascii="仿宋" w:eastAsia="仿宋" w:hAnsi="仿宋" w:cs="仿宋" w:hint="eastAsia"/>
          <w:lang w:eastAsia="zh-CN"/>
        </w:rPr>
        <w:t>(一)、稳相微波射频同轴电缆行业分析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稳相微波射频同轴电缆行业一直以来都是市场的关注焦点。行业内的发展趋势、竞争态势以及潜在机会都对稳相微波射频同轴电缆项目的推进产生深远的影响。通过深入研究行业的整体概貌，我们将更好地理解行业的核心特征，为稳相微波射频同轴电缆项目的定位提供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稳相微波射频同轴电缆行业，技术一直是推动创新和发展的关键因素。我们将对当前技术趋势进行详尽分析，包括但不限于人工智能、大数据应用、先进制造技术等。这有助于稳相微波射频同轴电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稳相微波射频同轴电缆项目成功的基础。我们将对主要竞争对手进行深入研究，包括其市场份额、产品特点、市场定位等。通过全面了解竞争对手的优势和劣势，稳相微波射频同轴电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1032"/>
      <w:r>
        <w:rPr>
          <w:rFonts w:ascii="仿宋" w:eastAsia="仿宋" w:hAnsi="仿宋" w:cs="仿宋" w:hint="eastAsia"/>
          <w:sz w:val="28"/>
          <w:lang w:eastAsia="zh-CN"/>
        </w:rPr>
        <w:t>(二)、稳相微波射频同轴电缆市场分析预测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稳相微波射频同轴电缆市场未来的增长趋势。这包括市场的整体规模、各细分领域的发展趋势等。稳相微波射频同轴电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稳相微波射频同轴电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稳相微波射频同轴电缆项目实施过程中需要充分考虑的因素。我们将对市场风险进行全面评估，包括但不限于政策法规风险、市场竞争风险、技术变革风险等。通过对潜在风险的深入分析，稳相微波射频同轴电缆项目可以制定相应的风险缓解策略，降低不确定性对稳相微波射频同轴电缆项目的影响。</w:t>
      </w:r>
    </w:p>
    <w:p>
      <w:pPr>
        <w:pStyle w:val="Heading1"/>
        <w:ind w:firstLine="560" w:firstLineChars="200"/>
        <w:rPr>
          <w:rFonts w:ascii="仿宋" w:eastAsia="仿宋" w:hAnsi="仿宋" w:cs="仿宋" w:hint="eastAsia"/>
          <w:sz w:val="28"/>
          <w:lang w:eastAsia="zh-CN"/>
        </w:rPr>
      </w:pPr>
      <w:bookmarkStart w:id="20" w:name="_Toc20309"/>
      <w:r>
        <w:rPr>
          <w:rFonts w:ascii="仿宋" w:eastAsia="仿宋" w:hAnsi="仿宋" w:cs="仿宋" w:hint="eastAsia"/>
          <w:sz w:val="28"/>
          <w:lang w:eastAsia="zh-CN"/>
        </w:rPr>
        <w:t>六、稳相微波射频同轴电缆项目文档管理</w:t>
      </w:r>
      <w:bookmarkEnd w:id="20"/>
    </w:p>
    <w:p>
      <w:pPr>
        <w:pStyle w:val="Heading2"/>
        <w:rPr>
          <w:rFonts w:ascii="仿宋" w:eastAsia="仿宋" w:hAnsi="仿宋" w:cs="仿宋" w:hint="eastAsia"/>
          <w:lang w:eastAsia="zh-CN"/>
        </w:rPr>
      </w:pPr>
      <w:bookmarkStart w:id="21" w:name="_Toc18081"/>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稳相微波射频同轴电缆项目高度重视文档的质量和准确性，以支持稳相微波射频同轴电缆项目的各项活动和决策。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稳相微波射频同轴电缆项目文档的编制始于稳相微波射频同轴电缆项目计划的初期，我们制定了详细的文档编制计划，明确了每个文档的内容、格式和编写责任人。在稳相微波射频同轴电缆项目启动阶段，我们首先编制了稳相微波射频同轴电缆项目章程，明确定义了稳相微波射频同轴电缆项目的目标、范围、风险等关键要素。随后，稳相微波射频同轴电缆项目团队根据计划陆续编制了需求文档、设计文档、测试文档等各类文档，确保稳相微波射频同轴电缆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稳相微波射频同轴电缆项目管理中的重要环节，旨在确保稳相微波射频同轴电缆项目文档符合质量标准和稳相微波射频同轴电缆项目需求。在稳相微波射频同轴电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稳相微波射频同轴电缆项目相关利益方和专业领域的专家对文档进行独立审查。这有助于获取更全面、客观的反馈，确保稳相微波射频同轴电缆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稳相微波射频同轴电缆项目在文档编制与审查方面建立了严格的管理机制，通过规范的流程和多维度的审查，确保稳相微波射频同轴电缆项目文档的质量、准确性和可靠性，为稳相微波射频同轴电缆项目的顺利推进提供了有力支持。</w:t>
      </w:r>
    </w:p>
    <w:p>
      <w:pPr>
        <w:pStyle w:val="Heading2"/>
        <w:ind w:firstLine="560" w:firstLineChars="200"/>
        <w:rPr>
          <w:rFonts w:ascii="仿宋" w:eastAsia="仿宋" w:hAnsi="仿宋" w:cs="仿宋" w:hint="eastAsia"/>
          <w:sz w:val="28"/>
          <w:lang w:eastAsia="zh-CN"/>
        </w:rPr>
      </w:pPr>
      <w:bookmarkStart w:id="22" w:name="_Toc8148"/>
      <w:r>
        <w:rPr>
          <w:rFonts w:ascii="仿宋" w:eastAsia="仿宋" w:hAnsi="仿宋" w:cs="仿宋" w:hint="eastAsia"/>
          <w:sz w:val="28"/>
          <w:lang w:eastAsia="zh-CN"/>
        </w:rPr>
        <w:t>(二)、文档发布与分发</w:t>
      </w:r>
      <w:bookmarkEnd w:id="22"/>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https://d.book118.com/308125075111006046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稳相微波射频同轴电缆项目规划设计方案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057239"/>
    <w:rsid w:val="650572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812507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2024-03-04T20:30:00Z</dcterms:created>
  <dcterms:modified xsi:type="dcterms:W3CDTF">2024-03-04T20:30:51Z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158C54D1AAB54D27B832D5BCF7994D3D_11</vt:lpwstr>
  </property>
  <property fmtid="{D5CDD505-2E9C-101B-9397-08002B2CF9AE}" pid="3" name="KSOProductBuildVer">
    <vt:lpwstr>2052-12.1.0.16388</vt:lpwstr>
  </property>
</Properties>
</file>