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医药工业自动化相关行业公司成立报告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(七)、医药工业自动化项目建设必要性分析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二、医药工业自动化项目概况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(二)、医药工业自动化项目提出的理由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(三)、医药工业自动化项目选址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(六)、医药工业自动化项目投资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(七)、医药工业自动化项目进度规划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(九)、医药工业自动化项目综合评价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(一)、医药工业自动化项目进度安排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(二)、医药工业自动化项目实施保障措施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_Toc21795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(一)、医药工业自动化项目背景分析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(二)、医药工业自动化项目建设必要性分析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eastAsia="zh-CN"/>
          </w:rPr>
          <w:t>十、医药工业自动化项目风险分析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(一)、医药工业自动化项目风险分析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(二)、医药工业自动化项目风险对策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1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4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4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https://d.book118.com/308141072016006031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医药工业自动化相关行业公司成立报告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医药工业自动化相关行业公司成立报告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医药工业自动化相关行业公司成立报告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医药工业自动化相关行业公司成立报告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医药工业自动化相关行业公司成立报告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141072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2024-01-01T23:17:00Z</dcterms:created>
  <dcterms:modified xsi:type="dcterms:W3CDTF">2024-01-01T23:17:49Z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CE1C9A442743480FB2B38449BD8641E1_11</vt:lpwstr>
  </property>
  <property fmtid="{D5CDD505-2E9C-101B-9397-08002B2CF9AE}" pid="3" name="KSOProductBuildVer">
    <vt:lpwstr>2052-12.1.0.16120</vt:lpwstr>
  </property>
</Properties>
</file>