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非线性编辑设备项目评估报告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79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_Toc5796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4765" w:history="1">
        <w:r>
          <w:rPr>
            <w:rFonts w:ascii="仿宋" w:eastAsia="仿宋" w:hAnsi="仿宋" w:cs="仿宋" w:hint="eastAsia"/>
            <w:lang w:eastAsia="zh-CN"/>
          </w:rPr>
          <w:t>一、工艺方案的选择</w:t>
        </w:r>
        <w:r>
          <w:tab/>
        </w:r>
        <w:r>
          <w:fldChar w:fldCharType="begin"/>
        </w:r>
        <w:r>
          <w:instrText xml:space="preserve"> PAGEREF _Toc24765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6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_Toc25286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3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_Toc5663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" w:history="1">
        <w:r>
          <w:rPr>
            <w:rFonts w:ascii="仿宋" w:eastAsia="仿宋" w:hAnsi="仿宋" w:cs="仿宋" w:hint="eastAsia"/>
            <w:lang w:eastAsia="zh-CN"/>
          </w:rPr>
          <w:t>(三)、非线性编辑设备项目组成</w:t>
        </w:r>
        <w:r>
          <w:tab/>
        </w:r>
        <w:r>
          <w:fldChar w:fldCharType="begin"/>
        </w:r>
        <w:r>
          <w:instrText xml:space="preserve"> PAGEREF _Toc103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4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_Toc25224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8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_Toc3948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51" w:history="1">
        <w:r>
          <w:rPr>
            <w:rFonts w:ascii="仿宋" w:eastAsia="仿宋" w:hAnsi="仿宋" w:cs="仿宋" w:hint="eastAsia"/>
            <w:lang w:eastAsia="zh-CN"/>
          </w:rPr>
          <w:t>二、非线性编辑设备项目建设目标</w:t>
        </w:r>
        <w:r>
          <w:tab/>
        </w:r>
        <w:r>
          <w:fldChar w:fldCharType="begin"/>
        </w:r>
        <w:r>
          <w:instrText xml:space="preserve"> PAGEREF _Toc11351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3" w:history="1">
        <w:r>
          <w:rPr>
            <w:rFonts w:ascii="仿宋" w:eastAsia="仿宋" w:hAnsi="仿宋" w:cs="仿宋" w:hint="eastAsia"/>
            <w:lang w:eastAsia="zh-CN"/>
          </w:rPr>
          <w:t>(一)、非线性编辑设备项目建设目标</w:t>
        </w:r>
        <w:r>
          <w:tab/>
        </w:r>
        <w:r>
          <w:fldChar w:fldCharType="begin"/>
        </w:r>
        <w:r>
          <w:instrText xml:space="preserve"> PAGEREF _Toc21123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22" w:history="1">
        <w:r>
          <w:rPr>
            <w:rFonts w:ascii="仿宋" w:eastAsia="仿宋" w:hAnsi="仿宋" w:cs="仿宋" w:hint="eastAsia"/>
            <w:lang w:eastAsia="zh-CN"/>
          </w:rPr>
          <w:t>三、非线性编辑设备项目建设内容</w:t>
        </w:r>
        <w:r>
          <w:tab/>
        </w:r>
        <w:r>
          <w:fldChar w:fldCharType="begin"/>
        </w:r>
        <w:r>
          <w:instrText xml:space="preserve"> PAGEREF _Toc29222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_Toc504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2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_Toc22212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4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_Toc6724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3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_Toc24073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95" w:history="1">
        <w:r>
          <w:rPr>
            <w:rFonts w:ascii="仿宋" w:eastAsia="仿宋" w:hAnsi="仿宋" w:cs="仿宋" w:hint="eastAsia"/>
            <w:lang w:eastAsia="zh-CN"/>
          </w:rPr>
          <w:t>四、非线性编辑设备项目建设背景</w:t>
        </w:r>
        <w:r>
          <w:tab/>
        </w:r>
        <w:r>
          <w:fldChar w:fldCharType="begin"/>
        </w:r>
        <w:r>
          <w:instrText xml:space="preserve"> PAGEREF _Toc11295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8" w:history="1">
        <w:r>
          <w:rPr>
            <w:rFonts w:ascii="仿宋" w:eastAsia="仿宋" w:hAnsi="仿宋" w:cs="仿宋" w:hint="eastAsia"/>
            <w:lang w:eastAsia="zh-CN"/>
          </w:rPr>
          <w:t>(一)、非线性编辑设备项目提出背景</w:t>
        </w:r>
        <w:r>
          <w:tab/>
        </w:r>
        <w:r>
          <w:fldChar w:fldCharType="begin"/>
        </w:r>
        <w:r>
          <w:instrText xml:space="preserve"> PAGEREF _Toc26908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1" w:history="1">
        <w:r>
          <w:rPr>
            <w:rFonts w:ascii="仿宋" w:eastAsia="仿宋" w:hAnsi="仿宋" w:cs="仿宋" w:hint="eastAsia"/>
            <w:lang w:eastAsia="zh-CN"/>
          </w:rPr>
          <w:t>(二)、非线性编辑设备项目建设的必要性</w:t>
        </w:r>
        <w:r>
          <w:tab/>
        </w:r>
        <w:r>
          <w:fldChar w:fldCharType="begin"/>
        </w:r>
        <w:r>
          <w:instrText xml:space="preserve"> PAGEREF _Toc8731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4" w:history="1">
        <w:r>
          <w:rPr>
            <w:rFonts w:ascii="仿宋" w:eastAsia="仿宋" w:hAnsi="仿宋" w:cs="仿宋" w:hint="eastAsia"/>
            <w:lang w:eastAsia="zh-CN"/>
          </w:rPr>
          <w:t>(三)、非线性编辑设备项目建设的可行性</w:t>
        </w:r>
        <w:r>
          <w:tab/>
        </w:r>
        <w:r>
          <w:fldChar w:fldCharType="begin"/>
        </w:r>
        <w:r>
          <w:instrText xml:space="preserve"> PAGEREF _Toc13864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6" w:history="1">
        <w:r>
          <w:rPr>
            <w:rFonts w:ascii="仿宋" w:eastAsia="仿宋" w:hAnsi="仿宋" w:cs="仿宋" w:hint="eastAsia"/>
            <w:lang w:eastAsia="zh-CN"/>
          </w:rPr>
          <w:t>五、职业保护</w:t>
        </w:r>
        <w:r>
          <w:tab/>
        </w:r>
        <w:r>
          <w:fldChar w:fldCharType="begin"/>
        </w:r>
        <w:r>
          <w:instrText xml:space="preserve"> PAGEREF _Toc20496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_Toc1693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_Toc732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_Toc26717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_Toc15180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0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_Toc16790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_Toc21801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6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_Toc31756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_Toc9144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4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_Toc21544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4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_Toc5934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0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_Toc12550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80" w:history="1">
        <w:r>
          <w:rPr>
            <w:rFonts w:ascii="仿宋" w:eastAsia="仿宋" w:hAnsi="仿宋" w:cs="仿宋" w:hint="eastAsia"/>
            <w:lang w:eastAsia="zh-CN"/>
          </w:rPr>
          <w:t>六、非线性编辑设备项目建设符合性</w:t>
        </w:r>
        <w:r>
          <w:tab/>
        </w:r>
        <w:r>
          <w:fldChar w:fldCharType="begin"/>
        </w:r>
        <w:r>
          <w:instrText xml:space="preserve"> PAGEREF _Toc23280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4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_Toc22094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0" w:history="1">
        <w:r>
          <w:rPr>
            <w:rFonts w:ascii="仿宋" w:eastAsia="仿宋" w:hAnsi="仿宋" w:cs="仿宋" w:hint="eastAsia"/>
            <w:lang w:eastAsia="zh-CN"/>
          </w:rPr>
          <w:t>(二)、非线性编辑设备项目选址与用地规划相容性</w:t>
        </w:r>
        <w:r>
          <w:tab/>
        </w:r>
        <w:r>
          <w:fldChar w:fldCharType="begin"/>
        </w:r>
        <w:r>
          <w:instrText xml:space="preserve"> PAGEREF _Toc6800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3" w:history="1">
        <w:r>
          <w:rPr>
            <w:rFonts w:ascii="仿宋" w:eastAsia="仿宋" w:hAnsi="仿宋" w:cs="仿宋" w:hint="eastAsia"/>
            <w:lang w:eastAsia="zh-CN"/>
          </w:rPr>
          <w:t>七、效益分析</w:t>
        </w:r>
        <w:r>
          <w:tab/>
        </w:r>
        <w:r>
          <w:fldChar w:fldCharType="begin"/>
        </w:r>
        <w:r>
          <w:instrText xml:space="preserve"> PAGEREF _Toc1453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3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_Toc19423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3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_Toc5403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3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_Toc3743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12" w:history="1">
        <w:r>
          <w:rPr>
            <w:rFonts w:ascii="仿宋" w:eastAsia="仿宋" w:hAnsi="仿宋" w:cs="仿宋" w:hint="eastAsia"/>
            <w:lang w:eastAsia="zh-CN"/>
          </w:rPr>
          <w:t>八、环境保护与安全生产</w:t>
        </w:r>
        <w:r>
          <w:tab/>
        </w:r>
        <w:r>
          <w:fldChar w:fldCharType="begin"/>
        </w:r>
        <w:r>
          <w:instrText xml:space="preserve"> PAGEREF _Toc26712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9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_Toc30349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3" w:history="1">
        <w:r>
          <w:rPr>
            <w:rFonts w:ascii="仿宋" w:eastAsia="仿宋" w:hAnsi="仿宋" w:cs="仿宋" w:hint="eastAsia"/>
            <w:lang w:eastAsia="zh-CN"/>
          </w:rPr>
          <w:t>(二)、非线性编辑设备项目拟采用的环境保护标准</w:t>
        </w:r>
        <w:r>
          <w:tab/>
        </w:r>
        <w:r>
          <w:fldChar w:fldCharType="begin"/>
        </w:r>
        <w:r>
          <w:instrText xml:space="preserve"> PAGEREF _Toc28483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3" w:history="1">
        <w:r>
          <w:rPr>
            <w:rFonts w:ascii="仿宋" w:eastAsia="仿宋" w:hAnsi="仿宋" w:cs="仿宋" w:hint="eastAsia"/>
            <w:lang w:eastAsia="zh-CN"/>
          </w:rPr>
          <w:t>(三)、非线性编辑设备项目对环境的影响及治理对策</w:t>
        </w:r>
        <w:r>
          <w:tab/>
        </w:r>
        <w:r>
          <w:fldChar w:fldCharType="begin"/>
        </w:r>
        <w:r>
          <w:instrText xml:space="preserve"> PAGEREF _Toc31443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7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_Toc6137 \h </w:instrText>
        </w:r>
        <w:r>
          <w:fldChar w:fldCharType="separate"/>
        </w:r>
        <w:r>
          <w:t>47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https://d.book118.com/315030344041011101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非线性编辑设备项目评估报告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非线性编辑设备项目评估报告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D50DFD"/>
    <w:rsid w:val="55D50D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31503034404101110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2024-01-24T08:11:00Z</dcterms:created>
  <dcterms:modified xsi:type="dcterms:W3CDTF">2024-01-24T08:12:15Z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0CECAEAE93F44827882ECFEC3C8C08F3_11</vt:lpwstr>
  </property>
  <property fmtid="{D5CDD505-2E9C-101B-9397-08002B2CF9AE}" pid="3" name="KSOProductBuildVer">
    <vt:lpwstr>2052-12.1.0.16120</vt:lpwstr>
  </property>
</Properties>
</file>