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35" w:lineRule="auto"/>
        <w:rPr>
          <w:rFonts w:ascii="Arial"/>
          <w:sz w:val="21"/>
        </w:rPr>
      </w:pPr>
    </w:p>
    <w:p>
      <w:pPr>
        <w:spacing w:before="101" w:line="224" w:lineRule="auto"/>
        <w:ind w:left="1883"/>
        <w:outlineLvl w:val="0"/>
        <w:rPr>
          <w:rFonts w:ascii="SimHei" w:eastAsia="SimHei" w:hAnsi="SimHei" w:cs="SimHei"/>
          <w:sz w:val="31"/>
          <w:szCs w:val="31"/>
        </w:rPr>
      </w:pPr>
      <w:r>
        <w:rPr>
          <w:rFonts w:ascii="SimHei" w:eastAsia="SimHei" w:hAnsi="SimHei" w:cs="SimHei"/>
          <w:spacing w:val="8"/>
          <w:sz w:val="31"/>
          <w:szCs w:val="31"/>
        </w:rPr>
        <w:t>工业产品风险评估指南</w:t>
      </w:r>
      <w:r>
        <w:rPr>
          <w:rFonts w:ascii="SimHei" w:eastAsia="SimHei" w:hAnsi="SimHei" w:cs="SimHei"/>
          <w:spacing w:val="8"/>
          <w:sz w:val="31"/>
          <w:szCs w:val="31"/>
        </w:rPr>
        <w:t xml:space="preserve"> </w:t>
      </w:r>
      <w:r>
        <w:rPr>
          <w:rFonts w:ascii="SimHei" w:eastAsia="SimHei" w:hAnsi="SimHei" w:cs="SimHei"/>
          <w:spacing w:val="8"/>
          <w:sz w:val="31"/>
          <w:szCs w:val="31"/>
        </w:rPr>
        <w:t>稀土永磁电动机</w:t>
      </w: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before="68" w:line="221" w:lineRule="auto"/>
        <w:ind w:left="12"/>
        <w:rPr>
          <w:rFonts w:ascii="SimHei" w:eastAsia="SimHei" w:hAnsi="SimHei" w:cs="SimHei"/>
          <w:sz w:val="21"/>
          <w:szCs w:val="21"/>
        </w:rPr>
      </w:pPr>
      <w:r>
        <w:rPr>
          <w:rFonts w:ascii="SimHei" w:eastAsia="SimHei" w:hAnsi="SimHei" w:cs="SimHei"/>
          <w:spacing w:val="-9"/>
          <w:sz w:val="21"/>
          <w:szCs w:val="21"/>
        </w:rPr>
        <w:t>1</w:t>
      </w:r>
      <w:r>
        <w:rPr>
          <w:rFonts w:ascii="SimHei" w:eastAsia="SimHei" w:hAnsi="SimHei" w:cs="SimHei"/>
          <w:spacing w:val="7"/>
          <w:sz w:val="21"/>
          <w:szCs w:val="21"/>
        </w:rPr>
        <w:t xml:space="preserve">  </w:t>
      </w:r>
      <w:r>
        <w:rPr>
          <w:rFonts w:ascii="SimHei" w:eastAsia="SimHei" w:hAnsi="SimHei" w:cs="SimHei"/>
          <w:spacing w:val="-9"/>
          <w:sz w:val="21"/>
          <w:szCs w:val="21"/>
        </w:rPr>
        <w:t>范围</w:t>
      </w:r>
    </w:p>
    <w:p>
      <w:pPr>
        <w:spacing w:line="301" w:lineRule="auto"/>
        <w:rPr>
          <w:rFonts w:ascii="Arial"/>
          <w:sz w:val="21"/>
        </w:rPr>
      </w:pPr>
    </w:p>
    <w:p>
      <w:pPr>
        <w:pStyle w:val="BodyText"/>
        <w:spacing w:before="68" w:line="247" w:lineRule="auto"/>
        <w:ind w:left="422" w:right="199"/>
      </w:pPr>
      <w:r>
        <w:rPr>
          <w:spacing w:val="-1"/>
        </w:rPr>
        <w:t>本文件给出了工业产品——稀土永磁电动机安全伤害风险评估的原则、流程和风险控制的指南。</w:t>
      </w:r>
      <w:r>
        <w:rPr>
          <w:spacing w:val="9"/>
        </w:rPr>
        <w:t xml:space="preserve"> </w:t>
      </w:r>
      <w:r>
        <w:rPr>
          <w:spacing w:val="-1"/>
        </w:rPr>
        <w:t>本文件适用于普通稀土永磁电动机的风险评估。</w:t>
      </w:r>
    </w:p>
    <w:p>
      <w:pPr>
        <w:spacing w:line="304" w:lineRule="auto"/>
        <w:rPr>
          <w:rFonts w:ascii="Arial"/>
          <w:sz w:val="21"/>
        </w:rPr>
      </w:pPr>
    </w:p>
    <w:p>
      <w:pPr>
        <w:spacing w:before="68" w:line="220" w:lineRule="auto"/>
        <w:rPr>
          <w:rFonts w:ascii="SimHei" w:eastAsia="SimHei" w:hAnsi="SimHei" w:cs="SimHei"/>
          <w:sz w:val="21"/>
          <w:szCs w:val="21"/>
        </w:rPr>
      </w:pPr>
      <w:r>
        <w:rPr>
          <w:rFonts w:ascii="SimHei" w:eastAsia="SimHei" w:hAnsi="SimHei" w:cs="SimHei"/>
          <w:spacing w:val="-1"/>
          <w:sz w:val="21"/>
          <w:szCs w:val="21"/>
        </w:rPr>
        <w:t>2</w:t>
      </w:r>
      <w:r>
        <w:rPr>
          <w:rFonts w:ascii="SimHei" w:eastAsia="SimHei" w:hAnsi="SimHei" w:cs="SimHei"/>
          <w:spacing w:val="-1"/>
          <w:sz w:val="21"/>
          <w:szCs w:val="21"/>
        </w:rPr>
        <w:t xml:space="preserve">  </w:t>
      </w:r>
      <w:r>
        <w:rPr>
          <w:rFonts w:ascii="SimHei" w:eastAsia="SimHei" w:hAnsi="SimHei" w:cs="SimHei"/>
          <w:spacing w:val="-1"/>
          <w:sz w:val="21"/>
          <w:szCs w:val="21"/>
        </w:rPr>
        <w:t>规范性引用文件</w:t>
      </w:r>
    </w:p>
    <w:p>
      <w:pPr>
        <w:spacing w:line="303" w:lineRule="auto"/>
        <w:rPr>
          <w:rFonts w:ascii="Arial"/>
          <w:sz w:val="21"/>
        </w:rPr>
      </w:pPr>
    </w:p>
    <w:p>
      <w:pPr>
        <w:pStyle w:val="BodyText"/>
        <w:spacing w:before="70" w:line="221" w:lineRule="auto"/>
        <w:jc w:val="right"/>
      </w:pPr>
      <w:r>
        <w:rPr>
          <w:spacing w:val="-1"/>
        </w:rPr>
        <w:t>下列文件中的内容通过文中的规范性引用而构成文件必不可少的条款。其中，注日</w:t>
      </w:r>
      <w:r>
        <w:rPr>
          <w:spacing w:val="-2"/>
        </w:rPr>
        <w:t>期的引用文件，</w:t>
      </w:r>
    </w:p>
    <w:p>
      <w:pPr>
        <w:pStyle w:val="BodyText"/>
        <w:spacing w:before="60" w:line="220" w:lineRule="auto"/>
      </w:pPr>
      <w:r>
        <w:pict>
          <v:shape id="_x0000_s1025" style="width:275.4pt;height:275.85pt;margin-top:11.13pt;margin-left:100.7pt;position:absolute;z-index:-251658240" coordorigin="0,0" coordsize="5507,5517" path="m2272,5232c2052,5452,1808,5536,1518,5498c1228,5461,903,5278,555,4930c265,4640,94,4326,33,3990c-39,3666,56,3387,288,3155c346,3097,404,3062,474,3016c555,2982,613,2946,648,2911c683,2877,706,2853,718,2819c717,2795,729,2761,718,2726c922,2862,1128,2996,1332,3132c1317,3163,1301,3194,1286,3225c1089,3119,926,3075,764,3074c602,3072,474,3132,346,3259c184,3422,147,3643,242,3898c325,4164,497,4431,764,4698c1054,4988,1310,5172,1553,5255c1796,5338,2005,5290,2179,5116c2307,4988,2367,4837,2365,4652c2363,4489,2308,4315,2191,4129c2226,4118,2260,4106,2295,4095c2424,4291,2479,4489,2481,4698c2483,4907,2411,5092,2272,5232em3131,2842c2957,3016,2783,3190,2609,3364c2722,3545,2832,3728,2945,3909c2968,3955,3003,3990,3026,4013c3061,4048,3096,4060,3142,4083c3188,4107,3223,4095,3281,4037c3293,4025,3305,4014,3316,4002c3339,4025,3363,4048,3386,4071c3243,4215,3100,4358,2956,4501c2933,4478,2910,4454,2887,4431c2899,4420,2910,4408,2922,4396c2956,4361,2969,4327,2968,4280c2979,4245,2957,4199,2922,4141c2477,3401,2044,2654,1599,1914c1637,1836,1677,1759,1715,1682c2471,2149,3233,2606,3989,3074c4047,3109,4105,3120,4140,3109c4186,3109,4221,3097,4256,3062c4267,3051,4279,3039,4291,3027c4314,3051,4337,3074,4360,3097c4194,3263,4028,3430,3861,3596c3838,3573,3815,3549,3792,3526c3807,3511,3823,3495,3838,3480c3885,3433,3897,3398,3885,3364c3884,3341,3861,3317,3850,3306c3815,3271,3792,3248,3757,3236c3549,3104,3339,2974,3131,2842m1854,2053c1851,2057,1847,2061,1843,2065c2085,2466,2320,2870,2562,3271c2725,3109,2887,2946,3049,2784c2652,2538,2252,2298,1854,2053em4465,2993c4441,2969,4418,2946,4395,2923c4426,2892,4457,2861,4488,2830c4523,2795,4546,2749,4546,2726c4546,2703,4534,2668,4499,2633c3946,2080,3394,1527,2841,974c2806,939,2771,928,2748,928c2725,927,2678,951,2643,986c2620,1009,2597,1032,2574,1055c2550,1032,2527,1009,2504,986c2728,761,2953,537,3177,313c3363,127,3536,21,3699,c3861,1,4024,69,4175,220c4279,324,4348,441,4372,556c4396,672,4359,823,4267,1032c4500,917,4697,857,4859,904c5021,952,5161,1020,5288,1148c5439,1299,5507,1484,5497,1682c5488,1879,5381,2076,5196,2262c4952,2505,4708,2749,4465,2993m5091,2227c5219,2099,5278,1949,5277,1786c5264,1635,5196,1496,5045,1345c4871,1171,4708,1080,4546,1078c4383,1077,4233,1160,4082,1310c3993,1399,3904,1488,3815,1577c4105,1867,4395,2157,4685,2447c4720,2482,4755,2493,4789,2482c4813,2482,4847,2471,4882,2436c4952,2366,5022,2297,5091,2227m3977,417c3838,278,3699,210,3560,232c3420,253,3305,324,3177,452c3131,498,3084,545,3038,591c3003,626,2991,661,2991,684c2980,719,2991,754,3026,788c3266,1028,3506,1268,3745,1508c3846,1407,3946,1307,4047,1206c4128,1125,4176,1009,4186,858c4196,707,4128,568,3977,417e" filled="t" fillcolor="#fc0" stroked="f">
            <v:fill opacity="32897f"/>
          </v:shape>
        </w:pict>
      </w:r>
      <w:r>
        <w:rPr>
          <w:spacing w:val="-2"/>
        </w:rPr>
        <w:t>仅该日期对应的版本适用于本文件。不注日期的引用文件，其最新版本（包括所有的</w:t>
      </w:r>
      <w:r>
        <w:rPr>
          <w:spacing w:val="-3"/>
        </w:rPr>
        <w:t>修改单）适用于本</w:t>
      </w:r>
    </w:p>
    <w:p>
      <w:pPr>
        <w:pStyle w:val="BodyText"/>
        <w:spacing w:before="62" w:line="221" w:lineRule="auto"/>
        <w:ind w:left="3"/>
      </w:pPr>
      <w:r>
        <w:rPr>
          <w:spacing w:val="-9"/>
        </w:rPr>
        <w:t>文件。</w:t>
      </w:r>
    </w:p>
    <w:p>
      <w:pPr>
        <w:pStyle w:val="BodyText"/>
        <w:spacing w:before="217" w:line="312" w:lineRule="exact"/>
        <w:ind w:left="419"/>
      </w:pPr>
      <w:r>
        <w:rPr>
          <w:position w:val="7"/>
        </w:rPr>
        <w:t>GB/T 5171.1 小功率电动机第1部分：通用技术</w:t>
      </w:r>
      <w:r>
        <w:rPr>
          <w:spacing w:val="-1"/>
          <w:position w:val="7"/>
        </w:rPr>
        <w:t>条件</w:t>
      </w:r>
    </w:p>
    <w:p>
      <w:pPr>
        <w:pStyle w:val="BodyText"/>
        <w:spacing w:before="1" w:line="219" w:lineRule="auto"/>
        <w:ind w:left="419"/>
      </w:pPr>
      <w:r>
        <w:rPr>
          <w:spacing w:val="-2"/>
        </w:rPr>
        <w:t>GB/T 14711</w:t>
      </w:r>
      <w:r>
        <w:rPr>
          <w:spacing w:val="42"/>
        </w:rPr>
        <w:t xml:space="preserve"> </w:t>
      </w:r>
      <w:r>
        <w:rPr>
          <w:spacing w:val="-2"/>
        </w:rPr>
        <w:t>中小型旋转电机通用安全要求</w:t>
      </w:r>
    </w:p>
    <w:p>
      <w:pPr>
        <w:pStyle w:val="BodyText"/>
        <w:spacing w:before="62" w:line="220" w:lineRule="auto"/>
        <w:ind w:left="419"/>
      </w:pPr>
      <w:r>
        <w:rPr>
          <w:spacing w:val="-1"/>
        </w:rPr>
        <w:t>GB/T 12350</w:t>
      </w:r>
      <w:r>
        <w:rPr>
          <w:spacing w:val="17"/>
        </w:rPr>
        <w:t xml:space="preserve"> </w:t>
      </w:r>
      <w:r>
        <w:rPr>
          <w:spacing w:val="-1"/>
        </w:rPr>
        <w:t>小功率电动机的安全要求</w:t>
      </w:r>
    </w:p>
    <w:p>
      <w:pPr>
        <w:pStyle w:val="BodyText"/>
        <w:spacing w:before="62" w:line="312" w:lineRule="exact"/>
        <w:ind w:left="419"/>
      </w:pPr>
      <w:r>
        <w:rPr>
          <w:spacing w:val="-1"/>
          <w:position w:val="7"/>
        </w:rPr>
        <w:t>GB/T 1971</w:t>
      </w:r>
      <w:r>
        <w:rPr>
          <w:spacing w:val="9"/>
          <w:position w:val="7"/>
        </w:rPr>
        <w:t xml:space="preserve"> </w:t>
      </w:r>
      <w:r>
        <w:rPr>
          <w:spacing w:val="-1"/>
          <w:position w:val="7"/>
        </w:rPr>
        <w:t>旋转电机</w:t>
      </w:r>
      <w:r>
        <w:rPr>
          <w:spacing w:val="10"/>
          <w:position w:val="7"/>
        </w:rPr>
        <w:t xml:space="preserve"> </w:t>
      </w:r>
      <w:r>
        <w:rPr>
          <w:spacing w:val="-1"/>
          <w:position w:val="7"/>
        </w:rPr>
        <w:t>线端标志与旋转方向</w:t>
      </w:r>
    </w:p>
    <w:p>
      <w:pPr>
        <w:pStyle w:val="BodyText"/>
        <w:spacing w:before="1" w:line="219" w:lineRule="auto"/>
        <w:ind w:left="419"/>
      </w:pPr>
      <w:r>
        <w:t>GB/T 22669 三相永磁同步电动机</w:t>
      </w:r>
      <w:r>
        <w:rPr>
          <w:spacing w:val="-1"/>
        </w:rPr>
        <w:t>试验方法</w:t>
      </w:r>
    </w:p>
    <w:p>
      <w:pPr>
        <w:pStyle w:val="BodyText"/>
        <w:spacing w:before="61" w:line="220" w:lineRule="auto"/>
        <w:ind w:left="419"/>
      </w:pPr>
      <w:r>
        <w:t>GB/T 22670 变频器供电三相笼型感应电动机</w:t>
      </w:r>
      <w:r>
        <w:rPr>
          <w:spacing w:val="-1"/>
        </w:rPr>
        <w:t>试验方法</w:t>
      </w:r>
    </w:p>
    <w:p>
      <w:pPr>
        <w:pStyle w:val="BodyText"/>
        <w:spacing w:before="62" w:line="312" w:lineRule="exact"/>
        <w:ind w:left="419"/>
      </w:pPr>
      <w:r>
        <w:rPr>
          <w:spacing w:val="-4"/>
          <w:position w:val="7"/>
        </w:rPr>
        <w:t>GB/T 22696.1</w:t>
      </w:r>
      <w:r>
        <w:rPr>
          <w:spacing w:val="49"/>
          <w:position w:val="7"/>
        </w:rPr>
        <w:t xml:space="preserve"> </w:t>
      </w:r>
      <w:r>
        <w:rPr>
          <w:spacing w:val="-4"/>
          <w:position w:val="7"/>
        </w:rPr>
        <w:t>电气设备的安全 风险评估和风险降低 第1部分： 总则</w:t>
      </w:r>
    </w:p>
    <w:p>
      <w:pPr>
        <w:pStyle w:val="BodyText"/>
        <w:spacing w:line="219" w:lineRule="auto"/>
        <w:ind w:left="419"/>
      </w:pPr>
      <w:r>
        <w:rPr>
          <w:spacing w:val="-1"/>
        </w:rPr>
        <w:t>GB/T 27921 风险管理</w:t>
      </w:r>
      <w:r>
        <w:rPr>
          <w:spacing w:val="19"/>
        </w:rPr>
        <w:t xml:space="preserve"> </w:t>
      </w:r>
      <w:r>
        <w:rPr>
          <w:spacing w:val="-1"/>
        </w:rPr>
        <w:t>风险评估技术</w:t>
      </w:r>
    </w:p>
    <w:p>
      <w:pPr>
        <w:spacing w:line="304" w:lineRule="auto"/>
        <w:rPr>
          <w:rFonts w:ascii="Arial"/>
          <w:sz w:val="21"/>
        </w:rPr>
      </w:pPr>
    </w:p>
    <w:p>
      <w:pPr>
        <w:spacing w:before="69" w:line="221" w:lineRule="auto"/>
        <w:ind w:left="1"/>
        <w:rPr>
          <w:rFonts w:ascii="SimHei" w:eastAsia="SimHei" w:hAnsi="SimHei" w:cs="SimHei"/>
          <w:sz w:val="21"/>
          <w:szCs w:val="21"/>
        </w:rPr>
      </w:pPr>
      <w:r>
        <w:rPr>
          <w:rFonts w:ascii="SimHei" w:eastAsia="SimHei" w:hAnsi="SimHei" w:cs="SimHei"/>
          <w:spacing w:val="-1"/>
          <w:sz w:val="21"/>
          <w:szCs w:val="21"/>
        </w:rPr>
        <w:t>3</w:t>
      </w:r>
      <w:r>
        <w:rPr>
          <w:rFonts w:ascii="SimHei" w:eastAsia="SimHei" w:hAnsi="SimHei" w:cs="SimHei"/>
          <w:spacing w:val="-1"/>
          <w:sz w:val="21"/>
          <w:szCs w:val="21"/>
        </w:rPr>
        <w:t xml:space="preserve">  </w:t>
      </w:r>
      <w:r>
        <w:rPr>
          <w:rFonts w:ascii="SimHei" w:eastAsia="SimHei" w:hAnsi="SimHei" w:cs="SimHei"/>
          <w:spacing w:val="-1"/>
          <w:sz w:val="21"/>
          <w:szCs w:val="21"/>
        </w:rPr>
        <w:t>术语和定义</w:t>
      </w:r>
    </w:p>
    <w:p>
      <w:pPr>
        <w:spacing w:line="302" w:lineRule="auto"/>
        <w:rPr>
          <w:rFonts w:ascii="Arial"/>
          <w:sz w:val="21"/>
        </w:rPr>
      </w:pPr>
    </w:p>
    <w:p>
      <w:pPr>
        <w:pStyle w:val="BodyText"/>
        <w:spacing w:before="69" w:line="220" w:lineRule="auto"/>
        <w:ind w:left="419"/>
      </w:pPr>
      <w:r>
        <w:rPr>
          <w:spacing w:val="-1"/>
        </w:rPr>
        <w:t>GB/T 22696.1界定的以及下列术语和定义适用于本文件。</w:t>
      </w:r>
    </w:p>
    <w:p>
      <w:pPr>
        <w:spacing w:line="265" w:lineRule="auto"/>
        <w:rPr>
          <w:rFonts w:ascii="Arial"/>
          <w:sz w:val="21"/>
        </w:rPr>
      </w:pPr>
    </w:p>
    <w:p>
      <w:pPr>
        <w:spacing w:before="69" w:line="184" w:lineRule="auto"/>
        <w:ind w:left="1"/>
        <w:rPr>
          <w:rFonts w:ascii="SimHei" w:eastAsia="SimHei" w:hAnsi="SimHei" w:cs="SimHei"/>
          <w:sz w:val="21"/>
          <w:szCs w:val="21"/>
        </w:rPr>
      </w:pPr>
      <w:r>
        <w:rPr>
          <w:rFonts w:ascii="SimHei" w:eastAsia="SimHei" w:hAnsi="SimHei" w:cs="SimHei"/>
          <w:spacing w:val="-2"/>
          <w:sz w:val="21"/>
          <w:szCs w:val="21"/>
        </w:rPr>
        <w:t>3.1</w:t>
      </w:r>
    </w:p>
    <w:p>
      <w:pPr>
        <w:spacing w:before="309" w:line="312" w:lineRule="exact"/>
        <w:ind w:left="420"/>
        <w:rPr>
          <w:rFonts w:ascii="SimHei" w:eastAsia="SimHei" w:hAnsi="SimHei" w:cs="SimHei"/>
          <w:sz w:val="21"/>
          <w:szCs w:val="21"/>
        </w:rPr>
      </w:pPr>
      <w:r>
        <w:rPr>
          <w:rFonts w:ascii="SimHei" w:eastAsia="SimHei" w:hAnsi="SimHei" w:cs="SimHei"/>
          <w:position w:val="7"/>
          <w:sz w:val="21"/>
          <w:szCs w:val="21"/>
        </w:rPr>
        <w:t>稀土永磁电动机</w:t>
      </w:r>
      <w:r>
        <w:rPr>
          <w:rFonts w:ascii="SimHei" w:eastAsia="SimHei" w:hAnsi="SimHei" w:cs="SimHei"/>
          <w:spacing w:val="-43"/>
          <w:position w:val="7"/>
          <w:sz w:val="21"/>
          <w:szCs w:val="21"/>
        </w:rPr>
        <w:t xml:space="preserve"> </w:t>
      </w:r>
      <w:r>
        <w:rPr>
          <w:rFonts w:ascii="SimHei" w:eastAsia="SimHei" w:hAnsi="SimHei" w:cs="SimHei"/>
          <w:position w:val="7"/>
          <w:sz w:val="21"/>
          <w:szCs w:val="21"/>
        </w:rPr>
        <w:t>permanent</w:t>
      </w:r>
      <w:r>
        <w:rPr>
          <w:rFonts w:ascii="SimHei" w:eastAsia="SimHei" w:hAnsi="SimHei" w:cs="SimHei"/>
          <w:position w:val="7"/>
          <w:sz w:val="21"/>
          <w:szCs w:val="21"/>
        </w:rPr>
        <w:t xml:space="preserve"> </w:t>
      </w:r>
      <w:r>
        <w:rPr>
          <w:rFonts w:ascii="SimHei" w:eastAsia="SimHei" w:hAnsi="SimHei" w:cs="SimHei"/>
          <w:position w:val="7"/>
          <w:sz w:val="21"/>
          <w:szCs w:val="21"/>
        </w:rPr>
        <w:t>magnet</w:t>
      </w:r>
      <w:r>
        <w:rPr>
          <w:rFonts w:ascii="SimHei" w:eastAsia="SimHei" w:hAnsi="SimHei" w:cs="SimHei"/>
          <w:position w:val="7"/>
          <w:sz w:val="21"/>
          <w:szCs w:val="21"/>
        </w:rPr>
        <w:t xml:space="preserve"> </w:t>
      </w:r>
      <w:r>
        <w:rPr>
          <w:rFonts w:ascii="SimHei" w:eastAsia="SimHei" w:hAnsi="SimHei" w:cs="SimHei"/>
          <w:position w:val="7"/>
          <w:sz w:val="21"/>
          <w:szCs w:val="21"/>
        </w:rPr>
        <w:t>sy</w:t>
      </w:r>
      <w:r>
        <w:rPr>
          <w:rFonts w:ascii="SimHei" w:eastAsia="SimHei" w:hAnsi="SimHei" w:cs="SimHei"/>
          <w:spacing w:val="-1"/>
          <w:position w:val="7"/>
          <w:sz w:val="21"/>
          <w:szCs w:val="21"/>
        </w:rPr>
        <w:t>nchronous</w:t>
      </w:r>
      <w:r>
        <w:rPr>
          <w:rFonts w:ascii="SimHei" w:eastAsia="SimHei" w:hAnsi="SimHei" w:cs="SimHei"/>
          <w:spacing w:val="-1"/>
          <w:position w:val="7"/>
          <w:sz w:val="21"/>
          <w:szCs w:val="21"/>
        </w:rPr>
        <w:t xml:space="preserve"> </w:t>
      </w:r>
      <w:r>
        <w:rPr>
          <w:rFonts w:ascii="SimHei" w:eastAsia="SimHei" w:hAnsi="SimHei" w:cs="SimHei"/>
          <w:spacing w:val="-1"/>
          <w:position w:val="7"/>
          <w:sz w:val="21"/>
          <w:szCs w:val="21"/>
        </w:rPr>
        <w:t>motors</w:t>
      </w:r>
    </w:p>
    <w:p>
      <w:pPr>
        <w:pStyle w:val="BodyText"/>
        <w:spacing w:before="1" w:line="219" w:lineRule="auto"/>
        <w:ind w:left="422"/>
      </w:pPr>
      <w:r>
        <w:rPr>
          <w:spacing w:val="-1"/>
        </w:rPr>
        <w:t>其磁系统包含有一块或多块稀土永久磁铁的电动机。</w:t>
      </w:r>
    </w:p>
    <w:p>
      <w:pPr>
        <w:pStyle w:val="BodyText"/>
        <w:spacing w:before="77" w:line="219" w:lineRule="auto"/>
        <w:ind w:left="422"/>
        <w:rPr>
          <w:sz w:val="18"/>
          <w:szCs w:val="18"/>
        </w:rPr>
        <w:sectPr>
          <w:footerReference w:type="default" r:id="rId4"/>
          <w:pgSz w:w="11907" w:h="16839"/>
          <w:pgMar w:top="1431" w:right="1070" w:bottom="1401" w:left="1425" w:header="0" w:footer="1225" w:gutter="0"/>
          <w:cols w:space="708"/>
        </w:sectPr>
      </w:pPr>
      <w:r>
        <w:rPr>
          <w:rFonts w:ascii="SimHei" w:eastAsia="SimHei" w:hAnsi="SimHei" w:cs="SimHei"/>
          <w:spacing w:val="-1"/>
          <w:sz w:val="18"/>
          <w:szCs w:val="18"/>
        </w:rPr>
        <w:t>注</w:t>
      </w:r>
      <w:r>
        <w:rPr>
          <w:spacing w:val="-1"/>
          <w:sz w:val="18"/>
          <w:szCs w:val="18"/>
        </w:rPr>
        <w:t>：定义源于GB/T 2900.27-2008中6.5永磁式电动机。</w:t>
      </w:r>
    </w:p>
    <w:p>
      <w:pPr>
        <w:spacing w:line="286" w:lineRule="auto"/>
        <w:rPr>
          <w:rFonts w:ascii="Arial"/>
          <w:sz w:val="21"/>
        </w:rPr>
      </w:pPr>
    </w:p>
    <w:p>
      <w:pPr>
        <w:spacing w:before="69" w:line="184" w:lineRule="auto"/>
        <w:ind w:left="1"/>
        <w:rPr>
          <w:rFonts w:ascii="SimHei" w:eastAsia="SimHei" w:hAnsi="SimHei" w:cs="SimHei"/>
          <w:sz w:val="21"/>
          <w:szCs w:val="21"/>
        </w:rPr>
      </w:pPr>
      <w:r>
        <w:rPr>
          <w:rFonts w:ascii="SimHei" w:eastAsia="SimHei" w:hAnsi="SimHei" w:cs="SimHei"/>
          <w:spacing w:val="-2"/>
          <w:sz w:val="21"/>
          <w:szCs w:val="21"/>
        </w:rPr>
        <w:t>3.2</w:t>
      </w:r>
    </w:p>
    <w:p>
      <w:pPr>
        <w:rPr>
          <w:rFonts w:ascii="Arial"/>
          <w:sz w:val="21"/>
        </w:rPr>
      </w:pPr>
    </w:p>
    <w:p>
      <w:pPr>
        <w:spacing w:before="68" w:line="220" w:lineRule="auto"/>
        <w:ind w:left="424"/>
        <w:rPr>
          <w:rFonts w:ascii="SimHei" w:eastAsia="SimHei" w:hAnsi="SimHei" w:cs="SimHei"/>
          <w:sz w:val="21"/>
          <w:szCs w:val="21"/>
        </w:rPr>
      </w:pPr>
      <w:r>
        <w:rPr>
          <w:rFonts w:ascii="SimHei" w:eastAsia="SimHei" w:hAnsi="SimHei" w:cs="SimHei"/>
          <w:spacing w:val="-1"/>
          <w:sz w:val="21"/>
          <w:szCs w:val="21"/>
        </w:rPr>
        <w:t>误用</w:t>
      </w:r>
      <w:r>
        <w:rPr>
          <w:rFonts w:ascii="SimHei" w:eastAsia="SimHei" w:hAnsi="SimHei" w:cs="SimHei"/>
          <w:spacing w:val="-1"/>
          <w:sz w:val="21"/>
          <w:szCs w:val="21"/>
        </w:rPr>
        <w:t xml:space="preserve"> </w:t>
      </w:r>
      <w:r>
        <w:rPr>
          <w:rFonts w:ascii="SimHei" w:eastAsia="SimHei" w:hAnsi="SimHei" w:cs="SimHei"/>
          <w:spacing w:val="-1"/>
          <w:sz w:val="21"/>
          <w:szCs w:val="21"/>
        </w:rPr>
        <w:t>misuse</w:t>
      </w:r>
    </w:p>
    <w:p>
      <w:pPr>
        <w:pStyle w:val="BodyText"/>
        <w:spacing w:before="62" w:line="585" w:lineRule="exact"/>
        <w:ind w:left="422"/>
      </w:pPr>
      <w:r>
        <w:rPr>
          <w:spacing w:val="-1"/>
          <w:position w:val="29"/>
        </w:rPr>
        <w:t>使用者未按照生产者的规定使用产品。</w:t>
      </w:r>
    </w:p>
    <w:p>
      <w:pPr>
        <w:spacing w:line="184" w:lineRule="auto"/>
        <w:ind w:left="1"/>
        <w:rPr>
          <w:rFonts w:ascii="SimHei" w:eastAsia="SimHei" w:hAnsi="SimHei" w:cs="SimHei"/>
          <w:sz w:val="21"/>
          <w:szCs w:val="21"/>
        </w:rPr>
      </w:pPr>
      <w:r>
        <w:rPr>
          <w:rFonts w:ascii="SimHei" w:eastAsia="SimHei" w:hAnsi="SimHei" w:cs="SimHei"/>
          <w:spacing w:val="-2"/>
          <w:sz w:val="21"/>
          <w:szCs w:val="21"/>
        </w:rPr>
        <w:t>3.3</w:t>
      </w:r>
    </w:p>
    <w:p>
      <w:pPr>
        <w:spacing w:before="310" w:line="312" w:lineRule="exact"/>
        <w:ind w:left="422"/>
        <w:rPr>
          <w:rFonts w:ascii="SimHei" w:eastAsia="SimHei" w:hAnsi="SimHei" w:cs="SimHei"/>
          <w:sz w:val="21"/>
          <w:szCs w:val="21"/>
        </w:rPr>
      </w:pPr>
      <w:r>
        <w:rPr>
          <w:rFonts w:ascii="SimHei" w:eastAsia="SimHei" w:hAnsi="SimHei" w:cs="SimHei"/>
          <w:spacing w:val="-2"/>
          <w:position w:val="7"/>
          <w:sz w:val="21"/>
          <w:szCs w:val="21"/>
        </w:rPr>
        <w:t>风险识别</w:t>
      </w:r>
      <w:r>
        <w:rPr>
          <w:rFonts w:ascii="SimHei" w:eastAsia="SimHei" w:hAnsi="SimHei" w:cs="SimHei"/>
          <w:spacing w:val="-2"/>
          <w:position w:val="7"/>
          <w:sz w:val="21"/>
          <w:szCs w:val="21"/>
        </w:rPr>
        <w:t xml:space="preserve"> </w:t>
      </w:r>
      <w:r>
        <w:rPr>
          <w:rFonts w:ascii="SimHei" w:eastAsia="SimHei" w:hAnsi="SimHei" w:cs="SimHei"/>
          <w:spacing w:val="-2"/>
          <w:position w:val="7"/>
          <w:sz w:val="21"/>
          <w:szCs w:val="21"/>
        </w:rPr>
        <w:t>risk</w:t>
      </w:r>
      <w:r>
        <w:rPr>
          <w:rFonts w:ascii="SimHei" w:eastAsia="SimHei" w:hAnsi="SimHei" w:cs="SimHei"/>
          <w:spacing w:val="41"/>
          <w:position w:val="7"/>
          <w:sz w:val="21"/>
          <w:szCs w:val="21"/>
        </w:rPr>
        <w:t xml:space="preserve"> </w:t>
      </w:r>
      <w:r>
        <w:rPr>
          <w:rFonts w:ascii="SimHei" w:eastAsia="SimHei" w:hAnsi="SimHei" w:cs="SimHei"/>
          <w:spacing w:val="-2"/>
          <w:position w:val="7"/>
          <w:sz w:val="21"/>
          <w:szCs w:val="21"/>
        </w:rPr>
        <w:t>identificat</w:t>
      </w:r>
      <w:r>
        <w:rPr>
          <w:rFonts w:ascii="SimHei" w:eastAsia="SimHei" w:hAnsi="SimHei" w:cs="SimHei"/>
          <w:spacing w:val="-3"/>
          <w:position w:val="7"/>
          <w:sz w:val="21"/>
          <w:szCs w:val="21"/>
        </w:rPr>
        <w:t>ion</w:t>
      </w:r>
    </w:p>
    <w:p>
      <w:pPr>
        <w:pStyle w:val="BodyText"/>
        <w:spacing w:line="221" w:lineRule="auto"/>
        <w:ind w:left="425"/>
      </w:pPr>
      <w:r>
        <w:rPr>
          <w:spacing w:val="-2"/>
        </w:rPr>
        <w:t>发现、确认和描述风险的过程。</w:t>
      </w:r>
    </w:p>
    <w:p>
      <w:pPr>
        <w:spacing w:line="263" w:lineRule="auto"/>
        <w:rPr>
          <w:rFonts w:ascii="Arial"/>
          <w:sz w:val="21"/>
        </w:rPr>
      </w:pPr>
    </w:p>
    <w:p>
      <w:pPr>
        <w:spacing w:before="69" w:line="184" w:lineRule="auto"/>
        <w:ind w:left="1"/>
        <w:rPr>
          <w:rFonts w:ascii="SimHei" w:eastAsia="SimHei" w:hAnsi="SimHei" w:cs="SimHei"/>
          <w:sz w:val="21"/>
          <w:szCs w:val="21"/>
        </w:rPr>
      </w:pPr>
      <w:r>
        <w:rPr>
          <w:rFonts w:ascii="SimHei" w:eastAsia="SimHei" w:hAnsi="SimHei" w:cs="SimHei"/>
          <w:spacing w:val="-3"/>
          <w:sz w:val="21"/>
          <w:szCs w:val="21"/>
        </w:rPr>
        <w:t>3.4</w:t>
      </w:r>
    </w:p>
    <w:p>
      <w:pPr>
        <w:spacing w:line="184" w:lineRule="auto"/>
        <w:rPr>
          <w:rFonts w:ascii="SimHei" w:eastAsia="SimHei" w:hAnsi="SimHei" w:cs="SimHei"/>
          <w:sz w:val="21"/>
          <w:szCs w:val="21"/>
        </w:rPr>
        <w:sectPr>
          <w:footerReference w:type="default" r:id="rId5"/>
          <w:type w:val="nextPage"/>
          <w:pgSz w:w="11907" w:h="16839"/>
          <w:pgMar w:top="1431" w:right="1070" w:bottom="1401" w:left="1425" w:header="0" w:footer="1225" w:gutter="0"/>
          <w:pgNumType w:start="2"/>
          <w:cols w:space="708"/>
          <w:titlePg w:val="0"/>
        </w:sectPr>
      </w:pPr>
    </w:p>
    <w:p>
      <w:pPr>
        <w:spacing w:line="367" w:lineRule="auto"/>
        <w:rPr>
          <w:rFonts w:ascii="Arial"/>
          <w:sz w:val="21"/>
        </w:rPr>
      </w:pPr>
    </w:p>
    <w:p>
      <w:pPr>
        <w:spacing w:before="68" w:line="216" w:lineRule="auto"/>
        <w:ind w:left="425"/>
        <w:rPr>
          <w:rFonts w:ascii="SimHei" w:eastAsia="SimHei" w:hAnsi="SimHei" w:cs="SimHei"/>
          <w:sz w:val="21"/>
          <w:szCs w:val="21"/>
        </w:rPr>
      </w:pPr>
      <w:r>
        <w:rPr>
          <w:rFonts w:ascii="SimHei" w:eastAsia="SimHei" w:hAnsi="SimHei" w:cs="SimHei"/>
          <w:spacing w:val="-1"/>
          <w:sz w:val="21"/>
          <w:szCs w:val="21"/>
        </w:rPr>
        <w:t>严重性</w:t>
      </w:r>
      <w:r>
        <w:rPr>
          <w:rFonts w:ascii="SimHei" w:eastAsia="SimHei" w:hAnsi="SimHei" w:cs="SimHei"/>
          <w:spacing w:val="-1"/>
          <w:sz w:val="21"/>
          <w:szCs w:val="21"/>
        </w:rPr>
        <w:t xml:space="preserve"> </w:t>
      </w:r>
      <w:r>
        <w:rPr>
          <w:rFonts w:ascii="SimHei" w:eastAsia="SimHei" w:hAnsi="SimHei" w:cs="SimHei"/>
          <w:spacing w:val="-1"/>
          <w:sz w:val="21"/>
          <w:szCs w:val="21"/>
        </w:rPr>
        <w:t>severity</w:t>
      </w:r>
    </w:p>
    <w:p>
      <w:pPr>
        <w:pStyle w:val="BodyText"/>
        <w:spacing w:before="66" w:line="584" w:lineRule="exact"/>
        <w:ind w:left="425"/>
      </w:pPr>
      <w:r>
        <w:rPr>
          <w:spacing w:val="-2"/>
          <w:position w:val="29"/>
        </w:rPr>
        <w:t>伤害事故对人身、财产安全的损害程度。</w:t>
      </w:r>
    </w:p>
    <w:p>
      <w:pPr>
        <w:spacing w:line="184" w:lineRule="auto"/>
        <w:ind w:left="5"/>
        <w:rPr>
          <w:rFonts w:ascii="SimHei" w:eastAsia="SimHei" w:hAnsi="SimHei" w:cs="SimHei"/>
          <w:sz w:val="21"/>
          <w:szCs w:val="21"/>
        </w:rPr>
      </w:pPr>
      <w:r>
        <w:rPr>
          <w:rFonts w:ascii="SimHei" w:eastAsia="SimHei" w:hAnsi="SimHei" w:cs="SimHei"/>
          <w:spacing w:val="-3"/>
          <w:sz w:val="21"/>
          <w:szCs w:val="21"/>
        </w:rPr>
        <w:t>3.5</w:t>
      </w:r>
    </w:p>
    <w:p>
      <w:pPr>
        <w:spacing w:before="309" w:line="312" w:lineRule="exact"/>
        <w:ind w:left="429"/>
        <w:rPr>
          <w:rFonts w:ascii="SimHei" w:eastAsia="SimHei" w:hAnsi="SimHei" w:cs="SimHei"/>
          <w:sz w:val="21"/>
          <w:szCs w:val="21"/>
        </w:rPr>
      </w:pPr>
      <w:r>
        <w:rPr>
          <w:rFonts w:ascii="SimHei" w:eastAsia="SimHei" w:hAnsi="SimHei" w:cs="SimHei"/>
          <w:spacing w:val="-1"/>
          <w:position w:val="7"/>
          <w:sz w:val="21"/>
          <w:szCs w:val="21"/>
        </w:rPr>
        <w:t>可能性</w:t>
      </w:r>
      <w:r>
        <w:rPr>
          <w:rFonts w:ascii="SimHei" w:eastAsia="SimHei" w:hAnsi="SimHei" w:cs="SimHei"/>
          <w:spacing w:val="-1"/>
          <w:position w:val="7"/>
          <w:sz w:val="21"/>
          <w:szCs w:val="21"/>
        </w:rPr>
        <w:t xml:space="preserve"> </w:t>
      </w:r>
      <w:r>
        <w:rPr>
          <w:rFonts w:ascii="SimHei" w:eastAsia="SimHei" w:hAnsi="SimHei" w:cs="SimHei"/>
          <w:spacing w:val="-1"/>
          <w:position w:val="7"/>
          <w:sz w:val="21"/>
          <w:szCs w:val="21"/>
        </w:rPr>
        <w:t>probability</w:t>
      </w:r>
    </w:p>
    <w:p>
      <w:pPr>
        <w:pStyle w:val="BodyText"/>
        <w:spacing w:line="220" w:lineRule="auto"/>
        <w:ind w:left="425"/>
      </w:pPr>
      <w:r>
        <w:rPr>
          <w:spacing w:val="-1"/>
        </w:rPr>
        <w:t>伤害事故发生的概率。</w:t>
      </w:r>
    </w:p>
    <w:p>
      <w:pPr>
        <w:pStyle w:val="BodyText"/>
        <w:spacing w:before="76" w:line="609" w:lineRule="exact"/>
        <w:ind w:left="426"/>
        <w:rPr>
          <w:sz w:val="18"/>
          <w:szCs w:val="18"/>
        </w:rPr>
      </w:pPr>
      <w:r>
        <w:rPr>
          <w:rFonts w:ascii="SimHei" w:eastAsia="SimHei" w:hAnsi="SimHei" w:cs="SimHei"/>
          <w:spacing w:val="-2"/>
          <w:position w:val="33"/>
          <w:sz w:val="18"/>
          <w:szCs w:val="18"/>
        </w:rPr>
        <w:t>注：</w:t>
      </w:r>
      <w:r>
        <w:rPr>
          <w:rFonts w:ascii="SimHei" w:eastAsia="SimHei" w:hAnsi="SimHei" w:cs="SimHei"/>
          <w:spacing w:val="-24"/>
          <w:position w:val="33"/>
          <w:sz w:val="18"/>
          <w:szCs w:val="18"/>
        </w:rPr>
        <w:t xml:space="preserve"> </w:t>
      </w:r>
      <w:r>
        <w:rPr>
          <w:spacing w:val="-2"/>
          <w:position w:val="33"/>
          <w:sz w:val="18"/>
          <w:szCs w:val="18"/>
        </w:rPr>
        <w:t>可能性是对伤害事件发生的概率数学预测值</w:t>
      </w:r>
      <w:r>
        <w:rPr>
          <w:spacing w:val="-3"/>
          <w:position w:val="33"/>
          <w:sz w:val="18"/>
          <w:szCs w:val="18"/>
        </w:rPr>
        <w:t>，不等同于已经发生的伤害事故数学统计值。</w:t>
      </w:r>
    </w:p>
    <w:p>
      <w:pPr>
        <w:spacing w:before="1" w:line="219" w:lineRule="auto"/>
        <w:rPr>
          <w:rFonts w:ascii="SimHei" w:eastAsia="SimHei" w:hAnsi="SimHei" w:cs="SimHei"/>
          <w:sz w:val="21"/>
          <w:szCs w:val="21"/>
        </w:rPr>
      </w:pPr>
      <w:r>
        <w:rPr>
          <w:rFonts w:ascii="SimHei" w:eastAsia="SimHei" w:hAnsi="SimHei" w:cs="SimHei"/>
          <w:spacing w:val="-3"/>
          <w:sz w:val="21"/>
          <w:szCs w:val="21"/>
        </w:rPr>
        <w:t>4</w:t>
      </w:r>
      <w:r>
        <w:rPr>
          <w:rFonts w:ascii="SimHei" w:eastAsia="SimHei" w:hAnsi="SimHei" w:cs="SimHei"/>
          <w:spacing w:val="6"/>
          <w:sz w:val="21"/>
          <w:szCs w:val="21"/>
        </w:rPr>
        <w:t xml:space="preserve">  </w:t>
      </w:r>
      <w:r>
        <w:rPr>
          <w:rFonts w:ascii="SimHei" w:eastAsia="SimHei" w:hAnsi="SimHei" w:cs="SimHei"/>
          <w:spacing w:val="-3"/>
          <w:sz w:val="21"/>
          <w:szCs w:val="21"/>
        </w:rPr>
        <w:t>总则</w:t>
      </w:r>
    </w:p>
    <w:p>
      <w:pPr>
        <w:spacing w:line="304" w:lineRule="auto"/>
        <w:rPr>
          <w:rFonts w:ascii="Arial"/>
          <w:sz w:val="21"/>
        </w:rPr>
      </w:pPr>
    </w:p>
    <w:p>
      <w:pPr>
        <w:spacing w:before="69" w:line="221" w:lineRule="auto"/>
        <w:rPr>
          <w:rFonts w:ascii="SimHei" w:eastAsia="SimHei" w:hAnsi="SimHei" w:cs="SimHei"/>
          <w:sz w:val="21"/>
          <w:szCs w:val="21"/>
        </w:rPr>
      </w:pPr>
      <w:r>
        <w:rPr>
          <w:rFonts w:ascii="SimHei" w:eastAsia="SimHei" w:hAnsi="SimHei" w:cs="SimHei"/>
          <w:spacing w:val="-8"/>
          <w:sz w:val="21"/>
          <w:szCs w:val="21"/>
        </w:rPr>
        <w:t>4.</w:t>
      </w:r>
      <w:r>
        <w:rPr>
          <w:rFonts w:ascii="SimHei" w:eastAsia="SimHei" w:hAnsi="SimHei" w:cs="SimHei"/>
          <w:spacing w:val="22"/>
          <w:sz w:val="21"/>
          <w:szCs w:val="21"/>
        </w:rPr>
        <w:t xml:space="preserve"> </w:t>
      </w:r>
      <w:r>
        <w:rPr>
          <w:rFonts w:ascii="SimHei" w:eastAsia="SimHei" w:hAnsi="SimHei" w:cs="SimHei"/>
          <w:spacing w:val="-8"/>
          <w:sz w:val="21"/>
          <w:szCs w:val="21"/>
        </w:rPr>
        <w:t>1</w:t>
      </w:r>
      <w:r>
        <w:rPr>
          <w:rFonts w:ascii="SimHei" w:eastAsia="SimHei" w:hAnsi="SimHei" w:cs="SimHei"/>
          <w:spacing w:val="-20"/>
          <w:sz w:val="21"/>
          <w:szCs w:val="21"/>
        </w:rPr>
        <w:t xml:space="preserve"> </w:t>
      </w:r>
      <w:r>
        <w:rPr>
          <w:rFonts w:ascii="SimHei" w:eastAsia="SimHei" w:hAnsi="SimHei" w:cs="SimHei"/>
          <w:spacing w:val="-8"/>
          <w:sz w:val="21"/>
          <w:szCs w:val="21"/>
        </w:rPr>
        <w:t>目的</w:t>
      </w:r>
    </w:p>
    <w:p>
      <w:pPr>
        <w:pStyle w:val="BodyText"/>
        <w:spacing w:before="217" w:line="247" w:lineRule="auto"/>
        <w:ind w:left="23" w:right="57" w:firstLine="402"/>
      </w:pPr>
      <w:r>
        <w:pict>
          <v:shape id="_x0000_s1026" style="width:275.4pt;height:275.85pt;margin-top:21.09pt;margin-left:100.9pt;position:absolute;z-index:-251657216" coordorigin="0,0" coordsize="5507,5517" path="m2272,5232c2052,5452,1808,5536,1518,5498c1228,5461,903,5278,555,4930c265,4640,94,4326,33,3990c-39,3666,56,3387,288,3155c346,3097,404,3062,474,3016c555,2982,613,2946,648,2911c683,2877,706,2853,718,2819c717,2795,729,2761,718,2726c922,2862,1128,2996,1332,3132c1317,3163,1301,3194,1286,3225c1089,3119,926,3075,764,3074c602,3072,474,3132,346,3259c184,3422,147,3643,242,3898c325,4164,497,4431,764,4698c1054,4988,1310,5172,1553,5255c1796,5338,2005,5290,2179,5116c2307,4988,2367,4837,2365,4652c2363,4489,2308,4315,2191,4129c2226,4118,2260,4106,2295,4095c2424,4291,2479,4489,2481,4698c2483,4907,2411,5092,2272,5232em3131,2842c2957,3016,2783,3190,2609,3364c2722,3545,2832,3728,2945,3909c2968,3955,3003,3990,3026,4013c3061,4048,3096,4060,3142,4083c3188,4107,3223,4095,3281,4037c3293,4025,3305,4014,3316,4002c3339,4025,3363,4048,3386,4071c3243,4215,3100,4358,2956,4501c2933,4478,2910,4454,2887,4431c2899,4420,2910,4408,2922,4396c2956,4361,2969,4327,2968,4280c2979,4245,2957,4199,2922,4141c2477,3401,2044,2654,1599,1914c1637,1836,1677,1759,1715,1682c2471,2149,3233,2606,3989,3074c4047,3109,4105,3120,4140,3109c4186,3109,4221,3097,4256,3062c4267,3051,4279,3039,4291,3027c4314,3051,4337,3074,4360,3097c4194,3263,4028,3430,3861,3596c3838,3573,3815,3549,3792,3526c3807,3511,3823,3495,3838,3480c3885,3433,3897,3398,3885,3364c3884,3341,3861,3317,3850,3306c3815,3271,3792,3248,3757,3236c3549,3104,3339,2974,3131,2842m1854,2053c1851,2057,1847,2061,1843,2065c2085,2466,2320,2870,2562,3271c2725,3109,2887,2946,3049,2784c2652,2538,2252,2298,1854,2053em4465,2993c4441,2969,4418,2946,4395,2923c4426,2892,4457,2861,4488,2830c4523,2795,4546,2749,4546,2726c4546,2703,4534,2668,4499,2633c3946,2080,3394,1527,2841,974c2806,939,2771,928,2748,928c2725,927,2678,951,2643,986c2620,1009,2597,1032,2574,1055c2550,1032,2527,1009,2504,986c2728,761,2953,537,3177,313c3363,127,3536,21,3699,c3861,1,4024,69,4175,220c4279,324,4348,441,4372,556c4396,672,4359,823,4267,1032c4500,917,4697,857,4859,904c5021,952,5161,1020,5288,1148c5439,1299,5507,1484,5497,1682c5488,1879,5381,2076,5196,2262c4952,2505,4708,2749,4465,2993m5091,2227c5219,2099,5278,1949,5277,1786c5264,1635,5196,1496,5045,1345c4871,1171,4708,1080,4546,1078c4383,1077,4233,1160,4082,1310c3993,1399,3904,1488,3815,1577c4105,1867,4395,2157,4685,2447c4720,2482,4755,2493,4789,2482c4813,2482,4847,2471,4882,2436c4952,2366,5022,2297,5091,2227m3977,417c3838,278,3699,210,3560,232c3420,253,3305,324,3177,452c3131,498,3084,545,3038,591c3003,626,2991,661,2991,684c2980,719,2991,754,3026,788c3266,1028,3506,1268,3745,1508c3846,1407,3946,1307,4047,1206c4128,1125,4176,1009,4186,858c4196,707,4128,568,3977,417e" filled="t" fillcolor="#fc0" stroked="f">
            <v:fill opacity="32897f"/>
          </v:shape>
        </w:pict>
      </w:r>
      <w:r>
        <w:rPr>
          <w:spacing w:val="-2"/>
        </w:rPr>
        <w:t>针对稀土永磁电动机复现（疑似）风险问题点，指导开展风险识</w:t>
      </w:r>
      <w:r>
        <w:rPr>
          <w:spacing w:val="-3"/>
        </w:rPr>
        <w:t>别、分析和评价等工作，为降低产</w:t>
      </w:r>
      <w:r>
        <w:t xml:space="preserve"> </w:t>
      </w:r>
      <w:r>
        <w:rPr>
          <w:spacing w:val="-1"/>
        </w:rPr>
        <w:t>品风险或进行缺陷分析和风险研判提供信息和依据。</w:t>
      </w:r>
    </w:p>
    <w:p>
      <w:pPr>
        <w:spacing w:before="217" w:line="220" w:lineRule="auto"/>
        <w:rPr>
          <w:rFonts w:ascii="SimHei" w:eastAsia="SimHei" w:hAnsi="SimHei" w:cs="SimHei"/>
          <w:sz w:val="21"/>
          <w:szCs w:val="21"/>
        </w:rPr>
      </w:pPr>
      <w:r>
        <w:rPr>
          <w:rFonts w:ascii="SimHei" w:eastAsia="SimHei" w:hAnsi="SimHei" w:cs="SimHei"/>
          <w:spacing w:val="-2"/>
          <w:sz w:val="21"/>
          <w:szCs w:val="21"/>
        </w:rPr>
        <w:t>4.2</w:t>
      </w:r>
      <w:r>
        <w:rPr>
          <w:rFonts w:ascii="SimHei" w:eastAsia="SimHei" w:hAnsi="SimHei" w:cs="SimHei"/>
          <w:spacing w:val="13"/>
          <w:sz w:val="21"/>
          <w:szCs w:val="21"/>
        </w:rPr>
        <w:t xml:space="preserve"> </w:t>
      </w:r>
      <w:r>
        <w:rPr>
          <w:rFonts w:ascii="SimHei" w:eastAsia="SimHei" w:hAnsi="SimHei" w:cs="SimHei"/>
          <w:spacing w:val="-2"/>
          <w:sz w:val="21"/>
          <w:szCs w:val="21"/>
        </w:rPr>
        <w:t>原则</w:t>
      </w:r>
    </w:p>
    <w:p>
      <w:pPr>
        <w:pStyle w:val="BodyText"/>
        <w:spacing w:before="219" w:line="219" w:lineRule="auto"/>
        <w:ind w:left="426"/>
      </w:pPr>
      <w:r>
        <w:rPr>
          <w:spacing w:val="-3"/>
        </w:rPr>
        <w:t>风险评估基本原则包括：</w:t>
      </w:r>
    </w:p>
    <w:p>
      <w:pPr>
        <w:pStyle w:val="BodyText"/>
        <w:spacing w:before="63" w:line="221" w:lineRule="auto"/>
        <w:ind w:left="424"/>
      </w:pPr>
      <w:r>
        <w:rPr>
          <w:spacing w:val="-1"/>
        </w:rPr>
        <w:t>——基于事实</w:t>
      </w:r>
    </w:p>
    <w:p>
      <w:pPr>
        <w:pStyle w:val="BodyText"/>
        <w:spacing w:before="59" w:line="247" w:lineRule="auto"/>
        <w:ind w:left="845" w:right="58"/>
      </w:pPr>
      <w:r>
        <w:rPr>
          <w:spacing w:val="-2"/>
        </w:rPr>
        <w:t>基于对产品实际的测试结果，或收集到的使用过程</w:t>
      </w:r>
      <w:r>
        <w:rPr>
          <w:spacing w:val="-3"/>
        </w:rPr>
        <w:t>中发生的事故信息、或发现的明显事故征候</w:t>
      </w:r>
      <w:r>
        <w:t xml:space="preserve"> </w:t>
      </w:r>
      <w:r>
        <w:rPr>
          <w:spacing w:val="-4"/>
        </w:rPr>
        <w:t>信息等，经初步判断认为有必要开展评估的， 则应及时启动</w:t>
      </w:r>
      <w:r>
        <w:rPr>
          <w:spacing w:val="-5"/>
        </w:rPr>
        <w:t>相关工作；</w:t>
      </w:r>
    </w:p>
    <w:p>
      <w:pPr>
        <w:pStyle w:val="BodyText"/>
        <w:spacing w:before="62" w:line="221" w:lineRule="auto"/>
        <w:ind w:left="424"/>
      </w:pPr>
      <w:r>
        <w:rPr>
          <w:spacing w:val="-1"/>
        </w:rPr>
        <w:t>——信息充分</w:t>
      </w:r>
    </w:p>
    <w:p>
      <w:pPr>
        <w:pStyle w:val="BodyText"/>
        <w:spacing w:before="63" w:line="256" w:lineRule="auto"/>
        <w:ind w:left="845"/>
        <w:jc w:val="both"/>
      </w:pPr>
      <w:r>
        <w:rPr>
          <w:spacing w:val="-7"/>
        </w:rPr>
        <w:t>应充分收集产品的信息，如：关键零部件、非金属材料、产</w:t>
      </w:r>
      <w:r>
        <w:rPr>
          <w:spacing w:val="-8"/>
        </w:rPr>
        <w:t>品功能、主要技术参数、操作方法、</w:t>
      </w:r>
      <w:r>
        <w:t xml:space="preserve"> </w:t>
      </w:r>
      <w:r>
        <w:rPr>
          <w:spacing w:val="-3"/>
        </w:rPr>
        <w:t>安装维护方法等， 以及收集产品已经或预计</w:t>
      </w:r>
      <w:r>
        <w:rPr>
          <w:spacing w:val="-4"/>
        </w:rPr>
        <w:t>的销售区域、使用环境和使用人群等信息。同时，</w:t>
      </w:r>
      <w:r>
        <w:t xml:space="preserve"> </w:t>
      </w:r>
      <w:r>
        <w:rPr>
          <w:spacing w:val="-1"/>
        </w:rPr>
        <w:t>应尽可能的收集生产者的同类产品的风险信息；</w:t>
      </w:r>
    </w:p>
    <w:p>
      <w:pPr>
        <w:pStyle w:val="BodyText"/>
        <w:spacing w:before="61" w:line="219" w:lineRule="auto"/>
        <w:ind w:left="424"/>
      </w:pPr>
      <w:r>
        <w:rPr>
          <w:spacing w:val="-1"/>
        </w:rPr>
        <w:t>——保守估计</w:t>
      </w:r>
    </w:p>
    <w:p>
      <w:pPr>
        <w:pStyle w:val="BodyText"/>
        <w:spacing w:before="64" w:line="256" w:lineRule="auto"/>
        <w:ind w:left="846" w:right="57" w:hanging="2"/>
        <w:jc w:val="both"/>
      </w:pPr>
      <w:r>
        <w:rPr>
          <w:spacing w:val="-2"/>
        </w:rPr>
        <w:t>评估时应充分考虑产品所有可能的危险，既要客观估</w:t>
      </w:r>
      <w:r>
        <w:rPr>
          <w:spacing w:val="-3"/>
        </w:rPr>
        <w:t>计风险，又要避免低估风险，除了考虑可</w:t>
      </w:r>
      <w:r>
        <w:t xml:space="preserve"> </w:t>
      </w:r>
      <w:r>
        <w:rPr>
          <w:spacing w:val="-7"/>
        </w:rPr>
        <w:t>预见的正常使用，</w:t>
      </w:r>
      <w:r>
        <w:rPr>
          <w:spacing w:val="-11"/>
        </w:rPr>
        <w:t xml:space="preserve"> </w:t>
      </w:r>
      <w:r>
        <w:rPr>
          <w:spacing w:val="-7"/>
        </w:rPr>
        <w:t>还应考虑可预见的滥用； 除了考虑正常人群， 还应考虑易受伤害的人群;除</w:t>
      </w:r>
      <w:r>
        <w:t xml:space="preserve"> </w:t>
      </w:r>
      <w:r>
        <w:rPr>
          <w:spacing w:val="-1"/>
        </w:rPr>
        <w:t>了考虑正常使用环境，还应考虑不利使用环境；</w:t>
      </w:r>
    </w:p>
    <w:p>
      <w:pPr>
        <w:pStyle w:val="BodyText"/>
        <w:spacing w:before="62" w:line="221" w:lineRule="auto"/>
        <w:ind w:left="424"/>
      </w:pPr>
      <w:r>
        <w:rPr>
          <w:spacing w:val="-1"/>
        </w:rPr>
        <w:t>——定量和定性相结合</w:t>
      </w:r>
    </w:p>
    <w:p>
      <w:pPr>
        <w:pStyle w:val="BodyText"/>
        <w:spacing w:before="61" w:line="247" w:lineRule="auto"/>
        <w:ind w:left="424" w:right="108" w:firstLine="420"/>
      </w:pPr>
      <w:r>
        <w:rPr>
          <w:spacing w:val="-9"/>
        </w:rPr>
        <w:t>评估时可使用定量、定性或两者相结合的方式给出评估指标。获得数据时，尽量量化评估指标；</w:t>
      </w:r>
      <w:r>
        <w:rPr>
          <w:spacing w:val="18"/>
        </w:rPr>
        <w:t xml:space="preserve"> </w:t>
      </w:r>
      <w:r>
        <w:rPr>
          <w:spacing w:val="-1"/>
        </w:rPr>
        <w:t>——后果严重性优先</w:t>
      </w:r>
    </w:p>
    <w:p>
      <w:pPr>
        <w:pStyle w:val="BodyText"/>
        <w:spacing w:before="62" w:line="256" w:lineRule="auto"/>
        <w:ind w:left="845" w:right="57"/>
        <w:jc w:val="both"/>
      </w:pPr>
      <w:r>
        <w:rPr>
          <w:spacing w:val="-2"/>
        </w:rPr>
        <w:t>确定风险等级主要依据估计的事故造成伤害的严重</w:t>
      </w:r>
      <w:r>
        <w:rPr>
          <w:spacing w:val="-3"/>
        </w:rPr>
        <w:t>性和伤害发生的可能性。当伤害后果非常严</w:t>
      </w:r>
      <w:r>
        <w:t xml:space="preserve"> </w:t>
      </w:r>
      <w:r>
        <w:rPr>
          <w:spacing w:val="-2"/>
        </w:rPr>
        <w:t>重时，即使不能准确估算其可能发生的概率，</w:t>
      </w:r>
      <w:r>
        <w:rPr>
          <w:spacing w:val="-3"/>
        </w:rPr>
        <w:t>只要存在一定的可能性，应最大限度的保证人身</w:t>
      </w:r>
      <w:r>
        <w:t xml:space="preserve"> </w:t>
      </w:r>
      <w:r>
        <w:rPr>
          <w:spacing w:val="-4"/>
        </w:rPr>
        <w:t>健康安全， 降低财产损失，仍应给出有必要采取措施降低风险的建议。</w:t>
      </w:r>
    </w:p>
    <w:p>
      <w:pPr>
        <w:spacing w:line="304" w:lineRule="auto"/>
        <w:rPr>
          <w:rFonts w:ascii="Arial"/>
          <w:sz w:val="21"/>
        </w:rPr>
      </w:pPr>
    </w:p>
    <w:p>
      <w:pPr>
        <w:spacing w:before="69" w:line="219" w:lineRule="auto"/>
        <w:rPr>
          <w:rFonts w:ascii="SimHei" w:eastAsia="SimHei" w:hAnsi="SimHei" w:cs="SimHei"/>
          <w:sz w:val="21"/>
          <w:szCs w:val="21"/>
        </w:rPr>
        <w:sectPr>
          <w:footerReference w:type="default" r:id="rId6"/>
          <w:pgSz w:w="11907" w:h="16839"/>
          <w:pgMar w:top="1431" w:right="1070" w:bottom="1401" w:left="1421" w:header="0" w:footer="1225" w:gutter="0"/>
          <w:pgNumType w:start="3"/>
          <w:cols w:space="708"/>
        </w:sectPr>
      </w:pPr>
      <w:r>
        <w:rPr>
          <w:rFonts w:ascii="SimHei" w:eastAsia="SimHei" w:hAnsi="SimHei" w:cs="SimHei"/>
          <w:spacing w:val="-2"/>
          <w:sz w:val="21"/>
          <w:szCs w:val="21"/>
        </w:rPr>
        <w:t>5</w:t>
      </w:r>
      <w:r>
        <w:rPr>
          <w:rFonts w:ascii="SimHei" w:eastAsia="SimHei" w:hAnsi="SimHei" w:cs="SimHei"/>
          <w:spacing w:val="4"/>
          <w:sz w:val="21"/>
          <w:szCs w:val="21"/>
        </w:rPr>
        <w:t xml:space="preserve">  </w:t>
      </w:r>
      <w:r>
        <w:rPr>
          <w:rFonts w:ascii="SimHei" w:eastAsia="SimHei" w:hAnsi="SimHei" w:cs="SimHei"/>
          <w:spacing w:val="-2"/>
          <w:sz w:val="21"/>
          <w:szCs w:val="21"/>
        </w:rPr>
        <w:t>评估流程</w:t>
      </w:r>
    </w:p>
    <w:p>
      <w:pPr>
        <w:spacing w:line="304" w:lineRule="auto"/>
        <w:rPr>
          <w:rFonts w:ascii="Arial"/>
          <w:sz w:val="21"/>
        </w:rPr>
      </w:pPr>
    </w:p>
    <w:p>
      <w:pPr>
        <w:spacing w:before="68" w:line="220" w:lineRule="auto"/>
        <w:rPr>
          <w:rFonts w:ascii="SimHei" w:eastAsia="SimHei" w:hAnsi="SimHei" w:cs="SimHei"/>
          <w:sz w:val="21"/>
          <w:szCs w:val="21"/>
        </w:rPr>
      </w:pPr>
      <w:r>
        <w:rPr>
          <w:rFonts w:ascii="SimHei" w:eastAsia="SimHei" w:hAnsi="SimHei" w:cs="SimHei"/>
          <w:spacing w:val="-2"/>
          <w:sz w:val="21"/>
          <w:szCs w:val="21"/>
        </w:rPr>
        <w:t>5.1</w:t>
      </w:r>
      <w:r>
        <w:rPr>
          <w:rFonts w:ascii="SimHei" w:eastAsia="SimHei" w:hAnsi="SimHei" w:cs="SimHei"/>
          <w:spacing w:val="-39"/>
          <w:sz w:val="21"/>
          <w:szCs w:val="21"/>
        </w:rPr>
        <w:t xml:space="preserve"> </w:t>
      </w:r>
      <w:r>
        <w:rPr>
          <w:rFonts w:ascii="SimHei" w:eastAsia="SimHei" w:hAnsi="SimHei" w:cs="SimHei"/>
          <w:spacing w:val="-2"/>
          <w:sz w:val="21"/>
          <w:szCs w:val="21"/>
        </w:rPr>
        <w:t>总则</w:t>
      </w:r>
    </w:p>
    <w:p>
      <w:pPr>
        <w:pStyle w:val="BodyText"/>
        <w:spacing w:before="217" w:line="261" w:lineRule="auto"/>
        <w:ind w:left="5" w:right="57" w:firstLine="420"/>
      </w:pPr>
      <w:r>
        <w:rPr>
          <w:spacing w:val="-5"/>
        </w:rPr>
        <w:t>风险评估与风险控制基本流程如图1所示。通过信息收集和调查， 确定评估所需测试项目， 编制评</w:t>
      </w:r>
      <w:r>
        <w:rPr>
          <w:spacing w:val="18"/>
        </w:rPr>
        <w:t xml:space="preserve"> </w:t>
      </w:r>
      <w:r>
        <w:rPr>
          <w:spacing w:val="-7"/>
        </w:rPr>
        <w:t>估方案，并依据评估方案进行测试，然后依据收集的信息和测试结果，进行危险识别，推测可能的伤害，</w:t>
      </w:r>
      <w:r>
        <w:rPr>
          <w:spacing w:val="10"/>
        </w:rPr>
        <w:t xml:space="preserve"> </w:t>
      </w:r>
      <w:r>
        <w:rPr>
          <w:spacing w:val="-2"/>
        </w:rPr>
        <w:t>通过风险分析确定伤害严重性和可能性，确定产品的综合安全风险水平等</w:t>
      </w:r>
      <w:r>
        <w:rPr>
          <w:spacing w:val="-3"/>
        </w:rPr>
        <w:t>级。生产者可依据产品的综合</w:t>
      </w:r>
      <w:r>
        <w:t xml:space="preserve"> </w:t>
      </w:r>
      <w:r>
        <w:rPr>
          <w:spacing w:val="-2"/>
        </w:rPr>
        <w:t>安全风险等级进行相应的风险控制。</w:t>
      </w:r>
    </w:p>
    <w:p>
      <w:pPr>
        <w:spacing w:line="261" w:lineRule="auto"/>
        <w:sectPr>
          <w:footerReference w:type="default" r:id="rId7"/>
          <w:type w:val="nextPage"/>
          <w:pgSz w:w="11907" w:h="16839"/>
          <w:pgMar w:top="1431" w:right="1070" w:bottom="1401" w:left="1421" w:header="0" w:footer="1225" w:gutter="0"/>
          <w:pgNumType w:start="4"/>
          <w:cols w:space="708"/>
          <w:titlePg w:val="0"/>
        </w:sectPr>
      </w:pPr>
    </w:p>
    <w:p>
      <w:pPr>
        <w:spacing w:line="320" w:lineRule="auto"/>
        <w:rPr>
          <w:rFonts w:ascii="Arial"/>
          <w:sz w:val="21"/>
        </w:rPr>
      </w:pPr>
      <w:r>
        <w:drawing>
          <wp:anchor distT="0" distB="0" distL="0" distR="0" simplePos="0" relativeHeight="251661312" behindDoc="1" locked="0" layoutInCell="0" allowOverlap="1">
            <wp:simplePos x="0" y="0"/>
            <wp:positionH relativeFrom="page">
              <wp:posOffset>1753870</wp:posOffset>
            </wp:positionH>
            <wp:positionV relativeFrom="page">
              <wp:posOffset>1233170</wp:posOffset>
            </wp:positionV>
            <wp:extent cx="4251452" cy="32092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8"/>
                    <a:stretch>
                      <a:fillRect/>
                    </a:stretch>
                  </pic:blipFill>
                  <pic:spPr>
                    <a:xfrm>
                      <a:off x="0" y="0"/>
                      <a:ext cx="4251452" cy="3209290"/>
                    </a:xfrm>
                    <a:prstGeom prst="rect">
                      <a:avLst/>
                    </a:prstGeom>
                  </pic:spPr>
                </pic:pic>
              </a:graphicData>
            </a:graphic>
          </wp:anchor>
        </w:drawing>
      </w:r>
    </w:p>
    <w:p>
      <w:pPr>
        <w:spacing w:line="320" w:lineRule="auto"/>
        <w:rPr>
          <w:rFonts w:ascii="Arial"/>
          <w:sz w:val="21"/>
        </w:rPr>
      </w:pPr>
    </w:p>
    <w:p>
      <w:pPr>
        <w:pStyle w:val="BodyText"/>
        <w:spacing w:line="336" w:lineRule="exact"/>
        <w:ind w:firstLine="3257"/>
      </w:pPr>
      <w:r>
        <w:rPr>
          <w:position w:val="-6"/>
        </w:rPr>
        <w:pict>
          <v:shapetype id="_x0000_t202" coordsize="21600,21600" o:spt="202" path="m,l,21600r21600,l21600,xe">
            <v:stroke joinstyle="miter"/>
            <v:path gradientshapeok="t" o:connecttype="rect"/>
          </v:shapetype>
          <v:shape id="_x0000_i1027" type="#_x0000_t202" style="width:79.5pt;height:16.8pt;mso-position-horizontal-relative:char;mso-position-vertical-relative:line" filled="t" fillcolor="white" stroked="f">
            <o:lock v:ext="edit" aspectratio="f"/>
            <v:textbox inset="0,0,0,0">
              <w:txbxContent>
                <w:p>
                  <w:pPr>
                    <w:spacing w:before="78" w:line="219" w:lineRule="auto"/>
                    <w:ind w:left="151"/>
                    <w:rPr>
                      <w:rFonts w:ascii="SimSun" w:eastAsia="SimSun" w:hAnsi="SimSun" w:cs="SimSun"/>
                      <w:sz w:val="18"/>
                      <w:szCs w:val="18"/>
                    </w:rPr>
                  </w:pPr>
                  <w:r>
                    <w:rPr>
                      <w:rFonts w:ascii="SimSun" w:eastAsia="SimSun" w:hAnsi="SimSun" w:cs="SimSun"/>
                      <w:spacing w:val="-1"/>
                      <w:sz w:val="18"/>
                      <w:szCs w:val="18"/>
                    </w:rPr>
                    <w:t>稀土永磁电动机</w:t>
                  </w:r>
                </w:p>
              </w:txbxContent>
            </v:textbox>
            <w10:wrap type="none"/>
          </v:shape>
        </w:pic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8" w:line="219" w:lineRule="auto"/>
        <w:ind w:left="3092"/>
        <w:rPr>
          <w:rFonts w:ascii="SimHei" w:eastAsia="SimHei" w:hAnsi="SimHei" w:cs="SimHei"/>
          <w:sz w:val="21"/>
          <w:szCs w:val="21"/>
        </w:rPr>
      </w:pPr>
      <w:r>
        <w:rPr>
          <w:rFonts w:ascii="SimHei" w:eastAsia="SimHei" w:hAnsi="SimHei" w:cs="SimHei"/>
          <w:spacing w:val="-3"/>
          <w:sz w:val="21"/>
          <w:szCs w:val="21"/>
        </w:rPr>
        <w:t>图</w:t>
      </w:r>
      <w:r>
        <w:rPr>
          <w:rFonts w:ascii="SimHei" w:eastAsia="SimHei" w:hAnsi="SimHei" w:cs="SimHei"/>
          <w:spacing w:val="-24"/>
          <w:sz w:val="21"/>
          <w:szCs w:val="21"/>
        </w:rPr>
        <w:t xml:space="preserve"> </w:t>
      </w:r>
      <w:r>
        <w:rPr>
          <w:rFonts w:ascii="SimHei" w:eastAsia="SimHei" w:hAnsi="SimHei" w:cs="SimHei"/>
          <w:spacing w:val="-3"/>
          <w:sz w:val="21"/>
          <w:szCs w:val="21"/>
        </w:rPr>
        <w:t>1</w:t>
      </w:r>
      <w:r>
        <w:rPr>
          <w:rFonts w:ascii="SimHei" w:eastAsia="SimHei" w:hAnsi="SimHei" w:cs="SimHei"/>
          <w:spacing w:val="-3"/>
          <w:sz w:val="21"/>
          <w:szCs w:val="21"/>
        </w:rPr>
        <w:t xml:space="preserve"> </w:t>
      </w:r>
      <w:r>
        <w:rPr>
          <w:rFonts w:ascii="SimHei" w:eastAsia="SimHei" w:hAnsi="SimHei" w:cs="SimHei"/>
          <w:spacing w:val="-3"/>
          <w:sz w:val="21"/>
          <w:szCs w:val="21"/>
        </w:rPr>
        <w:t>风险评估与风险控制基本流程</w:t>
      </w:r>
    </w:p>
    <w:p>
      <w:pPr>
        <w:spacing w:before="297" w:line="220" w:lineRule="auto"/>
        <w:rPr>
          <w:rFonts w:ascii="SimHei" w:eastAsia="SimHei" w:hAnsi="SimHei" w:cs="SimHei"/>
          <w:sz w:val="21"/>
          <w:szCs w:val="21"/>
        </w:rPr>
      </w:pPr>
      <w:r>
        <w:rPr>
          <w:rFonts w:ascii="SimHei" w:eastAsia="SimHei" w:hAnsi="SimHei" w:cs="SimHei"/>
          <w:spacing w:val="-2"/>
          <w:sz w:val="21"/>
          <w:szCs w:val="21"/>
        </w:rPr>
        <w:t>5.2</w:t>
      </w:r>
      <w:r>
        <w:rPr>
          <w:rFonts w:ascii="SimHei" w:eastAsia="SimHei" w:hAnsi="SimHei" w:cs="SimHei"/>
          <w:spacing w:val="-40"/>
          <w:sz w:val="21"/>
          <w:szCs w:val="21"/>
        </w:rPr>
        <w:t xml:space="preserve"> </w:t>
      </w:r>
      <w:r>
        <w:rPr>
          <w:rFonts w:ascii="SimHei" w:eastAsia="SimHei" w:hAnsi="SimHei" w:cs="SimHei"/>
          <w:spacing w:val="-2"/>
          <w:sz w:val="21"/>
          <w:szCs w:val="21"/>
        </w:rPr>
        <w:t>评估准备</w:t>
      </w:r>
    </w:p>
    <w:p>
      <w:pPr>
        <w:spacing w:before="217" w:line="221" w:lineRule="auto"/>
        <w:rPr>
          <w:rFonts w:ascii="SimHei" w:eastAsia="SimHei" w:hAnsi="SimHei" w:cs="SimHei"/>
          <w:sz w:val="21"/>
          <w:szCs w:val="21"/>
        </w:rPr>
      </w:pPr>
      <w:r>
        <w:rPr>
          <w:rFonts w:ascii="SimHei" w:eastAsia="SimHei" w:hAnsi="SimHei" w:cs="SimHei"/>
          <w:sz w:val="21"/>
          <w:szCs w:val="21"/>
        </w:rPr>
        <w:t>5.2.1</w:t>
      </w:r>
      <w:r>
        <w:rPr>
          <w:rFonts w:ascii="SimHei" w:eastAsia="SimHei" w:hAnsi="SimHei" w:cs="SimHei"/>
          <w:sz w:val="21"/>
          <w:szCs w:val="21"/>
        </w:rPr>
        <w:t xml:space="preserve"> </w:t>
      </w:r>
      <w:r>
        <w:rPr>
          <w:rFonts w:ascii="SimHei" w:eastAsia="SimHei" w:hAnsi="SimHei" w:cs="SimHei"/>
          <w:sz w:val="21"/>
          <w:szCs w:val="21"/>
        </w:rPr>
        <w:t>信息收集</w:t>
      </w:r>
    </w:p>
    <w:p>
      <w:pPr>
        <w:pStyle w:val="BodyText"/>
        <w:spacing w:before="217" w:line="221" w:lineRule="auto"/>
        <w:ind w:left="424"/>
      </w:pPr>
      <w:r>
        <w:pict>
          <v:shape id="_x0000_s1028" style="width:275.4pt;height:275.85pt;margin-top:-134.33pt;margin-left:100.86pt;position:absolute;z-index:-251656192" coordorigin="0,0" coordsize="5507,5517" path="m2272,5232c2052,5452,1808,5536,1518,5498c1228,5461,903,5278,555,4930c265,4640,94,4326,33,3990c-39,3666,56,3387,288,3155c346,3097,404,3062,474,3016c555,2982,613,2946,648,2911c683,2877,706,2853,718,2819c717,2795,729,2761,718,2726c922,2862,1128,2996,1332,3132c1317,3163,1301,3194,1286,3225c1089,3119,926,3075,764,3074c602,3072,474,3132,346,3259c184,3422,147,3643,242,3898c325,4164,497,4431,764,4698c1054,4988,1310,5172,1553,5255c1796,5338,2005,5290,2179,5116c2307,4988,2367,4837,2365,4652c2363,4489,2308,4315,2191,4129c2226,4118,2260,4106,2295,4095c2424,4291,2479,4489,2481,4698c2483,4907,2411,5092,2272,5232em3131,2842c2957,3016,2783,3190,2609,3364c2722,3545,2832,3728,2945,3909c2968,3955,3003,3990,3026,4013c3061,4048,3096,4060,3142,4083c3188,4107,3223,4095,3281,4037c3293,4025,3305,4014,3316,4002c3339,4025,3363,4048,3386,4071c3243,4215,3100,4358,2956,4501c2933,4478,2910,4454,2887,4431c2899,4420,2910,4408,2922,4396c2956,4361,2969,4327,2968,4280c2979,4245,2957,4199,2922,4141c2477,3401,2044,2654,1599,1914c1637,1836,1677,1759,1715,1682c2471,2149,3233,2606,3989,3074c4047,3109,4105,3120,4140,3109c4186,3109,4221,3097,4256,3062c4267,3051,4279,3039,4291,3027c4314,3051,4337,3074,4360,3097c4194,3263,4028,3430,3861,3596c3838,3573,3815,3549,3792,3526c3807,3511,3823,3495,3838,3480c3885,3433,3897,3398,3885,3364c3884,3341,3861,3317,3850,3306c3815,3271,3792,3248,3757,3236c3549,3104,3339,2974,3131,2842m1854,2053c1851,2057,1847,2061,1843,2065c2085,2466,2320,2870,2562,3271c2725,3109,2887,2946,3049,2784c2652,2538,2252,2298,1854,2053em4465,2993c4441,2969,4418,2946,4395,2923c4426,2892,4457,2861,4488,2830c4523,2795,4546,2749,4546,2726c4546,2703,4534,2668,4499,2633c3946,2080,3394,1527,2841,974c2806,939,2771,928,2748,928c2725,927,2678,951,2643,986c2620,1009,2597,1032,2574,1055c2550,1032,2527,1009,2504,986c2728,761,2953,537,3177,313c3363,127,3536,21,3699,c3861,1,4024,69,4175,220c4279,324,4348,441,4372,556c4396,672,4359,823,4267,1032c4500,917,4697,857,4859,904c5021,952,5161,1020,5288,1148c5439,1299,5507,1484,5497,1682c5488,1879,5381,2076,5196,2262c4952,2505,4708,2749,4465,2993m5091,2227c5219,2099,5278,1949,5277,1786c5264,1635,5196,1496,5045,1345c4871,1171,4708,1080,4546,1078c4383,1077,4233,1160,4082,1310c3993,1399,3904,1488,3815,1577c4105,1867,4395,2157,4685,2447c4720,2482,4755,2493,4789,2482c4813,2482,4847,2471,4882,2436c4952,2366,5022,2297,5091,2227m3977,417c3838,278,3699,210,3560,232c3420,253,3305,324,3177,452c3131,498,3084,545,3038,591c3003,626,2991,661,2991,684c2980,719,2991,754,3026,788c3266,1028,3506,1268,3745,1508c3846,1407,3946,1307,4047,1206c4128,1125,4176,1009,4186,858c4196,707,4128,568,3977,417e" filled="t" fillcolor="#fc0" stroked="f">
            <v:fill opacity="32897f"/>
          </v:shape>
        </w:pict>
      </w:r>
      <w:r>
        <w:rPr>
          <w:spacing w:val="-1"/>
        </w:rPr>
        <w:t>应充分收集以下相关信息：</w:t>
      </w:r>
    </w:p>
    <w:p>
      <w:pPr>
        <w:pStyle w:val="BodyText"/>
        <w:spacing w:before="62" w:line="247" w:lineRule="auto"/>
        <w:ind w:left="5" w:firstLine="417"/>
      </w:pPr>
      <w:r>
        <w:rPr>
          <w:spacing w:val="-5"/>
        </w:rPr>
        <w:t>——稀土永磁电动机技术资料， 如产品型号、主要技术参数、设计原理和结构、产品功能说明、操</w:t>
      </w:r>
      <w:r>
        <w:rPr>
          <w:spacing w:val="16"/>
        </w:rPr>
        <w:t xml:space="preserve"> </w:t>
      </w:r>
      <w:r>
        <w:rPr>
          <w:spacing w:val="-3"/>
        </w:rPr>
        <w:t>作方法、安装维护方法等；</w:t>
      </w:r>
    </w:p>
    <w:p>
      <w:pPr>
        <w:pStyle w:val="BodyText"/>
        <w:spacing w:before="61" w:line="220" w:lineRule="auto"/>
        <w:ind w:left="423"/>
      </w:pPr>
      <w:r>
        <w:rPr>
          <w:spacing w:val="-1"/>
        </w:rPr>
        <w:t>——稀土永磁电动机的关键零部件、非金属材料</w:t>
      </w:r>
      <w:r>
        <w:rPr>
          <w:spacing w:val="-2"/>
        </w:rPr>
        <w:t>信息；</w:t>
      </w:r>
    </w:p>
    <w:p>
      <w:pPr>
        <w:pStyle w:val="BodyText"/>
        <w:spacing w:before="62" w:line="220" w:lineRule="auto"/>
        <w:ind w:left="423"/>
      </w:pPr>
      <w:r>
        <w:t>——稀土永磁电动机计划或者已经销售的区域、使用环境和使用人群等；</w:t>
      </w:r>
    </w:p>
    <w:p>
      <w:pPr>
        <w:pStyle w:val="BodyText"/>
        <w:spacing w:before="62" w:line="220" w:lineRule="auto"/>
        <w:ind w:left="423"/>
      </w:pPr>
      <w:r>
        <w:rPr>
          <w:spacing w:val="-1"/>
        </w:rPr>
        <w:t>——稀土永磁电动机生产批次和产品数量。</w:t>
      </w:r>
    </w:p>
    <w:p>
      <w:pPr>
        <w:pStyle w:val="BodyText"/>
        <w:spacing w:before="61" w:line="221" w:lineRule="auto"/>
        <w:ind w:left="445"/>
      </w:pPr>
      <w:r>
        <w:rPr>
          <w:spacing w:val="-5"/>
        </w:rPr>
        <w:t>同时， 尽可能收集生产者生产的同类产品的不合格品信息等风险信息。</w:t>
      </w:r>
    </w:p>
    <w:p>
      <w:pPr>
        <w:spacing w:before="218" w:line="219" w:lineRule="auto"/>
        <w:rPr>
          <w:rFonts w:ascii="SimHei" w:eastAsia="SimHei" w:hAnsi="SimHei" w:cs="SimHei"/>
          <w:sz w:val="21"/>
          <w:szCs w:val="21"/>
        </w:rPr>
        <w:sectPr>
          <w:footerReference w:type="default" r:id="rId9"/>
          <w:pgSz w:w="11907" w:h="16839"/>
          <w:pgMar w:top="1431" w:right="1128" w:bottom="1401" w:left="1422" w:header="0" w:footer="1225" w:gutter="0"/>
          <w:pgNumType w:start="5"/>
          <w:cols w:space="708"/>
        </w:sectPr>
      </w:pPr>
      <w:r>
        <w:rPr>
          <w:rFonts w:ascii="SimHei" w:eastAsia="SimHei" w:hAnsi="SimHei" w:cs="SimHei"/>
          <w:spacing w:val="-1"/>
          <w:sz w:val="21"/>
          <w:szCs w:val="21"/>
        </w:rPr>
        <w:t>5.2.2</w:t>
      </w:r>
      <w:r>
        <w:rPr>
          <w:rFonts w:ascii="SimHei" w:eastAsia="SimHei" w:hAnsi="SimHei" w:cs="SimHei"/>
          <w:spacing w:val="-43"/>
          <w:sz w:val="21"/>
          <w:szCs w:val="21"/>
        </w:rPr>
        <w:t xml:space="preserve"> </w:t>
      </w:r>
      <w:r>
        <w:rPr>
          <w:rFonts w:ascii="SimHei" w:eastAsia="SimHei" w:hAnsi="SimHei" w:cs="SimHei"/>
          <w:spacing w:val="-1"/>
          <w:sz w:val="21"/>
          <w:szCs w:val="21"/>
        </w:rPr>
        <w:t>编制评估方案</w:t>
      </w:r>
    </w:p>
    <w:p>
      <w:pPr>
        <w:pStyle w:val="BodyText"/>
        <w:spacing w:before="218" w:line="219" w:lineRule="auto"/>
        <w:ind w:left="426"/>
      </w:pPr>
      <w:r>
        <w:rPr>
          <w:spacing w:val="-4"/>
        </w:rPr>
        <w:t>依据收集到的稀土永磁电动机信息进行分析，</w:t>
      </w:r>
      <w:r>
        <w:rPr>
          <w:spacing w:val="-17"/>
        </w:rPr>
        <w:t xml:space="preserve"> </w:t>
      </w:r>
      <w:r>
        <w:rPr>
          <w:spacing w:val="-4"/>
        </w:rPr>
        <w:t>制定评估方案。</w:t>
      </w:r>
    </w:p>
    <w:p>
      <w:pPr>
        <w:pStyle w:val="BodyText"/>
        <w:spacing w:before="64" w:line="256" w:lineRule="auto"/>
        <w:ind w:left="5" w:firstLine="418"/>
      </w:pPr>
      <w:r>
        <w:rPr>
          <w:spacing w:val="-2"/>
        </w:rPr>
        <w:t>评估方案制定时应从产品、使用环境、使用人群等角度充分考虑可</w:t>
      </w:r>
      <w:r>
        <w:rPr>
          <w:spacing w:val="-3"/>
        </w:rPr>
        <w:t>能存在的风险。除了考虑正常的</w:t>
      </w:r>
      <w:r>
        <w:t xml:space="preserve"> </w:t>
      </w:r>
      <w:r>
        <w:rPr>
          <w:spacing w:val="-5"/>
        </w:rPr>
        <w:t>使用，</w:t>
      </w:r>
      <w:r>
        <w:rPr>
          <w:spacing w:val="-24"/>
        </w:rPr>
        <w:t xml:space="preserve"> </w:t>
      </w:r>
      <w:r>
        <w:rPr>
          <w:spacing w:val="-5"/>
        </w:rPr>
        <w:t>还应考虑合理预期的误用；除了考虑正常使用的人群，</w:t>
      </w:r>
      <w:r>
        <w:rPr>
          <w:spacing w:val="-47"/>
        </w:rPr>
        <w:t xml:space="preserve"> </w:t>
      </w:r>
      <w:r>
        <w:rPr>
          <w:spacing w:val="-6"/>
        </w:rPr>
        <w:t>还应考虑易受伤害的人群。如果存在多种</w:t>
      </w:r>
      <w:r>
        <w:t xml:space="preserve"> </w:t>
      </w:r>
      <w:r>
        <w:rPr>
          <w:spacing w:val="-1"/>
        </w:rPr>
        <w:t>可能的安全伤害类型，应充分考虑所有可能的危险因素。</w:t>
      </w:r>
    </w:p>
    <w:p>
      <w:pPr>
        <w:pStyle w:val="BodyText"/>
        <w:spacing w:before="62" w:line="219" w:lineRule="auto"/>
        <w:ind w:left="424"/>
      </w:pPr>
      <w:r>
        <w:rPr>
          <w:spacing w:val="-1"/>
        </w:rPr>
        <w:t>评估方案制定时应选择附录</w:t>
      </w:r>
      <w:r>
        <w:rPr>
          <w:rFonts w:ascii="Times New Roman" w:eastAsia="Times New Roman" w:hAnsi="Times New Roman" w:cs="Times New Roman"/>
          <w:spacing w:val="-1"/>
        </w:rPr>
        <w:t>A</w:t>
      </w:r>
      <w:r>
        <w:rPr>
          <w:spacing w:val="-1"/>
        </w:rPr>
        <w:t>适用的项目。</w:t>
      </w:r>
    </w:p>
    <w:p>
      <w:pPr>
        <w:spacing w:before="219" w:line="220" w:lineRule="auto"/>
        <w:rPr>
          <w:rFonts w:ascii="SimHei" w:eastAsia="SimHei" w:hAnsi="SimHei" w:cs="SimHei"/>
          <w:sz w:val="21"/>
          <w:szCs w:val="21"/>
        </w:rPr>
      </w:pPr>
      <w:r>
        <w:rPr>
          <w:rFonts w:ascii="SimHei" w:eastAsia="SimHei" w:hAnsi="SimHei" w:cs="SimHei"/>
          <w:spacing w:val="-2"/>
          <w:sz w:val="21"/>
          <w:szCs w:val="21"/>
        </w:rPr>
        <w:t>5.3</w:t>
      </w:r>
      <w:r>
        <w:rPr>
          <w:rFonts w:ascii="SimHei" w:eastAsia="SimHei" w:hAnsi="SimHei" w:cs="SimHei"/>
          <w:spacing w:val="-40"/>
          <w:sz w:val="21"/>
          <w:szCs w:val="21"/>
        </w:rPr>
        <w:t xml:space="preserve"> </w:t>
      </w:r>
      <w:r>
        <w:rPr>
          <w:rFonts w:ascii="SimHei" w:eastAsia="SimHei" w:hAnsi="SimHei" w:cs="SimHei"/>
          <w:spacing w:val="-2"/>
          <w:sz w:val="21"/>
          <w:szCs w:val="21"/>
        </w:rPr>
        <w:t>风险识别</w:t>
      </w:r>
    </w:p>
    <w:p>
      <w:pPr>
        <w:spacing w:before="218" w:line="220" w:lineRule="auto"/>
        <w:rPr>
          <w:rFonts w:ascii="SimHei" w:eastAsia="SimHei" w:hAnsi="SimHei" w:cs="SimHei"/>
          <w:sz w:val="21"/>
          <w:szCs w:val="21"/>
        </w:rPr>
      </w:pPr>
      <w:r>
        <w:rPr>
          <w:rFonts w:ascii="SimHei" w:eastAsia="SimHei" w:hAnsi="SimHei" w:cs="SimHei"/>
          <w:spacing w:val="-1"/>
          <w:sz w:val="21"/>
          <w:szCs w:val="21"/>
        </w:rPr>
        <w:t>5.3.1</w:t>
      </w:r>
      <w:r>
        <w:rPr>
          <w:rFonts w:ascii="SimHei" w:eastAsia="SimHei" w:hAnsi="SimHei" w:cs="SimHei"/>
          <w:spacing w:val="-45"/>
          <w:sz w:val="21"/>
          <w:szCs w:val="21"/>
        </w:rPr>
        <w:t xml:space="preserve"> </w:t>
      </w:r>
      <w:r>
        <w:rPr>
          <w:rFonts w:ascii="SimHei" w:eastAsia="SimHei" w:hAnsi="SimHei" w:cs="SimHei"/>
          <w:spacing w:val="-1"/>
          <w:sz w:val="21"/>
          <w:szCs w:val="21"/>
        </w:rPr>
        <w:t>识别危险</w:t>
      </w:r>
    </w:p>
    <w:p>
      <w:pPr>
        <w:pStyle w:val="BodyText"/>
        <w:spacing w:before="217" w:line="247" w:lineRule="auto"/>
        <w:ind w:left="4" w:firstLine="422"/>
      </w:pPr>
      <w:r>
        <w:rPr>
          <w:spacing w:val="-7"/>
        </w:rPr>
        <w:t>依据评估方案进行试验，</w:t>
      </w:r>
      <w:r>
        <w:rPr>
          <w:spacing w:val="-47"/>
        </w:rPr>
        <w:t xml:space="preserve"> </w:t>
      </w:r>
      <w:r>
        <w:rPr>
          <w:spacing w:val="-7"/>
        </w:rPr>
        <w:t>记录试验过程和结果数据，并根</w:t>
      </w:r>
      <w:r>
        <w:rPr>
          <w:spacing w:val="-8"/>
        </w:rPr>
        <w:t>据测试结果，</w:t>
      </w:r>
      <w:r>
        <w:rPr>
          <w:spacing w:val="-44"/>
        </w:rPr>
        <w:t xml:space="preserve"> </w:t>
      </w:r>
      <w:r>
        <w:rPr>
          <w:spacing w:val="-8"/>
        </w:rPr>
        <w:t>设计原理， 结构特点和失效</w:t>
      </w:r>
      <w:r>
        <w:t xml:space="preserve"> </w:t>
      </w:r>
      <w:r>
        <w:rPr>
          <w:spacing w:val="-1"/>
        </w:rPr>
        <w:t>机理等预估诊断导致事故或伤害发生的危险。</w:t>
      </w:r>
    </w:p>
    <w:p>
      <w:pPr>
        <w:spacing w:before="218" w:line="221" w:lineRule="auto"/>
        <w:rPr>
          <w:rFonts w:ascii="SimHei" w:eastAsia="SimHei" w:hAnsi="SimHei" w:cs="SimHei"/>
          <w:sz w:val="21"/>
          <w:szCs w:val="21"/>
        </w:rPr>
      </w:pPr>
      <w:r>
        <w:rPr>
          <w:rFonts w:ascii="SimHei" w:eastAsia="SimHei" w:hAnsi="SimHei" w:cs="SimHei"/>
          <w:spacing w:val="-2"/>
          <w:sz w:val="21"/>
          <w:szCs w:val="21"/>
        </w:rPr>
        <w:t>5.3.2</w:t>
      </w:r>
      <w:r>
        <w:rPr>
          <w:rFonts w:ascii="SimHei" w:eastAsia="SimHei" w:hAnsi="SimHei" w:cs="SimHei"/>
          <w:spacing w:val="-32"/>
          <w:sz w:val="21"/>
          <w:szCs w:val="21"/>
        </w:rPr>
        <w:t xml:space="preserve"> </w:t>
      </w:r>
      <w:r>
        <w:rPr>
          <w:rFonts w:ascii="SimHei" w:eastAsia="SimHei" w:hAnsi="SimHei" w:cs="SimHei"/>
          <w:spacing w:val="-2"/>
          <w:sz w:val="21"/>
          <w:szCs w:val="21"/>
        </w:rPr>
        <w:t>分析影响因素</w:t>
      </w:r>
    </w:p>
    <w:p>
      <w:pPr>
        <w:spacing w:line="221" w:lineRule="auto"/>
        <w:rPr>
          <w:rFonts w:ascii="SimHei" w:eastAsia="SimHei" w:hAnsi="SimHei" w:cs="SimHei"/>
          <w:sz w:val="21"/>
          <w:szCs w:val="21"/>
        </w:rPr>
        <w:sectPr>
          <w:footerReference w:type="default" r:id="rId10"/>
          <w:type w:val="nextPage"/>
          <w:pgSz w:w="11907" w:h="16839"/>
          <w:pgMar w:top="1431" w:right="1128" w:bottom="1401" w:left="1422" w:header="0" w:footer="1225" w:gutter="0"/>
          <w:pgNumType w:start="6"/>
          <w:cols w:space="708"/>
          <w:titlePg w:val="0"/>
        </w:sectPr>
      </w:pPr>
    </w:p>
    <w:p>
      <w:pPr>
        <w:spacing w:line="367" w:lineRule="auto"/>
        <w:rPr>
          <w:rFonts w:ascii="Arial"/>
          <w:sz w:val="21"/>
        </w:rPr>
      </w:pPr>
      <w:r>
        <w:drawing>
          <wp:anchor distT="0" distB="0" distL="0" distR="0" simplePos="0" relativeHeight="251663360" behindDoc="1" locked="0" layoutInCell="0" allowOverlap="1">
            <wp:simplePos x="0" y="0"/>
            <wp:positionH relativeFrom="page">
              <wp:posOffset>2117725</wp:posOffset>
            </wp:positionH>
            <wp:positionV relativeFrom="page">
              <wp:posOffset>2618105</wp:posOffset>
            </wp:positionV>
            <wp:extent cx="3767454" cy="3410966"/>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1"/>
                    <a:stretch>
                      <a:fillRect/>
                    </a:stretch>
                  </pic:blipFill>
                  <pic:spPr>
                    <a:xfrm>
                      <a:off x="0" y="0"/>
                      <a:ext cx="3767454" cy="3410966"/>
                    </a:xfrm>
                    <a:prstGeom prst="rect">
                      <a:avLst/>
                    </a:prstGeom>
                  </pic:spPr>
                </pic:pic>
              </a:graphicData>
            </a:graphic>
          </wp:anchor>
        </w:drawing>
      </w:r>
    </w:p>
    <w:p>
      <w:pPr>
        <w:pStyle w:val="BodyText"/>
        <w:spacing w:before="69" w:line="247" w:lineRule="auto"/>
        <w:ind w:left="4" w:firstLine="420"/>
      </w:pPr>
      <w:r>
        <w:t>根据诊断出稀土永磁电动机可能存在的危险，沿着风险传递的路径（如图</w:t>
      </w:r>
      <w:r>
        <w:rPr>
          <w:rFonts w:ascii="Times New Roman" w:eastAsia="Times New Roman" w:hAnsi="Times New Roman" w:cs="Times New Roman"/>
        </w:rPr>
        <w:t>2</w:t>
      </w:r>
      <w:r>
        <w:t>所示）分析各个环节的</w:t>
      </w:r>
      <w:r>
        <w:rPr>
          <w:spacing w:val="5"/>
        </w:rPr>
        <w:t xml:space="preserve"> </w:t>
      </w:r>
      <w:r>
        <w:rPr>
          <w:spacing w:val="-1"/>
        </w:rPr>
        <w:t>触发条件导致触发的因素通常从</w:t>
      </w:r>
      <w:r>
        <w:rPr>
          <w:rFonts w:ascii="Times New Roman" w:eastAsia="Times New Roman" w:hAnsi="Times New Roman" w:cs="Times New Roman"/>
          <w:spacing w:val="-1"/>
        </w:rPr>
        <w:t>5.3.4</w:t>
      </w:r>
      <w:r>
        <w:rPr>
          <w:spacing w:val="-1"/>
        </w:rPr>
        <w:t>中的产品、人员和环境三个方面分析。</w:t>
      </w:r>
    </w:p>
    <w:p>
      <w:pPr>
        <w:spacing w:before="216" w:line="220" w:lineRule="auto"/>
        <w:rPr>
          <w:rFonts w:ascii="SimHei" w:eastAsia="SimHei" w:hAnsi="SimHei" w:cs="SimHei"/>
          <w:sz w:val="21"/>
          <w:szCs w:val="21"/>
        </w:rPr>
      </w:pPr>
      <w:r>
        <w:rPr>
          <w:rFonts w:ascii="SimHei" w:eastAsia="SimHei" w:hAnsi="SimHei" w:cs="SimHei"/>
          <w:spacing w:val="-1"/>
          <w:sz w:val="21"/>
          <w:szCs w:val="21"/>
        </w:rPr>
        <w:t>5.3.3</w:t>
      </w:r>
      <w:r>
        <w:rPr>
          <w:rFonts w:ascii="SimHei" w:eastAsia="SimHei" w:hAnsi="SimHei" w:cs="SimHei"/>
          <w:spacing w:val="-42"/>
          <w:sz w:val="21"/>
          <w:szCs w:val="21"/>
        </w:rPr>
        <w:t xml:space="preserve"> </w:t>
      </w:r>
      <w:r>
        <w:rPr>
          <w:rFonts w:ascii="SimHei" w:eastAsia="SimHei" w:hAnsi="SimHei" w:cs="SimHei"/>
          <w:spacing w:val="-1"/>
          <w:sz w:val="21"/>
          <w:szCs w:val="21"/>
        </w:rPr>
        <w:t>推测可能的伤害</w:t>
      </w:r>
    </w:p>
    <w:p>
      <w:pPr>
        <w:pStyle w:val="BodyText"/>
        <w:spacing w:before="218" w:line="256" w:lineRule="auto"/>
        <w:ind w:left="4" w:firstLine="419"/>
        <w:jc w:val="both"/>
      </w:pPr>
      <w:r>
        <w:rPr>
          <w:spacing w:val="-2"/>
        </w:rPr>
        <w:t>稀土永磁电动机由于设计、制造、标识、使用说明、功能等原因存</w:t>
      </w:r>
      <w:r>
        <w:rPr>
          <w:spacing w:val="-3"/>
        </w:rPr>
        <w:t>在某种危险，危险从原因端到事</w:t>
      </w:r>
      <w:r>
        <w:t xml:space="preserve"> </w:t>
      </w:r>
      <w:r>
        <w:rPr>
          <w:spacing w:val="-2"/>
        </w:rPr>
        <w:t>故发生，中间有一个或多个触发条件，触发条件不同可能演变成不同的危</w:t>
      </w:r>
      <w:r>
        <w:rPr>
          <w:spacing w:val="-3"/>
        </w:rPr>
        <w:t>险事件，从而导致不同形式的</w:t>
      </w:r>
      <w:r>
        <w:t xml:space="preserve"> </w:t>
      </w:r>
      <w:r>
        <w:rPr>
          <w:spacing w:val="-1"/>
        </w:rPr>
        <w:t>事故。风险传递路径示意如图</w:t>
      </w:r>
      <w:r>
        <w:rPr>
          <w:rFonts w:ascii="Times New Roman" w:eastAsia="Times New Roman" w:hAnsi="Times New Roman" w:cs="Times New Roman"/>
          <w:spacing w:val="-1"/>
        </w:rPr>
        <w:t>2</w:t>
      </w:r>
      <w:r>
        <w:rPr>
          <w:spacing w:val="-1"/>
        </w:rPr>
        <w:t>所示。</w:t>
      </w:r>
    </w:p>
    <w:p>
      <w:pPr>
        <w:spacing w:line="434" w:lineRule="auto"/>
        <w:rPr>
          <w:rFonts w:ascii="Arial"/>
          <w:sz w:val="21"/>
        </w:rPr>
      </w:pPr>
    </w:p>
    <w:p>
      <w:pPr>
        <w:pStyle w:val="BodyText"/>
        <w:spacing w:line="408" w:lineRule="exact"/>
        <w:ind w:firstLine="5405"/>
      </w:pPr>
      <w:r>
        <w:rPr>
          <w:position w:val="-8"/>
        </w:rPr>
        <w:pict>
          <v:shape id="_x0000_i1029" type="#_x0000_t202" style="width:95.4pt;height:20.45pt;mso-position-horizontal-relative:char;mso-position-vertical-relative:line" filled="t" fillcolor="white" stroked="f">
            <o:lock v:ext="edit" aspectratio="f"/>
            <v:textbox inset="0,0,0,0">
              <w:txbxContent>
                <w:p>
                  <w:pPr>
                    <w:spacing w:before="51" w:line="220" w:lineRule="auto"/>
                    <w:ind w:left="152"/>
                    <w:rPr>
                      <w:rFonts w:ascii="SimSun" w:eastAsia="SimSun" w:hAnsi="SimSun" w:cs="SimSun"/>
                      <w:sz w:val="21"/>
                      <w:szCs w:val="21"/>
                    </w:rPr>
                  </w:pPr>
                  <w:r>
                    <w:rPr>
                      <w:rFonts w:ascii="SimSun" w:eastAsia="SimSun" w:hAnsi="SimSun" w:cs="SimSun"/>
                      <w:spacing w:val="-1"/>
                      <w:sz w:val="21"/>
                      <w:szCs w:val="21"/>
                    </w:rPr>
                    <w:t>稀土永磁电动机</w:t>
                  </w:r>
                </w:p>
              </w:txbxContent>
            </v:textbox>
            <w10:wrap type="none"/>
          </v:shape>
        </w:pic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9" w:line="220" w:lineRule="auto"/>
        <w:ind w:left="3641"/>
        <w:rPr>
          <w:rFonts w:ascii="SimHei" w:eastAsia="SimHei" w:hAnsi="SimHei" w:cs="SimHei"/>
          <w:sz w:val="21"/>
          <w:szCs w:val="21"/>
        </w:rPr>
      </w:pPr>
      <w:r>
        <w:pict>
          <v:shape id="_x0000_s1030" style="width:275.4pt;height:275.85pt;margin-top:-188.52pt;margin-left:100.86pt;position:absolute;z-index:-251654144" coordorigin="0,0" coordsize="5507,5517" path="m2272,5232c2052,5452,1808,5536,1518,5498c1228,5461,903,5278,555,4930c265,4640,94,4326,33,3990c-39,3666,56,3387,288,3155c346,3097,404,3062,474,3016c555,2982,613,2946,648,2911c683,2877,706,2853,718,2819c717,2795,729,2761,718,2726c922,2862,1128,2996,1332,3132c1317,3163,1301,3194,1286,3225c1089,3119,926,3075,764,3074c602,3072,474,3132,346,3259c184,3422,147,3643,242,3898c325,4164,497,4431,764,4698c1054,4988,1310,5172,1553,5255c1796,5338,2005,5290,2179,5116c2307,4988,2367,4837,2365,4652c2363,4489,2308,4315,2191,4129c2226,4118,2260,4106,2295,4095c2424,4291,2479,4489,2481,4698c2483,4907,2411,5092,2272,5232em3131,2842c2957,3016,2783,3190,2609,3364c2722,3545,2832,3728,2945,3909c2968,3955,3003,3990,3026,4013c3061,4048,3096,4060,3142,4083c3188,4107,3223,4095,3281,4037c3293,4025,3305,4014,3316,4002c3339,4025,3363,4048,3386,4071c3243,4215,3100,4358,2956,4501c2933,4478,2910,4454,2887,4431c2899,4420,2910,4408,2922,4396c2956,4361,2969,4327,2968,4280c2979,4245,2957,4199,2922,4141c2477,3401,2044,2654,1599,1914c1637,1836,1677,1759,1715,1682c2471,2149,3233,2606,3989,3074c4047,3109,4105,3120,4140,3109c4186,3109,4221,3097,4256,3062c4267,3051,4279,3039,4291,3027c4314,3051,4337,3074,4360,3097c4194,3263,4028,3430,3861,3596c3838,3573,3815,3549,3792,3526c3807,3511,3823,3495,3838,3480c3885,3433,3897,3398,3885,3364c3884,3341,3861,3317,3850,3306c3815,3271,3792,3248,3757,3236c3549,3104,3339,2974,3131,2842m1854,2053c1851,2057,1847,2061,1843,2065c2085,2466,2320,2870,2562,3271c2725,3109,2887,2946,3049,2784c2652,2538,2252,2298,1854,2053em4465,2993c4441,2969,4418,2946,4395,2923c4426,2892,4457,2861,4488,2830c4523,2795,4546,2749,4546,2726c4546,2703,4534,2668,4499,2633c3946,2080,3394,1527,2841,974c2806,939,2771,928,2748,928c2725,927,2678,951,2643,986c2620,1009,2597,1032,2574,1055c2550,1032,2527,1009,2504,986c2728,761,2953,537,3177,313c3363,127,3536,21,3699,c3861,1,4024,69,4175,220c4279,324,4348,441,4372,556c4396,672,4359,823,4267,1032c4500,917,4697,857,4859,904c5021,952,5161,1020,5288,1148c5439,1299,5507,1484,5497,1682c5488,1879,5381,2076,5196,2262c4952,2505,4708,2749,4465,2993m5091,2227c5219,2099,5278,1949,5277,1786c5264,1635,5196,1496,5045,1345c4871,1171,4708,1080,4546,1078c4383,1077,4233,1160,4082,1310c3993,1399,3904,1488,3815,1577c4105,1867,4395,2157,4685,2447c4720,2482,4755,2493,4789,2482c4813,2482,4847,2471,4882,2436c4952,2366,5022,2297,5091,2227m3977,417c3838,278,3699,210,3560,232c3420,253,3305,324,3177,452c3131,498,3084,545,3038,591c3003,626,2991,661,2991,684c2980,719,2991,754,3026,788c3266,1028,3506,1268,3745,1508c3846,1407,3946,1307,4047,1206c4128,1125,4176,1009,4186,858c4196,707,4128,568,3977,417e" filled="t" fillcolor="#fc0" stroked="f">
            <v:fill opacity="32897f"/>
          </v:shape>
        </w:pict>
      </w:r>
      <w:r>
        <w:rPr>
          <w:rFonts w:ascii="SimHei" w:eastAsia="SimHei" w:hAnsi="SimHei" w:cs="SimHei"/>
          <w:spacing w:val="-2"/>
          <w:sz w:val="21"/>
          <w:szCs w:val="21"/>
        </w:rPr>
        <w:t>图2</w:t>
      </w:r>
      <w:r>
        <w:rPr>
          <w:rFonts w:ascii="SimHei" w:eastAsia="SimHei" w:hAnsi="SimHei" w:cs="SimHei"/>
          <w:spacing w:val="-2"/>
          <w:sz w:val="21"/>
          <w:szCs w:val="21"/>
        </w:rPr>
        <w:t xml:space="preserve"> </w:t>
      </w:r>
      <w:r>
        <w:rPr>
          <w:rFonts w:ascii="SimHei" w:eastAsia="SimHei" w:hAnsi="SimHei" w:cs="SimHei"/>
          <w:spacing w:val="-2"/>
          <w:sz w:val="21"/>
          <w:szCs w:val="21"/>
        </w:rPr>
        <w:t>风险传递的路径示意图</w:t>
      </w:r>
    </w:p>
    <w:p>
      <w:pPr>
        <w:spacing w:before="76" w:line="219" w:lineRule="auto"/>
        <w:ind w:left="370"/>
        <w:rPr>
          <w:rFonts w:ascii="SimHei" w:eastAsia="SimHei" w:hAnsi="SimHei" w:cs="SimHei"/>
          <w:sz w:val="18"/>
          <w:szCs w:val="18"/>
        </w:rPr>
      </w:pPr>
      <w:r>
        <w:rPr>
          <w:rFonts w:ascii="SimHei" w:eastAsia="SimHei" w:hAnsi="SimHei" w:cs="SimHei"/>
          <w:spacing w:val="-11"/>
          <w:sz w:val="18"/>
          <w:szCs w:val="18"/>
        </w:rPr>
        <w:t>示例：</w:t>
      </w:r>
    </w:p>
    <w:p>
      <w:pPr>
        <w:pStyle w:val="BodyText"/>
        <w:spacing w:before="100" w:line="286" w:lineRule="auto"/>
        <w:ind w:left="2" w:right="5" w:firstLine="361"/>
        <w:jc w:val="both"/>
        <w:rPr>
          <w:sz w:val="18"/>
          <w:szCs w:val="18"/>
        </w:rPr>
      </w:pPr>
      <w:r>
        <w:rPr>
          <w:spacing w:val="-7"/>
          <w:sz w:val="18"/>
          <w:szCs w:val="18"/>
        </w:rPr>
        <w:t>某稀土永磁电动机由于选材或安装问题，</w:t>
      </w:r>
      <w:r>
        <w:rPr>
          <w:spacing w:val="50"/>
          <w:sz w:val="18"/>
          <w:szCs w:val="18"/>
        </w:rPr>
        <w:t xml:space="preserve"> </w:t>
      </w:r>
      <w:r>
        <w:rPr>
          <w:spacing w:val="-7"/>
          <w:sz w:val="18"/>
          <w:szCs w:val="18"/>
        </w:rPr>
        <w:t>导致线路绝缘层可能被击穿</w:t>
      </w:r>
      <w:r>
        <w:rPr>
          <w:spacing w:val="-8"/>
          <w:sz w:val="18"/>
          <w:szCs w:val="18"/>
        </w:rPr>
        <w:t>，</w:t>
      </w:r>
      <w:r>
        <w:rPr>
          <w:spacing w:val="44"/>
          <w:sz w:val="18"/>
          <w:szCs w:val="18"/>
        </w:rPr>
        <w:t xml:space="preserve"> </w:t>
      </w:r>
      <w:r>
        <w:rPr>
          <w:spacing w:val="-8"/>
          <w:sz w:val="18"/>
          <w:szCs w:val="18"/>
        </w:rPr>
        <w:t>在稀土永磁电动机受潮时， 绝缘层的绝缘性</w:t>
      </w:r>
      <w:r>
        <w:rPr>
          <w:sz w:val="18"/>
          <w:szCs w:val="18"/>
        </w:rPr>
        <w:t xml:space="preserve"> </w:t>
      </w:r>
      <w:r>
        <w:rPr>
          <w:spacing w:val="-10"/>
          <w:sz w:val="18"/>
          <w:szCs w:val="18"/>
        </w:rPr>
        <w:t>进一步下降， 绝缘层将被击穿，</w:t>
      </w:r>
      <w:r>
        <w:rPr>
          <w:spacing w:val="51"/>
          <w:sz w:val="18"/>
          <w:szCs w:val="18"/>
        </w:rPr>
        <w:t xml:space="preserve"> </w:t>
      </w:r>
      <w:r>
        <w:rPr>
          <w:spacing w:val="-10"/>
          <w:sz w:val="18"/>
          <w:szCs w:val="18"/>
        </w:rPr>
        <w:t>若击穿点附近有可燃物，</w:t>
      </w:r>
      <w:r>
        <w:rPr>
          <w:spacing w:val="49"/>
          <w:sz w:val="18"/>
          <w:szCs w:val="18"/>
        </w:rPr>
        <w:t xml:space="preserve"> </w:t>
      </w:r>
      <w:r>
        <w:rPr>
          <w:spacing w:val="-10"/>
          <w:sz w:val="18"/>
          <w:szCs w:val="18"/>
        </w:rPr>
        <w:t>则会有起火的危险，</w:t>
      </w:r>
      <w:r>
        <w:rPr>
          <w:spacing w:val="56"/>
          <w:sz w:val="18"/>
          <w:szCs w:val="18"/>
        </w:rPr>
        <w:t xml:space="preserve"> </w:t>
      </w:r>
      <w:r>
        <w:rPr>
          <w:spacing w:val="-10"/>
          <w:sz w:val="18"/>
          <w:szCs w:val="18"/>
        </w:rPr>
        <w:t>当使用者距离过近或未及时发现火灾发生</w:t>
      </w:r>
      <w:r>
        <w:rPr>
          <w:sz w:val="18"/>
          <w:szCs w:val="18"/>
        </w:rPr>
        <w:t xml:space="preserve"> </w:t>
      </w:r>
      <w:r>
        <w:rPr>
          <w:spacing w:val="-3"/>
          <w:sz w:val="18"/>
          <w:szCs w:val="18"/>
        </w:rPr>
        <w:t>时，会有烧伤甚至死亡的危险。</w:t>
      </w:r>
      <w:r>
        <w:rPr>
          <w:spacing w:val="44"/>
          <w:sz w:val="18"/>
          <w:szCs w:val="18"/>
        </w:rPr>
        <w:t xml:space="preserve"> </w:t>
      </w:r>
      <w:r>
        <w:rPr>
          <w:spacing w:val="-3"/>
          <w:sz w:val="18"/>
          <w:szCs w:val="18"/>
        </w:rPr>
        <w:t>稀土永磁电动机的由线路绝缘性问题引起的烧伤甚至死亡的伤害传递路径如图3所示。</w:t>
      </w:r>
    </w:p>
    <w:p>
      <w:pPr>
        <w:spacing w:line="286" w:lineRule="auto"/>
        <w:rPr>
          <w:sz w:val="18"/>
          <w:szCs w:val="18"/>
        </w:rPr>
        <w:sectPr>
          <w:footerReference w:type="default" r:id="rId12"/>
          <w:pgSz w:w="11907" w:h="16839"/>
          <w:pgMar w:top="1431" w:right="1128" w:bottom="1400" w:left="1422" w:header="0" w:footer="1225" w:gutter="0"/>
          <w:pgNumType w:start="7"/>
          <w:cols w:space="708"/>
        </w:sectPr>
      </w:pPr>
    </w:p>
    <w:p>
      <w:pPr>
        <w:spacing w:line="472" w:lineRule="auto"/>
        <w:rPr>
          <w:rFonts w:ascii="Arial"/>
          <w:sz w:val="21"/>
        </w:rPr>
      </w:pPr>
    </w:p>
    <w:p>
      <w:pPr>
        <w:spacing w:line="5436" w:lineRule="exact"/>
        <w:ind w:firstLine="1823"/>
      </w:pPr>
      <w:r>
        <w:rPr>
          <w:position w:val="-108"/>
        </w:rPr>
        <w:drawing>
          <wp:inline distT="0" distB="0" distL="0" distR="0">
            <wp:extent cx="3897629" cy="3451352"/>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3"/>
                    <a:stretch>
                      <a:fillRect/>
                    </a:stretch>
                  </pic:blipFill>
                  <pic:spPr>
                    <a:xfrm>
                      <a:off x="0" y="0"/>
                      <a:ext cx="3897629" cy="3451352"/>
                    </a:xfrm>
                    <a:prstGeom prst="rect">
                      <a:avLst/>
                    </a:prstGeom>
                  </pic:spPr>
                </pic:pic>
              </a:graphicData>
            </a:graphic>
          </wp:inline>
        </w:drawing>
      </w:r>
    </w:p>
    <w:p>
      <w:pPr>
        <w:spacing w:before="142" w:line="220" w:lineRule="auto"/>
        <w:ind w:left="2907"/>
        <w:rPr>
          <w:rFonts w:ascii="SimHei" w:eastAsia="SimHei" w:hAnsi="SimHei" w:cs="SimHei"/>
          <w:sz w:val="21"/>
          <w:szCs w:val="21"/>
        </w:rPr>
      </w:pPr>
      <w:r>
        <w:pict>
          <v:shape id="_x0000_s1031" style="width:275.4pt;height:275.85pt;margin-top:-75.62pt;margin-left:100.86pt;position:absolute;z-index:-251652096" coordorigin="0,0" coordsize="5507,5517" path="m2272,5232c2052,5452,1808,5536,1518,5498c1228,5461,903,5278,555,4930c265,4640,94,4326,33,3990c-39,3666,56,3387,288,3155c346,3097,404,3062,474,3016c555,2982,613,2946,648,2911c683,2877,706,2853,718,2819c717,2795,729,2761,718,2726c922,2862,1128,2996,1332,3132c1317,3163,1301,3194,1286,3225c1089,3119,926,3075,764,3074c602,3072,474,3132,346,3259c184,3422,147,3643,242,3898c325,4164,497,4431,764,4698c1054,4988,1310,5172,1553,5255c1796,5338,2005,5290,2179,5116c2307,4988,2367,4837,2365,4652c2363,4489,2308,4315,2191,4129c2226,4118,2260,4106,2295,4095c2424,4291,2479,4489,2481,4698c2483,4907,2411,5092,2272,5232em3131,2842c2957,3016,2783,3190,2609,3364c2722,3545,2832,3728,2945,3909c2968,3955,3003,3990,3026,4013c3061,4048,3096,4060,3142,4083c3188,4107,3223,4095,3281,4037c3293,4025,3305,4014,3316,4002c3339,4025,3363,4048,3386,4071c3243,4215,3100,4358,2956,4501c2933,4478,2910,4454,2887,4431c2899,4420,2910,4408,2922,4396c2956,4361,2969,4327,2968,4280c2979,4245,2957,4199,2922,4141c2477,3401,2044,2654,1599,1914c1637,1836,1677,1759,1715,1682c2471,2149,3233,2606,3989,3074c4047,3109,4105,3120,4140,3109c4186,3109,4221,3097,4256,3062c4267,3051,4279,3039,4291,3027c4314,3051,4337,3074,4360,3097c4194,3263,4028,3430,3861,3596c3838,3573,3815,3549,3792,3526c3807,3511,3823,3495,3838,3480c3885,3433,3897,3398,3885,3364c3884,3341,3861,3317,3850,3306c3815,3271,3792,3248,3757,3236c3549,3104,3339,2974,3131,2842m1854,2053c1851,2057,1847,2061,1843,2065c2085,2466,2320,2870,2562,3271c2725,3109,2887,2946,3049,2784c2652,2538,2252,2298,1854,2053em4465,2993c4441,2969,4418,2946,4395,2923c4426,2892,4457,2861,4488,2830c4523,2795,4546,2749,4546,2726c4546,2703,4534,2668,4499,2633c3946,2080,3394,1527,2841,974c2806,939,2771,928,2748,928c2725,927,2678,951,2643,986c2620,1009,2597,1032,2574,1055c2550,1032,2527,1009,2504,986c2728,761,2953,537,3177,313c3363,127,3536,21,3699,c3861,1,4024,69,4175,220c4279,324,4348,441,4372,556c4396,672,4359,823,4267,1032c4500,917,4697,857,4859,904c5021,952,5161,1020,5288,1148c5439,1299,5507,1484,5497,1682c5488,1879,5381,2076,5196,2262c4952,2505,4708,2749,4465,2993m5091,2227c5219,2099,5278,1949,5277,1786c5264,1635,5196,1496,5045,1345c4871,1171,4708,1080,4546,1078c4383,1077,4233,1160,4082,1310c3993,1399,3904,1488,3815,1577c4105,1867,4395,2157,4685,2447c4720,2482,4755,2493,4789,2482c4813,2482,4847,2471,4882,2436c4952,2366,5022,2297,5091,2227m3977,417c3838,278,3699,210,3560,232c3420,253,3305,324,3177,452c3131,498,3084,545,3038,591c3003,626,2991,661,2991,684c2980,719,2991,754,3026,788c3266,1028,3506,1268,3745,1508c3846,1407,3946,1307,4047,1206c4128,1125,4176,1009,4186,858c4196,707,4128,568,3977,417e" filled="t" fillcolor="#fc0" stroked="f">
            <v:fill opacity="32897f"/>
          </v:shape>
        </w:pict>
      </w:r>
      <w:r>
        <w:rPr>
          <w:rFonts w:ascii="SimHei" w:eastAsia="SimHei" w:hAnsi="SimHei" w:cs="SimHei"/>
          <w:spacing w:val="-1"/>
          <w:sz w:val="21"/>
          <w:szCs w:val="21"/>
        </w:rPr>
        <w:t>图3</w:t>
      </w:r>
      <w:r>
        <w:rPr>
          <w:rFonts w:ascii="SimHei" w:eastAsia="SimHei" w:hAnsi="SimHei" w:cs="SimHei"/>
          <w:spacing w:val="-1"/>
          <w:sz w:val="21"/>
          <w:szCs w:val="21"/>
        </w:rPr>
        <w:t xml:space="preserve"> </w:t>
      </w:r>
      <w:r>
        <w:rPr>
          <w:rFonts w:ascii="SimHei" w:eastAsia="SimHei" w:hAnsi="SimHei" w:cs="SimHei"/>
          <w:spacing w:val="-1"/>
          <w:sz w:val="21"/>
          <w:szCs w:val="21"/>
        </w:rPr>
        <w:t>某稀土永磁电动机伤害传递路径示意图</w:t>
      </w:r>
    </w:p>
    <w:p>
      <w:pPr>
        <w:spacing w:line="458" w:lineRule="auto"/>
        <w:rPr>
          <w:rFonts w:ascii="Arial"/>
          <w:sz w:val="21"/>
        </w:rPr>
      </w:pPr>
    </w:p>
    <w:p>
      <w:pPr>
        <w:spacing w:before="69" w:line="468" w:lineRule="exact"/>
        <w:rPr>
          <w:rFonts w:ascii="SimHei" w:eastAsia="SimHei" w:hAnsi="SimHei" w:cs="SimHei"/>
          <w:sz w:val="21"/>
          <w:szCs w:val="21"/>
        </w:rPr>
      </w:pPr>
      <w:r>
        <w:rPr>
          <w:rFonts w:ascii="SimHei" w:eastAsia="SimHei" w:hAnsi="SimHei" w:cs="SimHei"/>
          <w:spacing w:val="-1"/>
          <w:position w:val="19"/>
          <w:sz w:val="21"/>
          <w:szCs w:val="21"/>
        </w:rPr>
        <w:t>5.3.4</w:t>
      </w:r>
      <w:r>
        <w:rPr>
          <w:rFonts w:ascii="SimHei" w:eastAsia="SimHei" w:hAnsi="SimHei" w:cs="SimHei"/>
          <w:spacing w:val="-43"/>
          <w:position w:val="19"/>
          <w:sz w:val="21"/>
          <w:szCs w:val="21"/>
        </w:rPr>
        <w:t xml:space="preserve"> </w:t>
      </w:r>
      <w:r>
        <w:rPr>
          <w:rFonts w:ascii="SimHei" w:eastAsia="SimHei" w:hAnsi="SimHei" w:cs="SimHei"/>
          <w:spacing w:val="-1"/>
          <w:position w:val="19"/>
          <w:sz w:val="21"/>
          <w:szCs w:val="21"/>
        </w:rPr>
        <w:t>风险影响因素</w:t>
      </w:r>
    </w:p>
    <w:p>
      <w:pPr>
        <w:spacing w:line="221" w:lineRule="auto"/>
        <w:rPr>
          <w:rFonts w:ascii="SimHei" w:eastAsia="SimHei" w:hAnsi="SimHei" w:cs="SimHei"/>
          <w:sz w:val="21"/>
          <w:szCs w:val="21"/>
        </w:rPr>
      </w:pPr>
      <w:hyperlink r:id="rId14" w:history="1">
        <w:r>
          <w:rPr>
            <w:rFonts w:ascii="SimHei" w:eastAsia="SimHei" w:hAnsi="SimHei" w:cs="SimHei"/>
            <w:spacing w:val="-1"/>
            <w:sz w:val="21"/>
            <w:szCs w:val="21"/>
          </w:rPr>
          <w:t>5.3.4.1</w:t>
        </w:r>
      </w:hyperlink>
      <w:r>
        <w:rPr>
          <w:rFonts w:ascii="SimHei" w:eastAsia="SimHei" w:hAnsi="SimHei" w:cs="SimHei"/>
          <w:spacing w:val="-43"/>
          <w:sz w:val="21"/>
          <w:szCs w:val="21"/>
        </w:rPr>
        <w:t xml:space="preserve"> </w:t>
      </w:r>
      <w:r>
        <w:rPr>
          <w:rFonts w:ascii="SimHei" w:eastAsia="SimHei" w:hAnsi="SimHei" w:cs="SimHei"/>
          <w:spacing w:val="-1"/>
          <w:sz w:val="21"/>
          <w:szCs w:val="21"/>
        </w:rPr>
        <w:t>产品因素</w:t>
      </w:r>
    </w:p>
    <w:p>
      <w:pPr>
        <w:pStyle w:val="BodyText"/>
        <w:spacing w:before="216" w:line="247" w:lineRule="auto"/>
        <w:ind w:left="7" w:firstLine="419"/>
      </w:pPr>
      <w:r>
        <w:rPr>
          <w:spacing w:val="-4"/>
        </w:rPr>
        <w:t>识别稀土永磁电动机本身的危险因素时应始终考虑整个使用过程，</w:t>
      </w:r>
      <w:r>
        <w:rPr>
          <w:spacing w:val="-36"/>
        </w:rPr>
        <w:t xml:space="preserve"> </w:t>
      </w:r>
      <w:r>
        <w:rPr>
          <w:spacing w:val="-4"/>
        </w:rPr>
        <w:t>包括在安装、使用、维护、修理</w:t>
      </w:r>
      <w:r>
        <w:t xml:space="preserve"> </w:t>
      </w:r>
      <w:r>
        <w:rPr>
          <w:spacing w:val="-2"/>
        </w:rPr>
        <w:t>或处置过程中对使用者造成伤害的危险。</w:t>
      </w:r>
      <w:r>
        <w:rPr>
          <w:spacing w:val="-32"/>
        </w:rPr>
        <w:t xml:space="preserve"> </w:t>
      </w:r>
      <w:r>
        <w:rPr>
          <w:spacing w:val="-2"/>
        </w:rPr>
        <w:t>稀土永磁电动机常见危险因子参考见</w:t>
      </w:r>
      <w:r>
        <w:rPr>
          <w:spacing w:val="-3"/>
        </w:rPr>
        <w:t>表</w:t>
      </w:r>
      <w:r>
        <w:rPr>
          <w:rFonts w:ascii="Times New Roman" w:eastAsia="Times New Roman" w:hAnsi="Times New Roman" w:cs="Times New Roman"/>
          <w:spacing w:val="-3"/>
        </w:rPr>
        <w:t>1</w:t>
      </w:r>
      <w:r>
        <w:rPr>
          <w:spacing w:val="-3"/>
        </w:rPr>
        <w:t>。</w:t>
      </w:r>
    </w:p>
    <w:p>
      <w:pPr>
        <w:spacing w:before="150" w:line="219" w:lineRule="auto"/>
        <w:ind w:left="3030"/>
        <w:rPr>
          <w:rFonts w:ascii="SimHei" w:eastAsia="SimHei" w:hAnsi="SimHei" w:cs="SimHei"/>
          <w:sz w:val="21"/>
          <w:szCs w:val="21"/>
        </w:rPr>
      </w:pPr>
      <w:r>
        <w:rPr>
          <w:rFonts w:ascii="SimHei" w:eastAsia="SimHei" w:hAnsi="SimHei" w:cs="SimHei"/>
          <w:spacing w:val="-2"/>
          <w:sz w:val="21"/>
          <w:szCs w:val="21"/>
        </w:rPr>
        <w:t>表</w:t>
      </w:r>
      <w:r>
        <w:rPr>
          <w:rFonts w:ascii="SimHei" w:eastAsia="SimHei" w:hAnsi="SimHei" w:cs="SimHei"/>
          <w:spacing w:val="-27"/>
          <w:sz w:val="21"/>
          <w:szCs w:val="21"/>
        </w:rPr>
        <w:t xml:space="preserve"> </w:t>
      </w:r>
      <w:r>
        <w:rPr>
          <w:rFonts w:ascii="SimHei" w:eastAsia="SimHei" w:hAnsi="SimHei" w:cs="SimHei"/>
          <w:spacing w:val="-2"/>
          <w:sz w:val="21"/>
          <w:szCs w:val="21"/>
        </w:rPr>
        <w:t>1</w:t>
      </w:r>
      <w:r>
        <w:rPr>
          <w:rFonts w:ascii="SimHei" w:eastAsia="SimHei" w:hAnsi="SimHei" w:cs="SimHei"/>
          <w:spacing w:val="-2"/>
          <w:sz w:val="21"/>
          <w:szCs w:val="21"/>
        </w:rPr>
        <w:t xml:space="preserve">  </w:t>
      </w:r>
      <w:r>
        <w:rPr>
          <w:rFonts w:ascii="SimHei" w:eastAsia="SimHei" w:hAnsi="SimHei" w:cs="SimHei"/>
          <w:spacing w:val="-2"/>
          <w:sz w:val="21"/>
          <w:szCs w:val="21"/>
        </w:rPr>
        <w:t>稀土永磁电动机常见危险因子</w:t>
      </w:r>
    </w:p>
    <w:tbl>
      <w:tblPr>
        <w:tblStyle w:val="TableNormal0"/>
        <w:tblW w:w="9291"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80"/>
        <w:gridCol w:w="6911"/>
      </w:tblGrid>
      <w:tr>
        <w:tblPrEx>
          <w:tblW w:w="9291"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0"/>
        </w:trPr>
        <w:tc>
          <w:tcPr>
            <w:tcW w:w="2380" w:type="dxa"/>
            <w:vAlign w:val="top"/>
          </w:tcPr>
          <w:p>
            <w:pPr>
              <w:pStyle w:val="TableText"/>
              <w:spacing w:before="171" w:line="220" w:lineRule="auto"/>
              <w:ind w:left="836"/>
            </w:pPr>
            <w:r>
              <w:rPr>
                <w:spacing w:val="-2"/>
              </w:rPr>
              <w:t>危险种类</w:t>
            </w:r>
          </w:p>
        </w:tc>
        <w:tc>
          <w:tcPr>
            <w:tcW w:w="6911" w:type="dxa"/>
            <w:vAlign w:val="top"/>
          </w:tcPr>
          <w:p>
            <w:pPr>
              <w:pStyle w:val="TableText"/>
              <w:spacing w:before="171" w:line="220" w:lineRule="auto"/>
              <w:ind w:left="3101"/>
            </w:pPr>
            <w:r>
              <w:rPr>
                <w:spacing w:val="-2"/>
              </w:rPr>
              <w:t>危险因子</w:t>
            </w:r>
          </w:p>
        </w:tc>
      </w:tr>
      <w:tr>
        <w:tblPrEx>
          <w:tblW w:w="9291" w:type="dxa"/>
          <w:tblInd w:w="27" w:type="dxa"/>
          <w:tblLayout w:type="fixed"/>
        </w:tblPrEx>
        <w:trPr>
          <w:trHeight w:val="402"/>
        </w:trPr>
        <w:tc>
          <w:tcPr>
            <w:tcW w:w="2380" w:type="dxa"/>
            <w:vMerge w:val="restart"/>
            <w:tcBorders>
              <w:bottom w:val="nil"/>
            </w:tcBorders>
            <w:vAlign w:val="top"/>
          </w:tcPr>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59" w:line="220" w:lineRule="auto"/>
              <w:ind w:left="855"/>
            </w:pPr>
            <w:r>
              <w:rPr>
                <w:spacing w:val="-6"/>
              </w:rPr>
              <w:t>电击危险</w:t>
            </w:r>
          </w:p>
        </w:tc>
        <w:tc>
          <w:tcPr>
            <w:tcW w:w="6911" w:type="dxa"/>
            <w:vAlign w:val="top"/>
          </w:tcPr>
          <w:p>
            <w:pPr>
              <w:pStyle w:val="TableText"/>
              <w:spacing w:before="164" w:line="220" w:lineRule="auto"/>
              <w:ind w:left="114"/>
            </w:pPr>
            <w:r>
              <w:rPr>
                <w:spacing w:val="-2"/>
              </w:rPr>
              <w:t>外壳防护缺陷</w:t>
            </w:r>
          </w:p>
        </w:tc>
      </w:tr>
      <w:tr>
        <w:tblPrEx>
          <w:tblW w:w="9291" w:type="dxa"/>
          <w:tblInd w:w="27" w:type="dxa"/>
          <w:tblLayout w:type="fixed"/>
        </w:tblPrEx>
        <w:trPr>
          <w:trHeight w:val="8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7" w:line="401" w:lineRule="exact"/>
              <w:ind w:left="112"/>
            </w:pPr>
            <w:r>
              <w:rPr>
                <w:position w:val="17"/>
              </w:rPr>
              <w:t>保护接地失效（接地系统的连接及可靠性，接地连</w:t>
            </w:r>
            <w:r>
              <w:rPr>
                <w:spacing w:val="-1"/>
                <w:position w:val="17"/>
              </w:rPr>
              <w:t>接的电化学腐蚀，接地电阻值，保</w:t>
            </w:r>
          </w:p>
          <w:p>
            <w:pPr>
              <w:pStyle w:val="TableText"/>
              <w:spacing w:line="220" w:lineRule="auto"/>
              <w:ind w:left="112"/>
            </w:pPr>
            <w:r>
              <w:rPr>
                <w:spacing w:val="-3"/>
              </w:rPr>
              <w:t>护接地标志）</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8" w:line="219" w:lineRule="auto"/>
              <w:ind w:left="114"/>
            </w:pPr>
            <w:r>
              <w:rPr>
                <w:spacing w:val="-1"/>
              </w:rPr>
              <w:t>非金属材料或绝缘材料质量缺陷</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9" w:line="220" w:lineRule="auto"/>
              <w:ind w:left="114"/>
            </w:pPr>
            <w:r>
              <w:rPr>
                <w:spacing w:val="-5"/>
              </w:rPr>
              <w:t>泄漏电流、电气强度、绝缘电阻、</w:t>
            </w:r>
            <w:r>
              <w:rPr>
                <w:spacing w:val="33"/>
              </w:rPr>
              <w:t xml:space="preserve"> </w:t>
            </w:r>
            <w:r>
              <w:rPr>
                <w:spacing w:val="-5"/>
              </w:rPr>
              <w:t>爬电距离、电气间</w:t>
            </w:r>
            <w:r>
              <w:rPr>
                <w:spacing w:val="-6"/>
              </w:rPr>
              <w:t>隙问题</w:t>
            </w:r>
          </w:p>
        </w:tc>
      </w:tr>
      <w:tr>
        <w:tblPrEx>
          <w:tblW w:w="9291" w:type="dxa"/>
          <w:tblInd w:w="27" w:type="dxa"/>
          <w:tblLayout w:type="fixed"/>
        </w:tblPrEx>
        <w:trPr>
          <w:trHeight w:val="403"/>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7" w:line="220" w:lineRule="auto"/>
              <w:ind w:left="112"/>
            </w:pPr>
            <w:r>
              <w:rPr>
                <w:spacing w:val="-1"/>
              </w:rPr>
              <w:t>绝缘结构的耐热性、防潮性缺陷</w:t>
            </w:r>
          </w:p>
        </w:tc>
      </w:tr>
    </w:tbl>
    <w:p>
      <w:pPr>
        <w:sectPr>
          <w:footerReference w:type="default" r:id="rId15"/>
          <w:pgSz w:w="11907" w:h="16839"/>
          <w:pgMar w:top="1431" w:right="1128" w:bottom="1401" w:left="1422" w:header="0" w:footer="1225" w:gutter="0"/>
          <w:pgNumType w:start="8"/>
          <w:cols w:space="708"/>
        </w:sectPr>
      </w:pPr>
    </w:p>
    <w:tbl>
      <w:tblPr>
        <w:tblStyle w:val="TableNormal1"/>
        <w:tblW w:w="9291"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80"/>
        <w:gridCol w:w="6911"/>
      </w:tblGrid>
      <w:tr>
        <w:tblPrEx>
          <w:tblW w:w="9291"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5"/>
        </w:trPr>
        <w:tc>
          <w:tcPr>
            <w:tcW w:w="2380" w:type="dxa"/>
            <w:vMerge w:val="restart"/>
            <w:tcBorders>
              <w:top w:val="nil"/>
            </w:tcBorders>
            <w:vAlign w:val="top"/>
          </w:tcPr>
          <w:p>
            <w:pPr>
              <w:rPr>
                <w:rFonts w:ascii="Arial"/>
                <w:sz w:val="21"/>
              </w:rPr>
            </w:pPr>
          </w:p>
        </w:tc>
        <w:tc>
          <w:tcPr>
            <w:tcW w:w="6911" w:type="dxa"/>
            <w:vAlign w:val="top"/>
          </w:tcPr>
          <w:p>
            <w:pPr>
              <w:pStyle w:val="TableText"/>
              <w:spacing w:before="170" w:line="220" w:lineRule="auto"/>
              <w:ind w:left="114"/>
            </w:pPr>
            <w:r>
              <w:rPr>
                <w:spacing w:val="-1"/>
              </w:rPr>
              <w:t>故障电压、过电流的切断问题</w:t>
            </w:r>
          </w:p>
        </w:tc>
      </w:tr>
      <w:tr>
        <w:tblPrEx>
          <w:tblW w:w="9291" w:type="dxa"/>
          <w:tblInd w:w="27" w:type="dxa"/>
          <w:tblLayout w:type="fixed"/>
        </w:tblPrEx>
        <w:trPr>
          <w:trHeight w:val="405"/>
        </w:trPr>
        <w:tc>
          <w:tcPr>
            <w:tcW w:w="2380" w:type="dxa"/>
            <w:vMerge w:val="restart"/>
            <w:tcBorders>
              <w:bottom w:val="nil"/>
            </w:tcBorders>
            <w:vAlign w:val="top"/>
          </w:tcPr>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59" w:line="218" w:lineRule="auto"/>
              <w:ind w:left="654"/>
            </w:pPr>
            <w:r>
              <w:rPr>
                <w:spacing w:val="-1"/>
              </w:rPr>
              <w:t>爆炸起火危险</w:t>
            </w:r>
          </w:p>
        </w:tc>
        <w:tc>
          <w:tcPr>
            <w:tcW w:w="6911" w:type="dxa"/>
            <w:vAlign w:val="top"/>
          </w:tcPr>
          <w:p>
            <w:pPr>
              <w:pStyle w:val="TableText"/>
              <w:spacing w:before="170" w:line="219" w:lineRule="auto"/>
              <w:ind w:left="111"/>
            </w:pPr>
            <w:r>
              <w:rPr>
                <w:spacing w:val="-1"/>
              </w:rPr>
              <w:t>材料耐热性、阻燃性、耐湿性缺陷</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70" w:line="220" w:lineRule="auto"/>
              <w:ind w:left="114"/>
            </w:pPr>
            <w:r>
              <w:rPr>
                <w:spacing w:val="-1"/>
              </w:rPr>
              <w:t>不同电位的带电零件直接接触（端子松脱、导电体松脱、导电的外来物体进入等）</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71" w:line="220" w:lineRule="auto"/>
              <w:ind w:left="112"/>
            </w:pPr>
            <w:r>
              <w:rPr>
                <w:spacing w:val="-2"/>
              </w:rPr>
              <w:t>零部件老化</w:t>
            </w:r>
          </w:p>
        </w:tc>
      </w:tr>
      <w:tr>
        <w:tblPrEx>
          <w:tblW w:w="9291" w:type="dxa"/>
          <w:tblInd w:w="27" w:type="dxa"/>
          <w:tblLayout w:type="fixed"/>
        </w:tblPrEx>
        <w:trPr>
          <w:trHeight w:val="410"/>
        </w:trPr>
        <w:tc>
          <w:tcPr>
            <w:tcW w:w="2380" w:type="dxa"/>
            <w:vMerge/>
            <w:tcBorders>
              <w:top w:val="nil"/>
            </w:tcBorders>
            <w:vAlign w:val="top"/>
          </w:tcPr>
          <w:p>
            <w:pPr>
              <w:rPr>
                <w:rFonts w:ascii="Arial"/>
                <w:sz w:val="21"/>
              </w:rPr>
            </w:pPr>
          </w:p>
        </w:tc>
        <w:tc>
          <w:tcPr>
            <w:tcW w:w="6911" w:type="dxa"/>
            <w:vAlign w:val="top"/>
          </w:tcPr>
          <w:p>
            <w:pPr>
              <w:pStyle w:val="TableText"/>
              <w:spacing w:before="171" w:line="220" w:lineRule="auto"/>
              <w:ind w:left="115"/>
            </w:pPr>
            <w:r>
              <w:rPr>
                <w:spacing w:val="-2"/>
              </w:rPr>
              <w:t>实际电流与部件承载电流不匹配（零部件过载）</w:t>
            </w:r>
          </w:p>
        </w:tc>
      </w:tr>
    </w:tbl>
    <w:p>
      <w:pPr>
        <w:rPr>
          <w:rFonts w:ascii="Arial"/>
          <w:sz w:val="21"/>
        </w:rPr>
      </w:pPr>
    </w:p>
    <w:p>
      <w:pPr>
        <w:rPr>
          <w:rFonts w:ascii="Arial" w:eastAsia="Arial" w:hAnsi="Arial" w:cs="Arial"/>
          <w:sz w:val="21"/>
          <w:szCs w:val="21"/>
        </w:rPr>
        <w:sectPr>
          <w:footerReference w:type="default" r:id="rId16"/>
          <w:type w:val="nextPage"/>
          <w:pgSz w:w="11907" w:h="16839"/>
          <w:pgMar w:top="1431" w:right="1128" w:bottom="1401" w:left="1422" w:header="0" w:footer="1225" w:gutter="0"/>
          <w:pgNumType w:start="9"/>
          <w:cols w:space="708"/>
          <w:titlePg w:val="0"/>
        </w:sectPr>
      </w:pPr>
    </w:p>
    <w:p>
      <w:pPr>
        <w:spacing w:before="144"/>
      </w:pPr>
    </w:p>
    <w:tbl>
      <w:tblPr>
        <w:tblStyle w:val="TableNormal2"/>
        <w:tblW w:w="9291"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80"/>
        <w:gridCol w:w="6911"/>
      </w:tblGrid>
      <w:tr>
        <w:tblPrEx>
          <w:tblW w:w="9291"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0"/>
        </w:trPr>
        <w:tc>
          <w:tcPr>
            <w:tcW w:w="2380" w:type="dxa"/>
            <w:vAlign w:val="top"/>
          </w:tcPr>
          <w:p>
            <w:pPr>
              <w:rPr>
                <w:rFonts w:ascii="Arial"/>
                <w:sz w:val="21"/>
              </w:rPr>
            </w:pPr>
          </w:p>
        </w:tc>
        <w:tc>
          <w:tcPr>
            <w:tcW w:w="6911" w:type="dxa"/>
            <w:vAlign w:val="top"/>
          </w:tcPr>
          <w:p>
            <w:pPr>
              <w:pStyle w:val="TableText"/>
              <w:spacing w:before="171" w:line="219" w:lineRule="auto"/>
              <w:ind w:left="111"/>
            </w:pPr>
            <w:r>
              <w:rPr>
                <w:spacing w:val="-1"/>
              </w:rPr>
              <w:t>材料不符合耐热耐燃要求</w:t>
            </w:r>
          </w:p>
        </w:tc>
      </w:tr>
    </w:tbl>
    <w:p>
      <w:pPr>
        <w:pStyle w:val="BodyText"/>
        <w:spacing w:before="140" w:line="219" w:lineRule="auto"/>
        <w:ind w:left="2715"/>
      </w:pPr>
      <w:r>
        <w:rPr>
          <w:rFonts w:ascii="SimHei" w:eastAsia="SimHei" w:hAnsi="SimHei" w:cs="SimHei"/>
          <w:spacing w:val="-2"/>
        </w:rPr>
        <w:t>表</w:t>
      </w:r>
      <w:r>
        <w:rPr>
          <w:rFonts w:ascii="SimHei" w:eastAsia="SimHei" w:hAnsi="SimHei" w:cs="SimHei"/>
          <w:spacing w:val="-31"/>
        </w:rPr>
        <w:t xml:space="preserve"> </w:t>
      </w:r>
      <w:r>
        <w:rPr>
          <w:rFonts w:ascii="SimHei" w:eastAsia="SimHei" w:hAnsi="SimHei" w:cs="SimHei"/>
          <w:spacing w:val="-2"/>
        </w:rPr>
        <w:t>1</w:t>
      </w:r>
      <w:r>
        <w:rPr>
          <w:rFonts w:ascii="SimHei" w:eastAsia="SimHei" w:hAnsi="SimHei" w:cs="SimHei"/>
          <w:spacing w:val="-2"/>
        </w:rPr>
        <w:t xml:space="preserve">  </w:t>
      </w:r>
      <w:r>
        <w:rPr>
          <w:rFonts w:ascii="SimHei" w:eastAsia="SimHei" w:hAnsi="SimHei" w:cs="SimHei"/>
          <w:spacing w:val="-2"/>
        </w:rPr>
        <w:t>稀土永磁电动机常见危险因子</w:t>
      </w:r>
      <w:r>
        <w:rPr>
          <w:spacing w:val="-2"/>
        </w:rPr>
        <w:t>（续）</w:t>
      </w:r>
    </w:p>
    <w:p>
      <w:pPr>
        <w:spacing w:line="118" w:lineRule="auto"/>
        <w:rPr>
          <w:rFonts w:ascii="Arial"/>
          <w:sz w:val="2"/>
        </w:rPr>
      </w:pPr>
    </w:p>
    <w:tbl>
      <w:tblPr>
        <w:tblStyle w:val="TableNormal2"/>
        <w:tblW w:w="9291"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80"/>
        <w:gridCol w:w="6911"/>
      </w:tblGrid>
      <w:tr>
        <w:tblPrEx>
          <w:tblW w:w="9291"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0"/>
        </w:trPr>
        <w:tc>
          <w:tcPr>
            <w:tcW w:w="2380" w:type="dxa"/>
            <w:vAlign w:val="top"/>
          </w:tcPr>
          <w:p>
            <w:pPr>
              <w:pStyle w:val="TableText"/>
              <w:spacing w:before="171" w:line="220" w:lineRule="auto"/>
              <w:ind w:left="836"/>
            </w:pPr>
            <w:r>
              <w:rPr>
                <w:spacing w:val="-2"/>
              </w:rPr>
              <w:t>危险种类</w:t>
            </w:r>
          </w:p>
        </w:tc>
        <w:tc>
          <w:tcPr>
            <w:tcW w:w="6911" w:type="dxa"/>
            <w:vAlign w:val="top"/>
          </w:tcPr>
          <w:p>
            <w:pPr>
              <w:pStyle w:val="TableText"/>
              <w:spacing w:before="171" w:line="220" w:lineRule="auto"/>
              <w:ind w:left="3101"/>
            </w:pPr>
            <w:r>
              <w:rPr>
                <w:spacing w:val="-2"/>
              </w:rPr>
              <w:t>危险因子</w:t>
            </w:r>
          </w:p>
        </w:tc>
      </w:tr>
      <w:tr>
        <w:tblPrEx>
          <w:tblW w:w="9291" w:type="dxa"/>
          <w:tblInd w:w="27" w:type="dxa"/>
          <w:tblLayout w:type="fixed"/>
        </w:tblPrEx>
        <w:trPr>
          <w:trHeight w:val="403"/>
        </w:trPr>
        <w:tc>
          <w:tcPr>
            <w:tcW w:w="2380" w:type="dxa"/>
            <w:vMerge w:val="restart"/>
            <w:tcBorders>
              <w:bottom w:val="nil"/>
            </w:tcBorders>
            <w:vAlign w:val="top"/>
          </w:tcPr>
          <w:p>
            <w:pPr>
              <w:spacing w:line="251" w:lineRule="auto"/>
              <w:rPr>
                <w:rFonts w:ascii="Arial"/>
                <w:sz w:val="21"/>
              </w:rPr>
            </w:pPr>
          </w:p>
          <w:p>
            <w:pPr>
              <w:pStyle w:val="TableText"/>
              <w:spacing w:before="58" w:line="220" w:lineRule="auto"/>
              <w:ind w:left="878"/>
            </w:pPr>
            <w:r>
              <w:rPr>
                <w:spacing w:val="-2"/>
              </w:rPr>
              <w:t>过热危险</w:t>
            </w:r>
          </w:p>
        </w:tc>
        <w:tc>
          <w:tcPr>
            <w:tcW w:w="6911" w:type="dxa"/>
            <w:vAlign w:val="top"/>
          </w:tcPr>
          <w:p>
            <w:pPr>
              <w:pStyle w:val="TableText"/>
              <w:spacing w:before="164" w:line="220" w:lineRule="auto"/>
              <w:ind w:left="116"/>
            </w:pPr>
            <w:r>
              <w:rPr>
                <w:spacing w:val="-2"/>
              </w:rPr>
              <w:t>高温部件结构防护问题（可触及部件温度过高）</w:t>
            </w:r>
          </w:p>
        </w:tc>
      </w:tr>
      <w:tr>
        <w:tblPrEx>
          <w:tblW w:w="9291" w:type="dxa"/>
          <w:tblInd w:w="27" w:type="dxa"/>
          <w:tblLayout w:type="fixed"/>
        </w:tblPrEx>
        <w:trPr>
          <w:trHeight w:val="405"/>
        </w:trPr>
        <w:tc>
          <w:tcPr>
            <w:tcW w:w="2380" w:type="dxa"/>
            <w:vMerge/>
            <w:tcBorders>
              <w:top w:val="nil"/>
            </w:tcBorders>
            <w:vAlign w:val="top"/>
          </w:tcPr>
          <w:p>
            <w:pPr>
              <w:rPr>
                <w:rFonts w:ascii="Arial"/>
                <w:sz w:val="21"/>
              </w:rPr>
            </w:pPr>
          </w:p>
        </w:tc>
        <w:tc>
          <w:tcPr>
            <w:tcW w:w="6911" w:type="dxa"/>
            <w:vAlign w:val="top"/>
          </w:tcPr>
          <w:p>
            <w:pPr>
              <w:pStyle w:val="TableText"/>
              <w:spacing w:before="166" w:line="219" w:lineRule="auto"/>
              <w:ind w:left="112"/>
            </w:pPr>
            <w:r>
              <w:rPr>
                <w:spacing w:val="-1"/>
              </w:rPr>
              <w:t>辅助加热器结构、尺寸和防护问题</w:t>
            </w:r>
          </w:p>
        </w:tc>
      </w:tr>
      <w:tr>
        <w:tblPrEx>
          <w:tblW w:w="9291" w:type="dxa"/>
          <w:tblInd w:w="27" w:type="dxa"/>
          <w:tblLayout w:type="fixed"/>
        </w:tblPrEx>
        <w:trPr>
          <w:trHeight w:val="405"/>
        </w:trPr>
        <w:tc>
          <w:tcPr>
            <w:tcW w:w="2380" w:type="dxa"/>
            <w:vMerge w:val="restart"/>
            <w:tcBorders>
              <w:bottom w:val="nil"/>
            </w:tcBorders>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pStyle w:val="TableText"/>
              <w:spacing w:before="58" w:line="219" w:lineRule="auto"/>
              <w:ind w:left="697"/>
            </w:pPr>
            <w:r>
              <w:rPr>
                <w:spacing w:val="-1"/>
              </w:rPr>
              <w:t>机械物理危险</w:t>
            </w:r>
          </w:p>
        </w:tc>
        <w:tc>
          <w:tcPr>
            <w:tcW w:w="6911" w:type="dxa"/>
            <w:vAlign w:val="top"/>
          </w:tcPr>
          <w:p>
            <w:pPr>
              <w:pStyle w:val="TableText"/>
              <w:spacing w:before="166" w:line="220" w:lineRule="auto"/>
              <w:ind w:left="114"/>
            </w:pPr>
            <w:r>
              <w:rPr>
                <w:spacing w:val="-2"/>
              </w:rPr>
              <w:t>外壳防护（防异物进入）</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7" w:line="220" w:lineRule="auto"/>
              <w:ind w:left="112"/>
            </w:pPr>
            <w:r>
              <w:rPr>
                <w:spacing w:val="-2"/>
              </w:rPr>
              <w:t>可触及运动部件（风叶、铰链）</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7" w:line="219" w:lineRule="auto"/>
              <w:ind w:left="112"/>
            </w:pPr>
            <w:r>
              <w:rPr>
                <w:spacing w:val="-1"/>
              </w:rPr>
              <w:t>可触及锐利边缘、锐利尖端、突出物及转角</w:t>
            </w:r>
          </w:p>
        </w:tc>
      </w:tr>
      <w:tr>
        <w:tblPrEx>
          <w:tblW w:w="9291" w:type="dxa"/>
          <w:tblInd w:w="27" w:type="dxa"/>
          <w:tblLayout w:type="fixed"/>
        </w:tblPrEx>
        <w:trPr>
          <w:trHeight w:val="406"/>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8" w:line="219" w:lineRule="auto"/>
              <w:ind w:left="115"/>
            </w:pPr>
            <w:r>
              <w:rPr>
                <w:spacing w:val="-1"/>
              </w:rPr>
              <w:t>结构稳定性、机械强度、零部件强度问题</w:t>
            </w:r>
          </w:p>
        </w:tc>
      </w:tr>
      <w:tr>
        <w:tblPrEx>
          <w:tblW w:w="9291" w:type="dxa"/>
          <w:tblInd w:w="27" w:type="dxa"/>
          <w:tblLayout w:type="fixed"/>
        </w:tblPrEx>
        <w:trPr>
          <w:trHeight w:val="403"/>
        </w:trPr>
        <w:tc>
          <w:tcPr>
            <w:tcW w:w="2380" w:type="dxa"/>
            <w:vMerge/>
            <w:tcBorders>
              <w:top w:val="nil"/>
            </w:tcBorders>
            <w:vAlign w:val="top"/>
          </w:tcPr>
          <w:p>
            <w:pPr>
              <w:rPr>
                <w:rFonts w:ascii="Arial"/>
                <w:sz w:val="21"/>
              </w:rPr>
            </w:pPr>
          </w:p>
        </w:tc>
        <w:tc>
          <w:tcPr>
            <w:tcW w:w="6911" w:type="dxa"/>
            <w:vAlign w:val="top"/>
          </w:tcPr>
          <w:p>
            <w:pPr>
              <w:pStyle w:val="TableText"/>
              <w:spacing w:before="165" w:line="220" w:lineRule="auto"/>
              <w:ind w:left="114"/>
            </w:pPr>
            <w:r>
              <w:rPr>
                <w:spacing w:val="-2"/>
              </w:rPr>
              <w:t>安装稳定性问题</w:t>
            </w:r>
          </w:p>
        </w:tc>
      </w:tr>
      <w:tr>
        <w:tblPrEx>
          <w:tblW w:w="9291" w:type="dxa"/>
          <w:tblInd w:w="27" w:type="dxa"/>
          <w:tblLayout w:type="fixed"/>
        </w:tblPrEx>
        <w:trPr>
          <w:trHeight w:val="525"/>
        </w:trPr>
        <w:tc>
          <w:tcPr>
            <w:tcW w:w="2380" w:type="dxa"/>
            <w:vAlign w:val="top"/>
          </w:tcPr>
          <w:p>
            <w:pPr>
              <w:pStyle w:val="TableText"/>
              <w:spacing w:before="170" w:line="220" w:lineRule="auto"/>
              <w:ind w:left="967"/>
            </w:pPr>
            <w:r>
              <w:rPr>
                <w:spacing w:val="-2"/>
              </w:rPr>
              <w:t>辐射危险</w:t>
            </w:r>
          </w:p>
        </w:tc>
        <w:tc>
          <w:tcPr>
            <w:tcW w:w="6911" w:type="dxa"/>
            <w:vAlign w:val="top"/>
          </w:tcPr>
          <w:p>
            <w:pPr>
              <w:pStyle w:val="TableText"/>
              <w:spacing w:before="168" w:line="220" w:lineRule="auto"/>
              <w:ind w:left="111"/>
            </w:pPr>
            <w:r>
              <w:pict>
                <v:shape id="_x0000_s1032" style="width:275.4pt;height:275.85pt;margin-top:-4.77pt;margin-left:-19.66pt;position:absolute;z-index:-251651072" coordorigin="0,0" coordsize="5507,5517" path="m2272,5232c2052,5452,1808,5536,1518,5498c1228,5461,903,5278,555,4930c265,4640,94,4326,33,3990c-39,3666,56,3387,288,3155c346,3097,404,3062,474,3016c555,2982,613,2946,648,2911c683,2877,706,2853,718,2819c717,2795,729,2761,718,2726c922,2862,1128,2996,1332,3132c1317,3163,1301,3194,1286,3225c1089,3119,926,3075,764,3074c602,3072,474,3132,346,3259c184,3422,147,3643,242,3898c325,4164,497,4431,764,4698c1054,4988,1310,5172,1553,5255c1796,5338,2005,5290,2179,5116c2307,4988,2367,4837,2365,4652c2363,4489,2308,4315,2191,4129c2226,4118,2260,4106,2295,4095c2424,4291,2479,4489,2481,4698c2483,4907,2411,5092,2272,5232em3131,2842c2957,3016,2783,3190,2609,3364c2722,3545,2832,3728,2945,3909c2968,3955,3003,3990,3026,4013c3061,4048,3096,4060,3142,4083c3188,4107,3223,4095,3281,4037c3293,4025,3305,4014,3316,4002c3339,4025,3363,4048,3386,4071c3243,4215,3100,4358,2956,4501c2933,4478,2910,4454,2887,4431c2899,4420,2910,4408,2922,4396c2956,4361,2969,4327,2968,4280c2979,4245,2957,4199,2922,4141c2477,3401,2044,2654,1599,1914c1637,1836,1677,1759,1715,1682c2471,2149,3233,2606,3989,3074c4047,3109,4105,3120,4140,3109c4186,3109,4221,3097,4256,3062c4267,3051,4279,3039,4291,3027c4314,3051,4337,3074,4360,3097c4194,3263,4028,3430,3861,3596c3838,3573,3815,3549,3792,3526c3807,3511,3823,3495,3838,3480c3885,3433,3897,3398,3885,3364c3884,3341,3861,3317,3850,3306c3815,3271,3792,3248,3757,3236c3549,3104,3339,2974,3131,2842m1854,2053c1851,2057,1847,2061,1843,2065c2085,2466,2320,2870,2562,3271c2725,3109,2887,2946,3049,2784c2652,2538,2252,2298,1854,2053em4465,2993c4441,2969,4418,2946,4395,2923c4426,2892,4457,2861,4488,2830c4523,2795,4546,2749,4546,2726c4546,2703,4534,2668,4499,2633c3946,2080,3394,1527,2841,974c2806,939,2771,928,2748,928c2725,927,2678,951,2643,986c2620,1009,2597,1032,2574,1055c2550,1032,2527,1009,2504,986c2728,761,2953,537,3177,313c3363,127,3536,21,3699,c3861,1,4024,69,4175,220c4279,324,4348,441,4372,556c4396,672,4359,823,4267,1032c4500,917,4697,857,4859,904c5021,952,5161,1020,5288,1148c5439,1299,5507,1484,5497,1682c5488,1879,5381,2076,5196,2262c4952,2505,4708,2749,4465,2993m5091,2227c5219,2099,5278,1949,5277,1786c5264,1635,5196,1496,5045,1345c4871,1171,4708,1080,4546,1078c4383,1077,4233,1160,4082,1310c3993,1399,3904,1488,3815,1577c4105,1867,4395,2157,4685,2447c4720,2482,4755,2493,4789,2482c4813,2482,4847,2471,4882,2436c4952,2366,5022,2297,5091,2227m3977,417c3838,278,3699,210,3560,232c3420,253,3305,324,3177,452c3131,498,3084,545,3038,591c3003,626,2991,661,2991,684c2980,719,2991,754,3026,788c3266,1028,3506,1268,3745,1508c3846,1407,3946,1307,4047,1206c4128,1125,4176,1009,4186,858c4196,707,4128,568,3977,417e" filled="t" fillcolor="#fc0" stroked="f">
                  <v:fill opacity="32897f"/>
                </v:shape>
              </w:pict>
            </w:r>
            <w:r>
              <w:rPr>
                <w:spacing w:val="-1"/>
              </w:rPr>
              <w:t>射频电场、磁场和电磁场辐射</w:t>
            </w:r>
          </w:p>
        </w:tc>
      </w:tr>
      <w:tr>
        <w:tblPrEx>
          <w:tblW w:w="9291" w:type="dxa"/>
          <w:tblInd w:w="27" w:type="dxa"/>
          <w:tblLayout w:type="fixed"/>
        </w:tblPrEx>
        <w:trPr>
          <w:trHeight w:val="405"/>
        </w:trPr>
        <w:tc>
          <w:tcPr>
            <w:tcW w:w="2380" w:type="dxa"/>
            <w:vMerge w:val="restart"/>
            <w:tcBorders>
              <w:bottom w:val="nil"/>
            </w:tcBorders>
            <w:vAlign w:val="top"/>
          </w:tcPr>
          <w:p>
            <w:pPr>
              <w:spacing w:line="331" w:lineRule="auto"/>
              <w:rPr>
                <w:rFonts w:ascii="Arial"/>
                <w:sz w:val="21"/>
              </w:rPr>
            </w:pPr>
          </w:p>
          <w:p>
            <w:pPr>
              <w:spacing w:line="332" w:lineRule="auto"/>
              <w:rPr>
                <w:rFonts w:ascii="Arial"/>
                <w:sz w:val="21"/>
              </w:rPr>
            </w:pPr>
          </w:p>
          <w:p>
            <w:pPr>
              <w:pStyle w:val="TableText"/>
              <w:spacing w:before="58" w:line="220" w:lineRule="auto"/>
              <w:ind w:left="969"/>
            </w:pPr>
            <w:r>
              <w:rPr>
                <w:spacing w:val="-2"/>
              </w:rPr>
              <w:t>其他危险</w:t>
            </w:r>
          </w:p>
        </w:tc>
        <w:tc>
          <w:tcPr>
            <w:tcW w:w="6911" w:type="dxa"/>
            <w:vAlign w:val="top"/>
          </w:tcPr>
          <w:p>
            <w:pPr>
              <w:pStyle w:val="TableText"/>
              <w:spacing w:before="169" w:line="220" w:lineRule="auto"/>
              <w:ind w:left="132"/>
            </w:pPr>
            <w:r>
              <w:rPr>
                <w:spacing w:val="-6"/>
              </w:rPr>
              <w:t>电压波动</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9" w:line="219" w:lineRule="auto"/>
              <w:ind w:left="115"/>
            </w:pPr>
            <w:r>
              <w:rPr>
                <w:spacing w:val="-2"/>
              </w:rPr>
              <w:t>强电磁干扰</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69" w:line="220" w:lineRule="auto"/>
              <w:ind w:left="112"/>
            </w:pPr>
            <w:r>
              <w:rPr>
                <w:spacing w:val="-1"/>
              </w:rPr>
              <w:t>使用有毒重金属元素</w:t>
            </w:r>
          </w:p>
        </w:tc>
      </w:tr>
      <w:tr>
        <w:tblPrEx>
          <w:tblW w:w="9291" w:type="dxa"/>
          <w:tblInd w:w="27" w:type="dxa"/>
          <w:tblLayout w:type="fixed"/>
        </w:tblPrEx>
        <w:trPr>
          <w:trHeight w:val="405"/>
        </w:trPr>
        <w:tc>
          <w:tcPr>
            <w:tcW w:w="2380" w:type="dxa"/>
            <w:vMerge/>
            <w:tcBorders>
              <w:top w:val="nil"/>
            </w:tcBorders>
            <w:vAlign w:val="top"/>
          </w:tcPr>
          <w:p>
            <w:pPr>
              <w:rPr>
                <w:rFonts w:ascii="Arial"/>
                <w:sz w:val="21"/>
              </w:rPr>
            </w:pPr>
          </w:p>
        </w:tc>
        <w:tc>
          <w:tcPr>
            <w:tcW w:w="6911" w:type="dxa"/>
            <w:vAlign w:val="top"/>
          </w:tcPr>
          <w:p>
            <w:pPr>
              <w:pStyle w:val="TableText"/>
              <w:spacing w:before="170" w:line="220" w:lineRule="auto"/>
              <w:ind w:left="113"/>
            </w:pPr>
            <w:r>
              <w:rPr>
                <w:spacing w:val="-3"/>
              </w:rPr>
              <w:t>误动作</w:t>
            </w:r>
          </w:p>
        </w:tc>
      </w:tr>
      <w:tr>
        <w:tblPrEx>
          <w:tblW w:w="9291" w:type="dxa"/>
          <w:tblInd w:w="27" w:type="dxa"/>
          <w:tblLayout w:type="fixed"/>
        </w:tblPrEx>
        <w:trPr>
          <w:trHeight w:val="403"/>
        </w:trPr>
        <w:tc>
          <w:tcPr>
            <w:tcW w:w="2380" w:type="dxa"/>
            <w:vMerge w:val="restart"/>
            <w:tcBorders>
              <w:bottom w:val="nil"/>
            </w:tcBorders>
            <w:vAlign w:val="top"/>
          </w:tcPr>
          <w:p>
            <w:pPr>
              <w:spacing w:line="459" w:lineRule="auto"/>
              <w:rPr>
                <w:rFonts w:ascii="Arial"/>
                <w:sz w:val="21"/>
              </w:rPr>
            </w:pPr>
          </w:p>
          <w:p>
            <w:pPr>
              <w:pStyle w:val="TableText"/>
              <w:spacing w:before="59" w:line="220" w:lineRule="auto"/>
              <w:ind w:left="972"/>
            </w:pPr>
            <w:r>
              <w:rPr>
                <w:spacing w:val="-2"/>
              </w:rPr>
              <w:t>安全标志</w:t>
            </w:r>
          </w:p>
        </w:tc>
        <w:tc>
          <w:tcPr>
            <w:tcW w:w="6911" w:type="dxa"/>
            <w:vAlign w:val="top"/>
          </w:tcPr>
          <w:p>
            <w:pPr>
              <w:pStyle w:val="TableText"/>
              <w:spacing w:before="167" w:line="220" w:lineRule="auto"/>
              <w:ind w:left="114"/>
            </w:pPr>
            <w:r>
              <w:rPr>
                <w:spacing w:val="-1"/>
              </w:rPr>
              <w:t>安全使用信息（包括：安装、维护、清洗、运行和存储等）</w:t>
            </w:r>
          </w:p>
        </w:tc>
      </w:tr>
      <w:tr>
        <w:tblPrEx>
          <w:tblW w:w="9291" w:type="dxa"/>
          <w:tblInd w:w="27" w:type="dxa"/>
          <w:tblLayout w:type="fixed"/>
        </w:tblPrEx>
        <w:trPr>
          <w:trHeight w:val="405"/>
        </w:trPr>
        <w:tc>
          <w:tcPr>
            <w:tcW w:w="2380" w:type="dxa"/>
            <w:vMerge/>
            <w:tcBorders>
              <w:top w:val="nil"/>
              <w:bottom w:val="nil"/>
            </w:tcBorders>
            <w:vAlign w:val="top"/>
          </w:tcPr>
          <w:p>
            <w:pPr>
              <w:rPr>
                <w:rFonts w:ascii="Arial"/>
                <w:sz w:val="21"/>
              </w:rPr>
            </w:pPr>
          </w:p>
        </w:tc>
        <w:tc>
          <w:tcPr>
            <w:tcW w:w="6911" w:type="dxa"/>
            <w:vAlign w:val="top"/>
          </w:tcPr>
          <w:p>
            <w:pPr>
              <w:pStyle w:val="TableText"/>
              <w:spacing w:before="170" w:line="220" w:lineRule="auto"/>
              <w:ind w:left="113"/>
            </w:pPr>
            <w:r>
              <w:rPr>
                <w:spacing w:val="-2"/>
              </w:rPr>
              <w:t>危险警示</w:t>
            </w:r>
          </w:p>
        </w:tc>
      </w:tr>
      <w:tr>
        <w:tblPrEx>
          <w:tblW w:w="9291" w:type="dxa"/>
          <w:tblInd w:w="27" w:type="dxa"/>
          <w:tblLayout w:type="fixed"/>
        </w:tblPrEx>
        <w:trPr>
          <w:trHeight w:val="405"/>
        </w:trPr>
        <w:tc>
          <w:tcPr>
            <w:tcW w:w="2380" w:type="dxa"/>
            <w:vMerge/>
            <w:tcBorders>
              <w:top w:val="nil"/>
            </w:tcBorders>
            <w:vAlign w:val="top"/>
          </w:tcPr>
          <w:p>
            <w:pPr>
              <w:rPr>
                <w:rFonts w:ascii="Arial"/>
                <w:sz w:val="21"/>
              </w:rPr>
            </w:pPr>
          </w:p>
        </w:tc>
        <w:tc>
          <w:tcPr>
            <w:tcW w:w="6911" w:type="dxa"/>
            <w:vAlign w:val="top"/>
          </w:tcPr>
          <w:p>
            <w:pPr>
              <w:pStyle w:val="TableText"/>
              <w:spacing w:before="170" w:line="220" w:lineRule="auto"/>
              <w:ind w:left="114"/>
            </w:pPr>
            <w:r>
              <w:rPr>
                <w:spacing w:val="-1"/>
              </w:rPr>
              <w:t>关键特征、识别标志</w:t>
            </w:r>
          </w:p>
        </w:tc>
      </w:tr>
      <w:tr>
        <w:tblPrEx>
          <w:tblW w:w="9291" w:type="dxa"/>
          <w:tblInd w:w="27" w:type="dxa"/>
          <w:tblLayout w:type="fixed"/>
        </w:tblPrEx>
        <w:trPr>
          <w:trHeight w:val="405"/>
        </w:trPr>
        <w:tc>
          <w:tcPr>
            <w:tcW w:w="2380" w:type="dxa"/>
            <w:vMerge w:val="restart"/>
            <w:tcBorders>
              <w:bottom w:val="nil"/>
            </w:tcBorders>
            <w:vAlign w:val="top"/>
          </w:tcPr>
          <w:p>
            <w:pPr>
              <w:spacing w:line="258" w:lineRule="auto"/>
              <w:rPr>
                <w:rFonts w:ascii="Arial"/>
                <w:sz w:val="21"/>
              </w:rPr>
            </w:pPr>
          </w:p>
          <w:p>
            <w:pPr>
              <w:pStyle w:val="TableText"/>
              <w:spacing w:before="58" w:line="220" w:lineRule="auto"/>
              <w:ind w:left="1160"/>
            </w:pPr>
            <w:r>
              <w:rPr>
                <w:spacing w:val="-5"/>
              </w:rPr>
              <w:t>防护</w:t>
            </w:r>
          </w:p>
        </w:tc>
        <w:tc>
          <w:tcPr>
            <w:tcW w:w="6911" w:type="dxa"/>
            <w:vAlign w:val="top"/>
          </w:tcPr>
          <w:p>
            <w:pPr>
              <w:pStyle w:val="TableText"/>
              <w:spacing w:before="172" w:line="220" w:lineRule="auto"/>
              <w:ind w:left="114"/>
            </w:pPr>
            <w:r>
              <w:rPr>
                <w:spacing w:val="-2"/>
              </w:rPr>
              <w:t>是否配备保护装置</w:t>
            </w:r>
          </w:p>
        </w:tc>
      </w:tr>
      <w:tr>
        <w:tblPrEx>
          <w:tblW w:w="9291" w:type="dxa"/>
          <w:tblInd w:w="27" w:type="dxa"/>
          <w:tblLayout w:type="fixed"/>
        </w:tblPrEx>
        <w:trPr>
          <w:trHeight w:val="410"/>
        </w:trPr>
        <w:tc>
          <w:tcPr>
            <w:tcW w:w="2380" w:type="dxa"/>
            <w:vMerge/>
            <w:tcBorders>
              <w:top w:val="nil"/>
            </w:tcBorders>
            <w:vAlign w:val="top"/>
          </w:tcPr>
          <w:p>
            <w:pPr>
              <w:rPr>
                <w:rFonts w:ascii="Arial"/>
                <w:sz w:val="21"/>
              </w:rPr>
            </w:pPr>
          </w:p>
        </w:tc>
        <w:tc>
          <w:tcPr>
            <w:tcW w:w="6911" w:type="dxa"/>
            <w:vAlign w:val="top"/>
          </w:tcPr>
          <w:p>
            <w:pPr>
              <w:pStyle w:val="TableText"/>
              <w:spacing w:before="172" w:line="220" w:lineRule="auto"/>
              <w:ind w:left="112"/>
            </w:pPr>
            <w:r>
              <w:rPr>
                <w:spacing w:val="-1"/>
              </w:rPr>
              <w:t>保护装置的可靠性</w:t>
            </w:r>
          </w:p>
        </w:tc>
      </w:tr>
    </w:tbl>
    <w:p>
      <w:pPr>
        <w:spacing w:before="207" w:line="219" w:lineRule="auto"/>
        <w:rPr>
          <w:rFonts w:ascii="SimHei" w:eastAsia="SimHei" w:hAnsi="SimHei" w:cs="SimHei"/>
          <w:sz w:val="21"/>
          <w:szCs w:val="21"/>
        </w:rPr>
      </w:pPr>
      <w:hyperlink r:id="rId17" w:history="1">
        <w:r>
          <w:rPr>
            <w:rFonts w:ascii="SimHei" w:eastAsia="SimHei" w:hAnsi="SimHei" w:cs="SimHei"/>
            <w:sz w:val="21"/>
            <w:szCs w:val="21"/>
          </w:rPr>
          <w:t>5.3.4.2</w:t>
        </w:r>
      </w:hyperlink>
      <w:r>
        <w:rPr>
          <w:rFonts w:ascii="SimHei" w:eastAsia="SimHei" w:hAnsi="SimHei" w:cs="SimHei"/>
          <w:sz w:val="21"/>
          <w:szCs w:val="21"/>
        </w:rPr>
        <w:t xml:space="preserve"> </w:t>
      </w:r>
      <w:r>
        <w:rPr>
          <w:rFonts w:ascii="SimHei" w:eastAsia="SimHei" w:hAnsi="SimHei" w:cs="SimHei"/>
          <w:sz w:val="21"/>
          <w:szCs w:val="21"/>
        </w:rPr>
        <w:t>人员因素</w:t>
      </w:r>
    </w:p>
    <w:p>
      <w:pPr>
        <w:pStyle w:val="BodyText"/>
        <w:spacing w:before="199" w:line="260" w:lineRule="auto"/>
        <w:ind w:left="22" w:firstLine="407"/>
      </w:pPr>
      <w:r>
        <w:rPr>
          <w:spacing w:val="-4"/>
        </w:rPr>
        <w:t>根据使用或接触稀土永磁电动机的可能人群的情况设定伤害情景，</w:t>
      </w:r>
      <w:r>
        <w:rPr>
          <w:spacing w:val="-39"/>
        </w:rPr>
        <w:t xml:space="preserve"> </w:t>
      </w:r>
      <w:r>
        <w:rPr>
          <w:spacing w:val="-4"/>
        </w:rPr>
        <w:t>以确定最高风险。与使用者相关</w:t>
      </w:r>
      <w:r>
        <w:t xml:space="preserve"> </w:t>
      </w:r>
      <w:r>
        <w:rPr>
          <w:spacing w:val="-4"/>
        </w:rPr>
        <w:t>的常见危险因素见表</w:t>
      </w:r>
      <w:r>
        <w:rPr>
          <w:spacing w:val="-33"/>
        </w:rPr>
        <w:t xml:space="preserve"> </w:t>
      </w:r>
      <w:r>
        <w:rPr>
          <w:rFonts w:ascii="Calibri" w:eastAsia="Calibri" w:hAnsi="Calibri" w:cs="Calibri"/>
          <w:spacing w:val="-4"/>
        </w:rPr>
        <w:t>2</w:t>
      </w:r>
      <w:r>
        <w:rPr>
          <w:spacing w:val="-4"/>
        </w:rPr>
        <w:t>。</w:t>
      </w:r>
    </w:p>
    <w:p>
      <w:pPr>
        <w:spacing w:before="195" w:line="219" w:lineRule="auto"/>
        <w:ind w:left="3083"/>
        <w:rPr>
          <w:rFonts w:ascii="SimHei" w:eastAsia="SimHei" w:hAnsi="SimHei" w:cs="SimHei"/>
          <w:sz w:val="21"/>
          <w:szCs w:val="21"/>
        </w:rPr>
      </w:pPr>
      <w:r>
        <w:rPr>
          <w:rFonts w:ascii="SimHei" w:eastAsia="SimHei" w:hAnsi="SimHei" w:cs="SimHei"/>
          <w:spacing w:val="-1"/>
          <w:sz w:val="21"/>
          <w:szCs w:val="21"/>
        </w:rPr>
        <w:t>表</w:t>
      </w:r>
      <w:r>
        <w:rPr>
          <w:rFonts w:ascii="SimHei" w:eastAsia="SimHei" w:hAnsi="SimHei" w:cs="SimHei"/>
          <w:spacing w:val="-46"/>
          <w:sz w:val="21"/>
          <w:szCs w:val="21"/>
        </w:rPr>
        <w:t xml:space="preserve"> </w:t>
      </w:r>
      <w:r>
        <w:rPr>
          <w:rFonts w:ascii="SimHei" w:eastAsia="SimHei" w:hAnsi="SimHei" w:cs="SimHei"/>
          <w:spacing w:val="-1"/>
          <w:sz w:val="21"/>
          <w:szCs w:val="21"/>
        </w:rPr>
        <w:t>2</w:t>
      </w:r>
      <w:r>
        <w:rPr>
          <w:rFonts w:ascii="SimHei" w:eastAsia="SimHei" w:hAnsi="SimHei" w:cs="SimHei"/>
          <w:spacing w:val="-1"/>
          <w:sz w:val="21"/>
          <w:szCs w:val="21"/>
        </w:rPr>
        <w:t xml:space="preserve"> </w:t>
      </w:r>
      <w:r>
        <w:rPr>
          <w:rFonts w:ascii="SimHei" w:eastAsia="SimHei" w:hAnsi="SimHei" w:cs="SimHei"/>
          <w:spacing w:val="-1"/>
          <w:sz w:val="21"/>
          <w:szCs w:val="21"/>
        </w:rPr>
        <w:t>与使用者相关的常见危险因素</w:t>
      </w:r>
    </w:p>
    <w:p>
      <w:pPr>
        <w:spacing w:line="126" w:lineRule="auto"/>
        <w:rPr>
          <w:rFonts w:ascii="Arial"/>
          <w:sz w:val="2"/>
        </w:rPr>
        <w:sectPr>
          <w:footerReference w:type="default" r:id="rId18"/>
          <w:pgSz w:w="11907" w:h="16839"/>
          <w:pgMar w:top="1431" w:right="1128" w:bottom="1400" w:left="1422" w:header="0" w:footer="1225" w:gutter="0"/>
          <w:pgNumType w:start="10"/>
          <w:cols w:space="708"/>
        </w:sectPr>
      </w:pPr>
    </w:p>
    <w:tbl>
      <w:tblPr>
        <w:tblStyle w:val="TableNormal3"/>
        <w:tblW w:w="9073" w:type="dxa"/>
        <w:tblInd w:w="1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21"/>
        <w:gridCol w:w="1540"/>
        <w:gridCol w:w="6012"/>
      </w:tblGrid>
      <w:tr>
        <w:tblPrEx>
          <w:tblW w:w="9073" w:type="dxa"/>
          <w:tblInd w:w="1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9"/>
        </w:trPr>
        <w:tc>
          <w:tcPr>
            <w:tcW w:w="1521" w:type="dxa"/>
            <w:vAlign w:val="top"/>
          </w:tcPr>
          <w:p>
            <w:pPr>
              <w:pStyle w:val="TableText"/>
              <w:spacing w:before="171" w:line="220" w:lineRule="auto"/>
              <w:ind w:left="407"/>
            </w:pPr>
            <w:r>
              <w:rPr>
                <w:spacing w:val="-2"/>
              </w:rPr>
              <w:t>危险种类</w:t>
            </w:r>
          </w:p>
        </w:tc>
        <w:tc>
          <w:tcPr>
            <w:tcW w:w="1540" w:type="dxa"/>
            <w:vAlign w:val="top"/>
          </w:tcPr>
          <w:p>
            <w:pPr>
              <w:pStyle w:val="TableText"/>
              <w:spacing w:before="171" w:line="220" w:lineRule="auto"/>
              <w:ind w:left="607"/>
            </w:pPr>
            <w:r>
              <w:rPr>
                <w:spacing w:val="-6"/>
              </w:rPr>
              <w:t>因素</w:t>
            </w:r>
          </w:p>
        </w:tc>
        <w:tc>
          <w:tcPr>
            <w:tcW w:w="6012" w:type="dxa"/>
            <w:vAlign w:val="top"/>
          </w:tcPr>
          <w:p>
            <w:pPr>
              <w:pStyle w:val="TableText"/>
              <w:spacing w:before="171" w:line="220" w:lineRule="auto"/>
              <w:ind w:left="2828"/>
            </w:pPr>
            <w:r>
              <w:rPr>
                <w:spacing w:val="-3"/>
              </w:rPr>
              <w:t>说明</w:t>
            </w:r>
          </w:p>
        </w:tc>
      </w:tr>
      <w:tr>
        <w:tblPrEx>
          <w:tblW w:w="9073" w:type="dxa"/>
          <w:tblInd w:w="138" w:type="dxa"/>
          <w:tblLayout w:type="fixed"/>
        </w:tblPrEx>
        <w:trPr>
          <w:trHeight w:val="880"/>
        </w:trPr>
        <w:tc>
          <w:tcPr>
            <w:tcW w:w="1521" w:type="dxa"/>
            <w:vAlign w:val="top"/>
          </w:tcPr>
          <w:p>
            <w:pPr>
              <w:spacing w:line="261" w:lineRule="auto"/>
              <w:rPr>
                <w:rFonts w:ascii="Arial"/>
                <w:sz w:val="21"/>
              </w:rPr>
            </w:pPr>
          </w:p>
          <w:p>
            <w:pPr>
              <w:pStyle w:val="TableText"/>
              <w:spacing w:before="58" w:line="220" w:lineRule="auto"/>
              <w:ind w:left="314"/>
            </w:pPr>
            <w:r>
              <w:rPr>
                <w:spacing w:val="-2"/>
              </w:rPr>
              <w:t>使用者能力</w:t>
            </w:r>
          </w:p>
        </w:tc>
        <w:tc>
          <w:tcPr>
            <w:tcW w:w="1540" w:type="dxa"/>
            <w:vAlign w:val="top"/>
          </w:tcPr>
          <w:p>
            <w:pPr>
              <w:pStyle w:val="TableText"/>
              <w:spacing w:before="292" w:line="220" w:lineRule="auto"/>
              <w:ind w:left="235"/>
            </w:pPr>
            <w:r>
              <w:rPr>
                <w:spacing w:val="-2"/>
              </w:rPr>
              <w:t>危险辨识能力</w:t>
            </w:r>
          </w:p>
        </w:tc>
        <w:tc>
          <w:tcPr>
            <w:tcW w:w="6012" w:type="dxa"/>
            <w:vAlign w:val="top"/>
          </w:tcPr>
          <w:p>
            <w:pPr>
              <w:pStyle w:val="TableText"/>
              <w:spacing w:before="28" w:line="273" w:lineRule="auto"/>
              <w:ind w:left="112" w:right="113" w:hanging="1"/>
              <w:jc w:val="both"/>
            </w:pPr>
            <w:r>
              <w:rPr>
                <w:spacing w:val="1"/>
              </w:rPr>
              <w:t>稀土永磁电动机主要安装在工业成品中使用，安</w:t>
            </w:r>
            <w:r>
              <w:t xml:space="preserve">装、使用、维护、修理等 </w:t>
            </w:r>
            <w:r>
              <w:rPr>
                <w:spacing w:val="1"/>
              </w:rPr>
              <w:t>使用者虽具有一定专业知识，但是能力高低</w:t>
            </w:r>
            <w:r>
              <w:t xml:space="preserve">不齐，对危险的辨识能力也有 </w:t>
            </w:r>
            <w:r>
              <w:rPr>
                <w:spacing w:val="-2"/>
              </w:rPr>
              <w:t>强有弱，危险辨识能力弱的使用者容易受到伤害。</w:t>
            </w:r>
          </w:p>
        </w:tc>
      </w:tr>
      <w:tr>
        <w:tblPrEx>
          <w:tblW w:w="9073" w:type="dxa"/>
          <w:tblInd w:w="138" w:type="dxa"/>
          <w:tblLayout w:type="fixed"/>
        </w:tblPrEx>
        <w:trPr>
          <w:trHeight w:val="587"/>
        </w:trPr>
        <w:tc>
          <w:tcPr>
            <w:tcW w:w="1521" w:type="dxa"/>
            <w:vMerge w:val="restart"/>
            <w:tcBorders>
              <w:bottom w:val="nil"/>
            </w:tcBorders>
            <w:vAlign w:val="top"/>
          </w:tcPr>
          <w:p>
            <w:pPr>
              <w:spacing w:line="283" w:lineRule="auto"/>
              <w:rPr>
                <w:rFonts w:ascii="Arial"/>
                <w:sz w:val="21"/>
              </w:rPr>
            </w:pPr>
          </w:p>
          <w:p>
            <w:pPr>
              <w:spacing w:line="284" w:lineRule="auto"/>
              <w:rPr>
                <w:rFonts w:ascii="Arial"/>
                <w:sz w:val="21"/>
              </w:rPr>
            </w:pPr>
          </w:p>
          <w:p>
            <w:pPr>
              <w:spacing w:line="284" w:lineRule="auto"/>
              <w:rPr>
                <w:rFonts w:ascii="Arial"/>
                <w:sz w:val="21"/>
              </w:rPr>
            </w:pPr>
          </w:p>
          <w:p>
            <w:pPr>
              <w:pStyle w:val="TableText"/>
              <w:spacing w:before="58" w:line="220" w:lineRule="auto"/>
              <w:ind w:left="314"/>
            </w:pPr>
            <w:r>
              <w:rPr>
                <w:spacing w:val="-2"/>
              </w:rPr>
              <w:t>使用者行为</w:t>
            </w:r>
          </w:p>
        </w:tc>
        <w:tc>
          <w:tcPr>
            <w:tcW w:w="1540" w:type="dxa"/>
            <w:vAlign w:val="top"/>
          </w:tcPr>
          <w:p>
            <w:pPr>
              <w:pStyle w:val="TableText"/>
              <w:spacing w:before="147" w:line="220" w:lineRule="auto"/>
              <w:ind w:left="413"/>
            </w:pPr>
            <w:r>
              <w:rPr>
                <w:spacing w:val="-2"/>
              </w:rPr>
              <w:t>保护行为</w:t>
            </w:r>
          </w:p>
        </w:tc>
        <w:tc>
          <w:tcPr>
            <w:tcW w:w="6012" w:type="dxa"/>
            <w:vAlign w:val="top"/>
          </w:tcPr>
          <w:p>
            <w:pPr>
              <w:pStyle w:val="TableText"/>
              <w:spacing w:before="29" w:line="260" w:lineRule="auto"/>
              <w:ind w:left="112" w:right="112" w:hanging="1"/>
            </w:pPr>
            <w:r>
              <w:rPr>
                <w:spacing w:val="1"/>
              </w:rPr>
              <w:t>某些情况下，稀土永磁电动机危险不容易发现。</w:t>
            </w:r>
            <w:r>
              <w:t xml:space="preserve">例如：忽视或误解警告标 </w:t>
            </w:r>
            <w:r>
              <w:rPr>
                <w:spacing w:val="-3"/>
              </w:rPr>
              <w:t>识，此时使用者不会采取保护措施。</w:t>
            </w:r>
          </w:p>
        </w:tc>
      </w:tr>
      <w:tr>
        <w:tblPrEx>
          <w:tblW w:w="9073" w:type="dxa"/>
          <w:tblInd w:w="138" w:type="dxa"/>
          <w:tblLayout w:type="fixed"/>
        </w:tblPrEx>
        <w:trPr>
          <w:trHeight w:val="589"/>
        </w:trPr>
        <w:tc>
          <w:tcPr>
            <w:tcW w:w="1521" w:type="dxa"/>
            <w:vMerge/>
            <w:tcBorders>
              <w:top w:val="nil"/>
              <w:bottom w:val="nil"/>
            </w:tcBorders>
            <w:vAlign w:val="top"/>
          </w:tcPr>
          <w:p>
            <w:pPr>
              <w:rPr>
                <w:rFonts w:ascii="Arial"/>
                <w:sz w:val="21"/>
              </w:rPr>
            </w:pPr>
          </w:p>
        </w:tc>
        <w:tc>
          <w:tcPr>
            <w:tcW w:w="1540" w:type="dxa"/>
            <w:vAlign w:val="top"/>
          </w:tcPr>
          <w:p>
            <w:pPr>
              <w:pStyle w:val="TableText"/>
              <w:spacing w:before="148" w:line="221" w:lineRule="auto"/>
              <w:ind w:left="593"/>
            </w:pPr>
            <w:r>
              <w:rPr>
                <w:spacing w:val="-2"/>
              </w:rPr>
              <w:t>滥用</w:t>
            </w:r>
          </w:p>
        </w:tc>
        <w:tc>
          <w:tcPr>
            <w:tcW w:w="6012" w:type="dxa"/>
            <w:vAlign w:val="top"/>
          </w:tcPr>
          <w:p>
            <w:pPr>
              <w:pStyle w:val="TableText"/>
              <w:spacing w:before="33" w:line="258" w:lineRule="auto"/>
              <w:ind w:left="113" w:right="114" w:firstLine="11"/>
            </w:pPr>
            <w:r>
              <w:t>即使说明书和警告标识非常清晰易懂，但警告不一定完全有效，使用者也</w:t>
            </w:r>
            <w:r>
              <w:rPr>
                <w:spacing w:val="6"/>
              </w:rPr>
              <w:t xml:space="preserve"> </w:t>
            </w:r>
            <w:r>
              <w:rPr>
                <w:spacing w:val="-2"/>
              </w:rPr>
              <w:t>可能忽视，存在稀土永磁电动机用于预期以外的其他用途。</w:t>
            </w:r>
          </w:p>
        </w:tc>
      </w:tr>
      <w:tr>
        <w:tblPrEx>
          <w:tblW w:w="9073" w:type="dxa"/>
          <w:tblInd w:w="138" w:type="dxa"/>
          <w:tblLayout w:type="fixed"/>
        </w:tblPrEx>
        <w:trPr>
          <w:trHeight w:val="884"/>
        </w:trPr>
        <w:tc>
          <w:tcPr>
            <w:tcW w:w="1521" w:type="dxa"/>
            <w:vMerge/>
            <w:tcBorders>
              <w:top w:val="nil"/>
            </w:tcBorders>
            <w:vAlign w:val="top"/>
          </w:tcPr>
          <w:p>
            <w:pPr>
              <w:rPr>
                <w:rFonts w:ascii="Arial"/>
                <w:sz w:val="21"/>
              </w:rPr>
            </w:pPr>
          </w:p>
        </w:tc>
        <w:tc>
          <w:tcPr>
            <w:tcW w:w="1540" w:type="dxa"/>
            <w:vAlign w:val="top"/>
          </w:tcPr>
          <w:p>
            <w:pPr>
              <w:pStyle w:val="TableText"/>
              <w:spacing w:before="118" w:line="350" w:lineRule="exact"/>
              <w:ind w:left="413"/>
            </w:pPr>
            <w:r>
              <w:rPr>
                <w:spacing w:val="-2"/>
                <w:position w:val="13"/>
              </w:rPr>
              <w:t>使用频率</w:t>
            </w:r>
          </w:p>
          <w:p>
            <w:pPr>
              <w:pStyle w:val="TableText"/>
              <w:spacing w:line="221" w:lineRule="auto"/>
              <w:ind w:left="502"/>
            </w:pPr>
            <w:r>
              <w:rPr>
                <w:spacing w:val="-2"/>
              </w:rPr>
              <w:t>和时间</w:t>
            </w:r>
          </w:p>
        </w:tc>
        <w:tc>
          <w:tcPr>
            <w:tcW w:w="6012" w:type="dxa"/>
            <w:vAlign w:val="top"/>
          </w:tcPr>
          <w:p>
            <w:pPr>
              <w:pStyle w:val="TableText"/>
              <w:spacing w:before="32" w:line="272" w:lineRule="auto"/>
              <w:ind w:left="111" w:right="109" w:firstLine="3"/>
              <w:jc w:val="both"/>
            </w:pPr>
            <w:r>
              <w:rPr>
                <w:spacing w:val="1"/>
              </w:rPr>
              <w:t>不同使用者使用稀土永磁电动机的频率和时</w:t>
            </w:r>
            <w:r>
              <w:t xml:space="preserve">间各不相同。经常使用能让使 </w:t>
            </w:r>
            <w:r>
              <w:rPr>
                <w:spacing w:val="-5"/>
              </w:rPr>
              <w:t>用者熟悉稀土永磁电动机及其特点， 包括危险、说明和警告标识， 从而降</w:t>
            </w:r>
            <w:r>
              <w:rPr>
                <w:spacing w:val="12"/>
              </w:rPr>
              <w:t xml:space="preserve"> </w:t>
            </w:r>
            <w:r>
              <w:rPr>
                <w:spacing w:val="-2"/>
              </w:rPr>
              <w:t>低风险。但另一方面， 经常使用可能导致使用者对稀土永磁电动机的危险</w:t>
            </w:r>
          </w:p>
        </w:tc>
      </w:tr>
    </w:tbl>
    <w:p>
      <w:pPr>
        <w:spacing w:line="195" w:lineRule="exact"/>
        <w:rPr>
          <w:rFonts w:ascii="Arial"/>
          <w:sz w:val="17"/>
        </w:rPr>
      </w:pPr>
    </w:p>
    <w:p>
      <w:pPr>
        <w:spacing w:line="195" w:lineRule="exact"/>
        <w:rPr>
          <w:rFonts w:ascii="Arial" w:eastAsia="Arial" w:hAnsi="Arial" w:cs="Arial"/>
          <w:sz w:val="17"/>
          <w:szCs w:val="17"/>
        </w:rPr>
        <w:sectPr>
          <w:footerReference w:type="default" r:id="rId19"/>
          <w:type w:val="nextPage"/>
          <w:pgSz w:w="11907" w:h="16839"/>
          <w:pgMar w:top="1431" w:right="1128" w:bottom="1400" w:left="1422" w:header="0" w:footer="1225" w:gutter="0"/>
          <w:pgNumType w:start="11"/>
          <w:cols w:space="708"/>
          <w:titlePg w:val="0"/>
        </w:sectPr>
      </w:pPr>
    </w:p>
    <w:p>
      <w:pPr>
        <w:spacing w:before="144"/>
      </w:pPr>
    </w:p>
    <w:tbl>
      <w:tblPr>
        <w:tblStyle w:val="TableNormal4"/>
        <w:tblW w:w="9073" w:type="dxa"/>
        <w:tblInd w:w="1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21"/>
        <w:gridCol w:w="1540"/>
        <w:gridCol w:w="6012"/>
      </w:tblGrid>
      <w:tr>
        <w:tblPrEx>
          <w:tblW w:w="9073" w:type="dxa"/>
          <w:tblInd w:w="1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01"/>
        </w:trPr>
        <w:tc>
          <w:tcPr>
            <w:tcW w:w="1521" w:type="dxa"/>
            <w:vAlign w:val="top"/>
          </w:tcPr>
          <w:p>
            <w:pPr>
              <w:rPr>
                <w:rFonts w:ascii="Arial"/>
                <w:sz w:val="21"/>
              </w:rPr>
            </w:pPr>
          </w:p>
        </w:tc>
        <w:tc>
          <w:tcPr>
            <w:tcW w:w="1540" w:type="dxa"/>
            <w:vAlign w:val="top"/>
          </w:tcPr>
          <w:p>
            <w:pPr>
              <w:rPr>
                <w:rFonts w:ascii="Arial"/>
                <w:sz w:val="21"/>
              </w:rPr>
            </w:pPr>
          </w:p>
        </w:tc>
        <w:tc>
          <w:tcPr>
            <w:tcW w:w="6012" w:type="dxa"/>
            <w:vAlign w:val="top"/>
          </w:tcPr>
          <w:p>
            <w:pPr>
              <w:pStyle w:val="TableText"/>
              <w:spacing w:before="32" w:line="218" w:lineRule="auto"/>
              <w:ind w:left="112"/>
            </w:pPr>
            <w:r>
              <w:rPr>
                <w:spacing w:val="-2"/>
              </w:rPr>
              <w:t>麻痹，甚至忽视说明或警告，从而增加了风险。</w:t>
            </w:r>
          </w:p>
        </w:tc>
      </w:tr>
    </w:tbl>
    <w:p>
      <w:pPr>
        <w:spacing w:before="207" w:line="220" w:lineRule="auto"/>
        <w:rPr>
          <w:rFonts w:ascii="SimHei" w:eastAsia="SimHei" w:hAnsi="SimHei" w:cs="SimHei"/>
          <w:sz w:val="21"/>
          <w:szCs w:val="21"/>
        </w:rPr>
      </w:pPr>
      <w:hyperlink r:id="rId20" w:history="1">
        <w:r>
          <w:rPr>
            <w:rFonts w:ascii="SimHei" w:eastAsia="SimHei" w:hAnsi="SimHei" w:cs="SimHei"/>
            <w:sz w:val="21"/>
            <w:szCs w:val="21"/>
          </w:rPr>
          <w:t>5.3.4.3</w:t>
        </w:r>
      </w:hyperlink>
      <w:r>
        <w:rPr>
          <w:rFonts w:ascii="SimHei" w:eastAsia="SimHei" w:hAnsi="SimHei" w:cs="SimHei"/>
          <w:sz w:val="21"/>
          <w:szCs w:val="21"/>
        </w:rPr>
        <w:t xml:space="preserve"> </w:t>
      </w:r>
      <w:r>
        <w:rPr>
          <w:rFonts w:ascii="SimHei" w:eastAsia="SimHei" w:hAnsi="SimHei" w:cs="SimHei"/>
          <w:sz w:val="21"/>
          <w:szCs w:val="21"/>
        </w:rPr>
        <w:t>环境因素</w:t>
      </w:r>
    </w:p>
    <w:p>
      <w:pPr>
        <w:pStyle w:val="BodyText"/>
        <w:spacing w:before="198" w:line="260" w:lineRule="auto"/>
        <w:ind w:left="8" w:right="72" w:firstLine="446"/>
      </w:pPr>
      <w:r>
        <w:rPr>
          <w:spacing w:val="-3"/>
        </w:rPr>
        <w:t>由于环境不直接作用于对人的伤害，其影响最终体现在产品对人的伤害上。可以用危险环境条</w:t>
      </w:r>
      <w:r>
        <w:rPr>
          <w:spacing w:val="-4"/>
        </w:rPr>
        <w:t>件满</w:t>
      </w:r>
      <w:r>
        <w:t xml:space="preserve"> </w:t>
      </w:r>
      <w:r>
        <w:t>足的频率来修正风险等级。稀土永磁电动机可能使用的自然环境</w:t>
      </w:r>
      <w:r>
        <w:rPr>
          <w:spacing w:val="-1"/>
        </w:rPr>
        <w:t>有湿热环境。</w:t>
      </w:r>
    </w:p>
    <w:p>
      <w:pPr>
        <w:spacing w:before="265" w:line="220" w:lineRule="auto"/>
        <w:rPr>
          <w:rFonts w:ascii="SimHei" w:eastAsia="SimHei" w:hAnsi="SimHei" w:cs="SimHei"/>
          <w:sz w:val="21"/>
          <w:szCs w:val="21"/>
        </w:rPr>
      </w:pPr>
      <w:r>
        <w:rPr>
          <w:rFonts w:ascii="SimHei" w:eastAsia="SimHei" w:hAnsi="SimHei" w:cs="SimHei"/>
          <w:spacing w:val="-2"/>
          <w:sz w:val="21"/>
          <w:szCs w:val="21"/>
        </w:rPr>
        <w:t>5.4</w:t>
      </w:r>
      <w:r>
        <w:rPr>
          <w:rFonts w:ascii="SimHei" w:eastAsia="SimHei" w:hAnsi="SimHei" w:cs="SimHei"/>
          <w:spacing w:val="-40"/>
          <w:sz w:val="21"/>
          <w:szCs w:val="21"/>
        </w:rPr>
        <w:t xml:space="preserve"> </w:t>
      </w:r>
      <w:r>
        <w:rPr>
          <w:rFonts w:ascii="SimHei" w:eastAsia="SimHei" w:hAnsi="SimHei" w:cs="SimHei"/>
          <w:spacing w:val="-2"/>
          <w:sz w:val="21"/>
          <w:szCs w:val="21"/>
        </w:rPr>
        <w:t>风险分析</w:t>
      </w:r>
    </w:p>
    <w:p>
      <w:pPr>
        <w:spacing w:before="217" w:line="220" w:lineRule="auto"/>
        <w:rPr>
          <w:rFonts w:ascii="SimHei" w:eastAsia="SimHei" w:hAnsi="SimHei" w:cs="SimHei"/>
          <w:sz w:val="21"/>
          <w:szCs w:val="21"/>
        </w:rPr>
      </w:pPr>
      <w:r>
        <w:rPr>
          <w:rFonts w:ascii="SimHei" w:eastAsia="SimHei" w:hAnsi="SimHei" w:cs="SimHei"/>
          <w:spacing w:val="-1"/>
          <w:sz w:val="21"/>
          <w:szCs w:val="21"/>
        </w:rPr>
        <w:t>5.4.1</w:t>
      </w:r>
      <w:r>
        <w:rPr>
          <w:rFonts w:ascii="SimHei" w:eastAsia="SimHei" w:hAnsi="SimHei" w:cs="SimHei"/>
          <w:spacing w:val="-42"/>
          <w:sz w:val="21"/>
          <w:szCs w:val="21"/>
        </w:rPr>
        <w:t xml:space="preserve"> </w:t>
      </w:r>
      <w:r>
        <w:rPr>
          <w:rFonts w:ascii="SimHei" w:eastAsia="SimHei" w:hAnsi="SimHei" w:cs="SimHei"/>
          <w:spacing w:val="-1"/>
          <w:sz w:val="21"/>
          <w:szCs w:val="21"/>
        </w:rPr>
        <w:t>总则</w:t>
      </w:r>
    </w:p>
    <w:p>
      <w:pPr>
        <w:pStyle w:val="BodyText"/>
        <w:spacing w:before="198" w:line="280" w:lineRule="auto"/>
        <w:ind w:left="5" w:right="72" w:firstLine="423"/>
        <w:jc w:val="both"/>
      </w:pPr>
      <w:r>
        <w:rPr>
          <w:spacing w:val="-2"/>
        </w:rPr>
        <w:t>基于识别出的危险和相关风险影响因素，分析伤害后</w:t>
      </w:r>
      <w:r>
        <w:rPr>
          <w:spacing w:val="-3"/>
        </w:rPr>
        <w:t>果的严重性和伤害发生的可能性，为风险评估</w:t>
      </w:r>
      <w:r>
        <w:t xml:space="preserve"> </w:t>
      </w:r>
      <w:r>
        <w:rPr>
          <w:spacing w:val="-2"/>
        </w:rPr>
        <w:t>提供所需的信息。对于多种可能伤害情景，有时最严重的伤害，其发生</w:t>
      </w:r>
      <w:r>
        <w:rPr>
          <w:spacing w:val="-3"/>
        </w:rPr>
        <w:t>的概率可能最低，而最可能发生</w:t>
      </w:r>
      <w:r>
        <w:t xml:space="preserve"> </w:t>
      </w:r>
      <w:r>
        <w:rPr>
          <w:spacing w:val="-4"/>
        </w:rPr>
        <w:t>的伤害，其严重程度可能是轻微的。因此，每一</w:t>
      </w:r>
      <w:r>
        <w:rPr>
          <w:spacing w:val="-5"/>
        </w:rPr>
        <w:t>伤害情景都需要分别估算其风险， 从中选取最高风险等</w:t>
      </w:r>
      <w:r>
        <w:t xml:space="preserve"> </w:t>
      </w:r>
      <w:r>
        <w:rPr>
          <w:spacing w:val="-10"/>
        </w:rPr>
        <w:t>级。</w:t>
      </w:r>
    </w:p>
    <w:p>
      <w:pPr>
        <w:pStyle w:val="BodyText"/>
        <w:spacing w:before="83" w:line="219" w:lineRule="auto"/>
        <w:ind w:left="370"/>
        <w:rPr>
          <w:sz w:val="18"/>
          <w:szCs w:val="18"/>
        </w:rPr>
      </w:pPr>
      <w:r>
        <w:pict>
          <v:shape id="_x0000_s1033" style="width:150.15pt;height:149.7pt;margin-top:-0.16pt;margin-left:226.09pt;position:absolute;z-index:-251650048" coordorigin="0,0" coordsize="3002,2993" path="m1960,2993c1937,2969,1914,2946,1890,2923c1921,2892,1952,2861,1983,2830c2018,2795,2042,2749,2041,2726c2041,2703,2030,2668,1995,2633c1442,2080,889,1527,336,974c301,939,266,928,243,928c220,927,173,951,139,986c116,1009,92,1032,69,1055c46,1032,23,1009,,986c224,761,448,537,672,313c858,127,1032,21,1194,c1357,1,1519,69,1670,220c1774,324,1843,441,1867,556c1892,672,1854,823,1763,1032c1996,917,2193,857,2355,904c2516,952,2656,1020,2784,1148c2935,1299,3002,1484,2993,1682c2983,1879,2876,2076,2691,2262c2447,2505,2204,2749,1960,2993m2586,2227c2714,2099,2774,1949,2772,1786c2759,1635,2691,1496,2540,1345c2366,1171,2204,1080,2041,1078c1879,1077,1728,1160,1577,1310c1488,1399,1400,1488,1310,1577c1600,1867,1891,2157,2180,2447c2215,2482,2250,2493,2285,2482c2308,2482,2343,2471,2378,2436c2447,2366,2517,2297,2586,2227m1473,417c1334,278,1195,210,1055,232c916,253,800,324,672,452c626,498,580,545,533,591c498,626,487,661,487,684c475,719,487,754,522,788c761,1028,1001,1268,1241,1508c1341,1407,1442,1307,1542,1206c1624,1125,1672,1009,1682,858c1692,707,1624,568,1473,417e" filled="t" fillcolor="#fc0" stroked="f">
            <v:fill opacity="32897f"/>
          </v:shape>
        </w:pict>
      </w:r>
      <w:r>
        <w:rPr>
          <w:rFonts w:ascii="SimHei" w:eastAsia="SimHei" w:hAnsi="SimHei" w:cs="SimHei"/>
          <w:spacing w:val="-4"/>
          <w:sz w:val="18"/>
          <w:szCs w:val="18"/>
        </w:rPr>
        <w:t>注：</w:t>
      </w:r>
      <w:r>
        <w:rPr>
          <w:rFonts w:ascii="SimHei" w:eastAsia="SimHei" w:hAnsi="SimHei" w:cs="SimHei"/>
          <w:spacing w:val="-4"/>
          <w:sz w:val="18"/>
          <w:szCs w:val="18"/>
        </w:rPr>
        <w:t xml:space="preserve"> </w:t>
      </w:r>
      <w:r>
        <w:rPr>
          <w:spacing w:val="-4"/>
          <w:sz w:val="18"/>
          <w:szCs w:val="18"/>
        </w:rPr>
        <w:t>当第二事故是由第一事故引起的时，则两个事故被视为单一情景。</w:t>
      </w:r>
    </w:p>
    <w:p>
      <w:pPr>
        <w:spacing w:before="259" w:line="221" w:lineRule="auto"/>
        <w:rPr>
          <w:rFonts w:ascii="SimHei" w:eastAsia="SimHei" w:hAnsi="SimHei" w:cs="SimHei"/>
          <w:sz w:val="21"/>
          <w:szCs w:val="21"/>
        </w:rPr>
      </w:pPr>
      <w:r>
        <w:rPr>
          <w:rFonts w:ascii="SimHei" w:eastAsia="SimHei" w:hAnsi="SimHei" w:cs="SimHei"/>
          <w:spacing w:val="-1"/>
          <w:sz w:val="21"/>
          <w:szCs w:val="21"/>
        </w:rPr>
        <w:t>5.4.2</w:t>
      </w:r>
      <w:r>
        <w:rPr>
          <w:rFonts w:ascii="SimHei" w:eastAsia="SimHei" w:hAnsi="SimHei" w:cs="SimHei"/>
          <w:spacing w:val="-42"/>
          <w:sz w:val="21"/>
          <w:szCs w:val="21"/>
        </w:rPr>
        <w:t xml:space="preserve"> </w:t>
      </w:r>
      <w:r>
        <w:rPr>
          <w:rFonts w:ascii="SimHei" w:eastAsia="SimHei" w:hAnsi="SimHei" w:cs="SimHei"/>
          <w:spacing w:val="-1"/>
          <w:sz w:val="21"/>
          <w:szCs w:val="21"/>
        </w:rPr>
        <w:t>伤害后果严重性</w:t>
      </w:r>
    </w:p>
    <w:p>
      <w:pPr>
        <w:pStyle w:val="BodyText"/>
        <w:spacing w:before="198" w:line="219" w:lineRule="auto"/>
        <w:ind w:left="429"/>
      </w:pPr>
      <w:r>
        <w:t>伤害后果的严重性评估应考虑稀土永磁电动机自身的危险因素和使用者相关的危险因素。</w:t>
      </w:r>
    </w:p>
    <w:p>
      <w:pPr>
        <w:pStyle w:val="BodyText"/>
        <w:spacing w:before="89" w:line="221" w:lineRule="auto"/>
        <w:jc w:val="right"/>
      </w:pPr>
      <w:r>
        <w:rPr>
          <w:spacing w:val="-7"/>
        </w:rPr>
        <w:t>伤害后果的严重性等级分为四个级别：非常严重、严重、</w:t>
      </w:r>
      <w:r>
        <w:rPr>
          <w:spacing w:val="46"/>
        </w:rPr>
        <w:t xml:space="preserve"> </w:t>
      </w:r>
      <w:r>
        <w:rPr>
          <w:spacing w:val="-7"/>
        </w:rPr>
        <w:t>一般、微弱， 各等级的说明如表</w:t>
      </w:r>
      <w:r>
        <w:rPr>
          <w:spacing w:val="-40"/>
        </w:rPr>
        <w:t xml:space="preserve"> </w:t>
      </w:r>
      <w:r>
        <w:rPr>
          <w:spacing w:val="-7"/>
        </w:rPr>
        <w:t>3</w:t>
      </w:r>
      <w:r>
        <w:rPr>
          <w:spacing w:val="-46"/>
        </w:rPr>
        <w:t xml:space="preserve"> </w:t>
      </w:r>
      <w:r>
        <w:rPr>
          <w:spacing w:val="-7"/>
        </w:rPr>
        <w:t>所示。</w:t>
      </w:r>
    </w:p>
    <w:p>
      <w:pPr>
        <w:spacing w:before="198" w:line="219" w:lineRule="auto"/>
        <w:ind w:left="3188"/>
        <w:rPr>
          <w:rFonts w:ascii="SimHei" w:eastAsia="SimHei" w:hAnsi="SimHei" w:cs="SimHei"/>
          <w:sz w:val="21"/>
          <w:szCs w:val="21"/>
        </w:rPr>
      </w:pPr>
      <w:r>
        <w:pict>
          <v:shape id="_x0000_s1034" style="width:138.1pt;height:141pt;margin-top:4.29pt;margin-left:180.85pt;position:absolute;z-index:-251649024" coordorigin="0,0" coordsize="2762,2820" path="m1531,1160c1357,1333,1183,1507,1009,1681c1122,1863,1232,2045,1345,2227c1369,2273,1403,2308,1427,2331c1461,2366,1496,2377,1543,2401c1589,2424,1624,2412,1682,2354c1693,2343,1705,2331,1717,2320c1740,2343,1763,2366,1786,2389c1643,2532,1500,2675,1357,2819c1334,2795,1311,2772,1287,2749c1299,2737,1311,2726,1322,2714c1357,2679,1369,2644,1369,2598c1380,2563,1357,2517,1322,2459c878,1719,444,972,,231c38,154,77,77,116,c871,467,1634,924,2389,1391c2447,1427,2505,1438,2540,1426c2587,1427,2621,1415,2656,1380c2668,1368,2679,1357,2691,1345c2714,1368,2737,1391,2761,1415c2594,1581,2428,1747,2262,1913c2239,1890,2215,1867,2192,1844c2208,1829,2223,1813,2239,1797c2285,1751,2297,1716,2285,1681c2285,1658,2262,1635,2250,1623c2215,1589,2192,1566,2157,1554c1949,1422,1739,1292,1531,1160m255,370c251,375,247,379,243,382c485,783,721,1188,963,1589c1125,1426,1287,1264,1450,1101c1053,856,652,616,255,370e" filled="t" fillcolor="#fc0" stroked="f">
            <v:fill opacity="32897f"/>
          </v:shape>
        </w:pict>
      </w:r>
      <w:r>
        <w:rPr>
          <w:rFonts w:ascii="SimHei" w:eastAsia="SimHei" w:hAnsi="SimHei" w:cs="SimHei"/>
          <w:spacing w:val="-2"/>
          <w:sz w:val="21"/>
          <w:szCs w:val="21"/>
        </w:rPr>
        <w:t>表</w:t>
      </w:r>
      <w:r>
        <w:rPr>
          <w:rFonts w:ascii="SimHei" w:eastAsia="SimHei" w:hAnsi="SimHei" w:cs="SimHei"/>
          <w:spacing w:val="-33"/>
          <w:sz w:val="21"/>
          <w:szCs w:val="21"/>
        </w:rPr>
        <w:t xml:space="preserve"> </w:t>
      </w:r>
      <w:r>
        <w:rPr>
          <w:rFonts w:ascii="SimHei" w:eastAsia="SimHei" w:hAnsi="SimHei" w:cs="SimHei"/>
          <w:spacing w:val="-2"/>
          <w:sz w:val="21"/>
          <w:szCs w:val="21"/>
        </w:rPr>
        <w:t>3</w:t>
      </w:r>
      <w:r>
        <w:rPr>
          <w:rFonts w:ascii="SimHei" w:eastAsia="SimHei" w:hAnsi="SimHei" w:cs="SimHei"/>
          <w:spacing w:val="-2"/>
          <w:sz w:val="21"/>
          <w:szCs w:val="21"/>
        </w:rPr>
        <w:t xml:space="preserve"> </w:t>
      </w:r>
      <w:r>
        <w:rPr>
          <w:rFonts w:ascii="SimHei" w:eastAsia="SimHei" w:hAnsi="SimHei" w:cs="SimHei"/>
          <w:spacing w:val="-2"/>
          <w:sz w:val="21"/>
          <w:szCs w:val="21"/>
        </w:rPr>
        <w:t>伤害后果的严重性等级划分</w:t>
      </w:r>
    </w:p>
    <w:p>
      <w:pPr>
        <w:spacing w:line="119" w:lineRule="auto"/>
        <w:rPr>
          <w:rFonts w:ascii="Arial"/>
          <w:sz w:val="2"/>
        </w:rPr>
      </w:pPr>
    </w:p>
    <w:tbl>
      <w:tblPr>
        <w:tblStyle w:val="TableNormal4"/>
        <w:tblW w:w="8362" w:type="dxa"/>
        <w:tblInd w:w="4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12"/>
        <w:gridCol w:w="1135"/>
        <w:gridCol w:w="5815"/>
      </w:tblGrid>
      <w:tr>
        <w:tblPrEx>
          <w:tblW w:w="8362" w:type="dxa"/>
          <w:tblInd w:w="4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9"/>
        </w:trPr>
        <w:tc>
          <w:tcPr>
            <w:tcW w:w="1412" w:type="dxa"/>
            <w:vAlign w:val="top"/>
          </w:tcPr>
          <w:p>
            <w:pPr>
              <w:pStyle w:val="TableText"/>
              <w:spacing w:before="171" w:line="220" w:lineRule="auto"/>
              <w:ind w:left="528"/>
            </w:pPr>
            <w:r>
              <w:rPr>
                <w:spacing w:val="-3"/>
              </w:rPr>
              <w:t>等级</w:t>
            </w:r>
          </w:p>
        </w:tc>
        <w:tc>
          <w:tcPr>
            <w:tcW w:w="1135" w:type="dxa"/>
            <w:vAlign w:val="top"/>
          </w:tcPr>
          <w:p>
            <w:pPr>
              <w:pStyle w:val="TableText"/>
              <w:spacing w:before="171" w:line="220" w:lineRule="auto"/>
              <w:ind w:left="211"/>
            </w:pPr>
            <w:r>
              <w:rPr>
                <w:spacing w:val="-2"/>
              </w:rPr>
              <w:t>等级代号</w:t>
            </w:r>
          </w:p>
        </w:tc>
        <w:tc>
          <w:tcPr>
            <w:tcW w:w="5815" w:type="dxa"/>
            <w:vAlign w:val="top"/>
          </w:tcPr>
          <w:p>
            <w:pPr>
              <w:pStyle w:val="TableText"/>
              <w:spacing w:before="171" w:line="220" w:lineRule="auto"/>
              <w:ind w:left="2548"/>
            </w:pPr>
            <w:r>
              <w:rPr>
                <w:spacing w:val="-2"/>
              </w:rPr>
              <w:t>特征说明</w:t>
            </w:r>
          </w:p>
        </w:tc>
      </w:tr>
      <w:tr>
        <w:tblPrEx>
          <w:tblW w:w="8362" w:type="dxa"/>
          <w:tblInd w:w="493" w:type="dxa"/>
          <w:tblLayout w:type="fixed"/>
        </w:tblPrEx>
        <w:trPr>
          <w:trHeight w:val="404"/>
        </w:trPr>
        <w:tc>
          <w:tcPr>
            <w:tcW w:w="1412" w:type="dxa"/>
            <w:vAlign w:val="top"/>
          </w:tcPr>
          <w:p>
            <w:pPr>
              <w:pStyle w:val="TableText"/>
              <w:spacing w:before="168" w:line="220" w:lineRule="auto"/>
              <w:ind w:left="350"/>
            </w:pPr>
            <w:r>
              <w:rPr>
                <w:spacing w:val="-2"/>
              </w:rPr>
              <w:t>非常严重</w:t>
            </w:r>
          </w:p>
        </w:tc>
        <w:tc>
          <w:tcPr>
            <w:tcW w:w="1135" w:type="dxa"/>
            <w:vAlign w:val="top"/>
          </w:tcPr>
          <w:p>
            <w:pPr>
              <w:pStyle w:val="TableText"/>
              <w:spacing w:before="198" w:line="181" w:lineRule="auto"/>
              <w:ind w:left="524"/>
            </w:pPr>
            <w:r>
              <w:pict>
                <v:shape id="_x0000_s1035" style="width:124.2pt;height:139.55pt;margin-top:12.62pt;margin-left:5.46pt;position:absolute;z-index:-251648000" coordorigin="0,0" coordsize="2483,2791" path="m2272,2505c2052,2726,1808,2810,1518,2772c1228,2735,903,2552,555,2204c265,1914,94,1600,33,1264c-39,940,56,661,288,429c346,371,404,336,474,290c555,255,613,220,648,185c683,150,706,127,718,92c717,69,729,34,718,c922,136,1128,269,1332,406c1317,437,1301,467,1286,498c1089,393,926,349,764,347c602,346,474,406,346,533c184,696,147,917,242,1171c325,1437,497,1705,764,1972c1054,2262,1310,2445,1553,2529c1796,2612,2005,2563,2179,2389c2307,2262,2367,2111,2365,1925c2363,1763,2308,1588,2191,1403c2226,1392,2260,1380,2295,1368c2424,1565,2479,1763,2481,1972c2483,2181,2411,2366,2272,2505e" filled="t" fillcolor="#fc0" stroked="f">
                  <v:fill opacity="32897f"/>
                </v:shape>
              </w:pict>
            </w:r>
            <w:r>
              <w:t>4</w:t>
            </w:r>
          </w:p>
        </w:tc>
        <w:tc>
          <w:tcPr>
            <w:tcW w:w="5815" w:type="dxa"/>
            <w:vAlign w:val="top"/>
          </w:tcPr>
          <w:p>
            <w:pPr>
              <w:pStyle w:val="TableText"/>
              <w:spacing w:before="167" w:line="220" w:lineRule="auto"/>
              <w:ind w:left="110"/>
            </w:pPr>
            <w:r>
              <w:rPr>
                <w:spacing w:val="-1"/>
              </w:rPr>
              <w:t>死亡，以及《人体损伤程度鉴定标准》中的重伤</w:t>
            </w:r>
          </w:p>
        </w:tc>
      </w:tr>
      <w:tr>
        <w:tblPrEx>
          <w:tblW w:w="8362" w:type="dxa"/>
          <w:tblInd w:w="493" w:type="dxa"/>
          <w:tblLayout w:type="fixed"/>
        </w:tblPrEx>
        <w:trPr>
          <w:trHeight w:val="404"/>
        </w:trPr>
        <w:tc>
          <w:tcPr>
            <w:tcW w:w="1412" w:type="dxa"/>
            <w:vAlign w:val="top"/>
          </w:tcPr>
          <w:p>
            <w:pPr>
              <w:pStyle w:val="TableText"/>
              <w:spacing w:before="169" w:line="220" w:lineRule="auto"/>
              <w:ind w:left="528"/>
            </w:pPr>
            <w:r>
              <w:rPr>
                <w:spacing w:val="-2"/>
              </w:rPr>
              <w:t>严重</w:t>
            </w:r>
          </w:p>
        </w:tc>
        <w:tc>
          <w:tcPr>
            <w:tcW w:w="1135" w:type="dxa"/>
            <w:vAlign w:val="top"/>
          </w:tcPr>
          <w:p>
            <w:pPr>
              <w:pStyle w:val="TableText"/>
              <w:spacing w:before="199" w:line="181" w:lineRule="auto"/>
              <w:ind w:left="528"/>
            </w:pPr>
            <w:r>
              <w:t>3</w:t>
            </w:r>
          </w:p>
        </w:tc>
        <w:tc>
          <w:tcPr>
            <w:tcW w:w="5815" w:type="dxa"/>
            <w:vAlign w:val="top"/>
          </w:tcPr>
          <w:p>
            <w:pPr>
              <w:pStyle w:val="TableText"/>
              <w:spacing w:before="168" w:line="220" w:lineRule="auto"/>
              <w:ind w:left="110"/>
            </w:pPr>
            <w:r>
              <w:rPr>
                <w:spacing w:val="-1"/>
              </w:rPr>
              <w:t>《人体损伤程度鉴定标准》中的轻伤</w:t>
            </w:r>
          </w:p>
        </w:tc>
      </w:tr>
      <w:tr>
        <w:tblPrEx>
          <w:tblW w:w="8362" w:type="dxa"/>
          <w:tblInd w:w="493" w:type="dxa"/>
          <w:tblLayout w:type="fixed"/>
        </w:tblPrEx>
        <w:trPr>
          <w:trHeight w:val="403"/>
        </w:trPr>
        <w:tc>
          <w:tcPr>
            <w:tcW w:w="1412" w:type="dxa"/>
            <w:vAlign w:val="top"/>
          </w:tcPr>
          <w:p>
            <w:pPr>
              <w:pStyle w:val="TableText"/>
              <w:spacing w:before="168" w:line="221" w:lineRule="auto"/>
              <w:ind w:left="530"/>
            </w:pPr>
            <w:r>
              <w:rPr>
                <w:spacing w:val="-5"/>
              </w:rPr>
              <w:t>一般</w:t>
            </w:r>
          </w:p>
        </w:tc>
        <w:tc>
          <w:tcPr>
            <w:tcW w:w="1135" w:type="dxa"/>
            <w:vAlign w:val="top"/>
          </w:tcPr>
          <w:p>
            <w:pPr>
              <w:pStyle w:val="TableText"/>
              <w:spacing w:before="199" w:line="181" w:lineRule="auto"/>
              <w:ind w:left="527"/>
            </w:pPr>
            <w:r>
              <w:t>2</w:t>
            </w:r>
          </w:p>
        </w:tc>
        <w:tc>
          <w:tcPr>
            <w:tcW w:w="5815" w:type="dxa"/>
            <w:vAlign w:val="top"/>
          </w:tcPr>
          <w:p>
            <w:pPr>
              <w:pStyle w:val="TableText"/>
              <w:spacing w:before="168" w:line="220" w:lineRule="auto"/>
              <w:ind w:left="110"/>
            </w:pPr>
            <w:r>
              <w:rPr>
                <w:spacing w:val="-1"/>
              </w:rPr>
              <w:t>《人体损伤程度鉴定标准》中的轻微伤</w:t>
            </w:r>
          </w:p>
        </w:tc>
      </w:tr>
      <w:tr>
        <w:tblPrEx>
          <w:tblW w:w="8362" w:type="dxa"/>
          <w:tblInd w:w="493" w:type="dxa"/>
          <w:tblLayout w:type="fixed"/>
        </w:tblPrEx>
        <w:trPr>
          <w:trHeight w:val="409"/>
        </w:trPr>
        <w:tc>
          <w:tcPr>
            <w:tcW w:w="1412" w:type="dxa"/>
            <w:vAlign w:val="top"/>
          </w:tcPr>
          <w:p>
            <w:pPr>
              <w:pStyle w:val="TableText"/>
              <w:spacing w:before="170" w:line="220" w:lineRule="auto"/>
              <w:ind w:left="527"/>
            </w:pPr>
            <w:r>
              <w:rPr>
                <w:spacing w:val="-2"/>
              </w:rPr>
              <w:t>微弱</w:t>
            </w:r>
          </w:p>
        </w:tc>
        <w:tc>
          <w:tcPr>
            <w:tcW w:w="1135" w:type="dxa"/>
            <w:vAlign w:val="top"/>
          </w:tcPr>
          <w:p>
            <w:pPr>
              <w:pStyle w:val="TableText"/>
              <w:spacing w:before="200" w:line="182" w:lineRule="auto"/>
              <w:ind w:left="538"/>
            </w:pPr>
            <w:r>
              <w:t>1</w:t>
            </w:r>
          </w:p>
        </w:tc>
        <w:tc>
          <w:tcPr>
            <w:tcW w:w="5815" w:type="dxa"/>
            <w:vAlign w:val="top"/>
          </w:tcPr>
          <w:p>
            <w:pPr>
              <w:pStyle w:val="TableText"/>
              <w:spacing w:before="170" w:line="219" w:lineRule="auto"/>
              <w:ind w:left="111"/>
            </w:pPr>
            <w:r>
              <w:t>经过基本治疗后，损伤不会对身体机能造成实质</w:t>
            </w:r>
            <w:r>
              <w:rPr>
                <w:spacing w:val="-1"/>
              </w:rPr>
              <w:t>性妨碍或导致过度疼痛</w:t>
            </w:r>
          </w:p>
        </w:tc>
      </w:tr>
    </w:tbl>
    <w:p>
      <w:pPr>
        <w:spacing w:line="268" w:lineRule="auto"/>
        <w:rPr>
          <w:rFonts w:ascii="Arial"/>
          <w:sz w:val="21"/>
        </w:rPr>
      </w:pPr>
    </w:p>
    <w:p>
      <w:pPr>
        <w:spacing w:line="268" w:lineRule="auto"/>
        <w:rPr>
          <w:rFonts w:ascii="Arial"/>
          <w:sz w:val="21"/>
        </w:rPr>
      </w:pPr>
    </w:p>
    <w:p>
      <w:pPr>
        <w:spacing w:before="69" w:line="219" w:lineRule="auto"/>
        <w:rPr>
          <w:rFonts w:ascii="SimHei" w:eastAsia="SimHei" w:hAnsi="SimHei" w:cs="SimHei"/>
          <w:sz w:val="21"/>
          <w:szCs w:val="21"/>
        </w:rPr>
      </w:pPr>
      <w:r>
        <w:rPr>
          <w:rFonts w:ascii="SimHei" w:eastAsia="SimHei" w:hAnsi="SimHei" w:cs="SimHei"/>
          <w:sz w:val="21"/>
          <w:szCs w:val="21"/>
        </w:rPr>
        <w:t>5.4.3</w:t>
      </w:r>
      <w:r>
        <w:rPr>
          <w:rFonts w:ascii="SimHei" w:eastAsia="SimHei" w:hAnsi="SimHei" w:cs="SimHei"/>
          <w:sz w:val="21"/>
          <w:szCs w:val="21"/>
        </w:rPr>
        <w:t xml:space="preserve"> </w:t>
      </w:r>
      <w:r>
        <w:rPr>
          <w:rFonts w:ascii="SimHei" w:eastAsia="SimHei" w:hAnsi="SimHei" w:cs="SimHei"/>
          <w:sz w:val="21"/>
          <w:szCs w:val="21"/>
        </w:rPr>
        <w:t>伤害发生的可能性</w:t>
      </w:r>
    </w:p>
    <w:p>
      <w:pPr>
        <w:spacing w:before="218" w:line="220" w:lineRule="auto"/>
        <w:rPr>
          <w:rFonts w:ascii="SimHei" w:eastAsia="SimHei" w:hAnsi="SimHei" w:cs="SimHei"/>
          <w:sz w:val="21"/>
          <w:szCs w:val="21"/>
        </w:rPr>
      </w:pPr>
      <w:hyperlink r:id="rId21" w:history="1">
        <w:r>
          <w:rPr>
            <w:rFonts w:ascii="SimHei" w:eastAsia="SimHei" w:hAnsi="SimHei" w:cs="SimHei"/>
            <w:spacing w:val="-1"/>
            <w:sz w:val="21"/>
            <w:szCs w:val="21"/>
          </w:rPr>
          <w:t>5.4.3.1</w:t>
        </w:r>
      </w:hyperlink>
      <w:r>
        <w:rPr>
          <w:rFonts w:ascii="SimHei" w:eastAsia="SimHei" w:hAnsi="SimHei" w:cs="SimHei"/>
          <w:spacing w:val="-40"/>
          <w:sz w:val="21"/>
          <w:szCs w:val="21"/>
        </w:rPr>
        <w:t xml:space="preserve"> </w:t>
      </w:r>
      <w:r>
        <w:rPr>
          <w:rFonts w:ascii="SimHei" w:eastAsia="SimHei" w:hAnsi="SimHei" w:cs="SimHei"/>
          <w:spacing w:val="-1"/>
          <w:sz w:val="21"/>
          <w:szCs w:val="21"/>
        </w:rPr>
        <w:t>可能性影响因素</w:t>
      </w:r>
    </w:p>
    <w:p>
      <w:pPr>
        <w:pStyle w:val="BodyText"/>
        <w:spacing w:before="200" w:line="273" w:lineRule="auto"/>
        <w:ind w:left="8" w:right="72" w:firstLine="423"/>
        <w:jc w:val="both"/>
      </w:pPr>
      <w:r>
        <w:rPr>
          <w:spacing w:val="-4"/>
        </w:rPr>
        <w:t>分析影响伤害发生可能性时，</w:t>
      </w:r>
      <w:r>
        <w:rPr>
          <w:spacing w:val="-41"/>
        </w:rPr>
        <w:t xml:space="preserve"> </w:t>
      </w:r>
      <w:r>
        <w:rPr>
          <w:spacing w:val="-4"/>
        </w:rPr>
        <w:t>应重点关注：产品可靠性、使用频率、采取防护措施等避免或限制伤</w:t>
      </w:r>
      <w:r>
        <w:t xml:space="preserve"> </w:t>
      </w:r>
      <w:r>
        <w:rPr>
          <w:spacing w:val="-2"/>
        </w:rPr>
        <w:t>害的可能性、产品性能可能随着使用年限增长有所变化的情况、人</w:t>
      </w:r>
      <w:r>
        <w:rPr>
          <w:spacing w:val="-3"/>
        </w:rPr>
        <w:t>员暴露在危险情景下的情况、危险情</w:t>
      </w:r>
      <w:r>
        <w:t xml:space="preserve"> </w:t>
      </w:r>
      <w:r>
        <w:rPr>
          <w:spacing w:val="-6"/>
        </w:rPr>
        <w:t>景下导致伤害的速度、人员对产品存在危险的认知、不利环境对产品</w:t>
      </w:r>
      <w:r>
        <w:rPr>
          <w:spacing w:val="-7"/>
        </w:rPr>
        <w:t>的影响等。具体因素分析见</w:t>
      </w:r>
      <w:r>
        <w:rPr>
          <w:spacing w:val="-39"/>
        </w:rPr>
        <w:t xml:space="preserve"> </w:t>
      </w:r>
      <w:r>
        <w:rPr>
          <w:spacing w:val="-7"/>
        </w:rPr>
        <w:t>5.3.2。</w:t>
      </w:r>
    </w:p>
    <w:p>
      <w:pPr>
        <w:spacing w:before="265" w:line="219" w:lineRule="auto"/>
        <w:rPr>
          <w:rFonts w:ascii="SimHei" w:eastAsia="SimHei" w:hAnsi="SimHei" w:cs="SimHei"/>
          <w:sz w:val="21"/>
          <w:szCs w:val="21"/>
        </w:rPr>
      </w:pPr>
      <w:hyperlink r:id="rId22" w:history="1">
        <w:r>
          <w:rPr>
            <w:rFonts w:ascii="SimHei" w:eastAsia="SimHei" w:hAnsi="SimHei" w:cs="SimHei"/>
            <w:spacing w:val="-1"/>
            <w:sz w:val="21"/>
            <w:szCs w:val="21"/>
          </w:rPr>
          <w:t>5.4.3.2</w:t>
        </w:r>
      </w:hyperlink>
      <w:r>
        <w:rPr>
          <w:rFonts w:ascii="SimHei" w:eastAsia="SimHei" w:hAnsi="SimHei" w:cs="SimHei"/>
          <w:spacing w:val="-41"/>
          <w:sz w:val="21"/>
          <w:szCs w:val="21"/>
        </w:rPr>
        <w:t xml:space="preserve"> </w:t>
      </w:r>
      <w:r>
        <w:rPr>
          <w:rFonts w:ascii="SimHei" w:eastAsia="SimHei" w:hAnsi="SimHei" w:cs="SimHei"/>
          <w:spacing w:val="-1"/>
          <w:sz w:val="21"/>
          <w:szCs w:val="21"/>
        </w:rPr>
        <w:t>可能性等级</w:t>
      </w:r>
    </w:p>
    <w:p>
      <w:pPr>
        <w:pStyle w:val="BodyText"/>
        <w:spacing w:before="200" w:line="220" w:lineRule="auto"/>
        <w:ind w:left="428"/>
      </w:pPr>
      <w:r>
        <w:rPr>
          <w:spacing w:val="-5"/>
        </w:rPr>
        <w:t>稀土永磁电动机伤害发生的可能性分为</w:t>
      </w:r>
      <w:r>
        <w:rPr>
          <w:spacing w:val="-42"/>
        </w:rPr>
        <w:t xml:space="preserve"> </w:t>
      </w:r>
      <w:r>
        <w:rPr>
          <w:spacing w:val="-5"/>
        </w:rPr>
        <w:t>8</w:t>
      </w:r>
      <w:r>
        <w:rPr>
          <w:spacing w:val="-47"/>
        </w:rPr>
        <w:t xml:space="preserve"> </w:t>
      </w:r>
      <w:r>
        <w:rPr>
          <w:spacing w:val="-5"/>
        </w:rPr>
        <w:t>个</w:t>
      </w:r>
      <w:r>
        <w:rPr>
          <w:spacing w:val="-6"/>
        </w:rPr>
        <w:t>等级：</w:t>
      </w:r>
      <w:r>
        <w:rPr>
          <w:spacing w:val="-40"/>
        </w:rPr>
        <w:t xml:space="preserve"> </w:t>
      </w:r>
      <w:r>
        <w:rPr>
          <w:spacing w:val="-6"/>
        </w:rPr>
        <w:t>Ⅰ级~Ⅷ级，可能性逐级增加，等级划分见表</w:t>
      </w:r>
      <w:r>
        <w:rPr>
          <w:spacing w:val="-47"/>
        </w:rPr>
        <w:t xml:space="preserve"> </w:t>
      </w:r>
      <w:r>
        <w:rPr>
          <w:spacing w:val="-6"/>
        </w:rPr>
        <w:t>4。</w:t>
      </w:r>
    </w:p>
    <w:p>
      <w:pPr>
        <w:spacing w:line="220" w:lineRule="auto"/>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3" w:history="1">
        <w:r>
          <w:rPr>
            <w:rFonts w:ascii="SimSun" w:eastAsia="SimSun" w:hAnsi="SimSun" w:cs="SimSun"/>
            <w:b/>
            <w:bCs/>
            <w:noProof w:val="0"/>
            <w:snapToGrid/>
            <w:color w:val="0000EE"/>
            <w:kern w:val="0"/>
            <w:sz w:val="30"/>
            <w:szCs w:val="30"/>
            <w:u w:val="single" w:color="0000EE"/>
          </w:rPr>
          <w:t>https://d.book118.com/315202044234011123</w:t>
        </w:r>
      </w:hyperlink>
    </w:p>
    <w:p>
      <w:pPr>
        <w:spacing w:line="220" w:lineRule="auto"/>
      </w:pPr>
    </w:p>
    <w:sectPr>
      <w:footerReference w:type="default" r:id="rId24"/>
      <w:pgSz w:w="11907" w:h="16839"/>
      <w:pgMar w:top="1431" w:right="1056" w:bottom="1401" w:left="1422" w:header="0" w:footer="1225" w:gutter="0"/>
      <w:pgNumType w:start="1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
      <w:rPr>
        <w:sz w:val="18"/>
        <w:szCs w:val="18"/>
      </w:rPr>
    </w:pPr>
    <w:r>
      <w:rPr>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
      <w:rPr>
        <w:sz w:val="18"/>
        <w:szCs w:val="18"/>
      </w:rPr>
    </w:pPr>
    <w:r>
      <w:rPr>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271"/>
      <w:rPr>
        <w:sz w:val="18"/>
        <w:szCs w:val="18"/>
      </w:rPr>
    </w:pPr>
    <w:r>
      <w:rPr>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271"/>
      <w:rPr>
        <w:sz w:val="18"/>
        <w:szCs w:val="18"/>
      </w:rPr>
    </w:pPr>
    <w:r>
      <w:rPr>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
      <w:rPr>
        <w:sz w:val="18"/>
        <w:szCs w:val="18"/>
      </w:rPr>
    </w:pPr>
    <w:r>
      <w:rPr>
        <w:sz w:val="18"/>
        <w:szCs w:val="18"/>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
      <w:rPr>
        <w:sz w:val="18"/>
        <w:szCs w:val="18"/>
      </w:rPr>
    </w:pPr>
    <w:r>
      <w:rPr>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jc w:val="right"/>
      <w:rPr>
        <w:sz w:val="18"/>
        <w:szCs w:val="18"/>
      </w:rPr>
    </w:pPr>
    <w:r>
      <w:rPr>
        <w:spacing w:val="-11"/>
        <w:sz w:val="18"/>
        <w:szCs w:val="18"/>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5"/>
      <w:rPr>
        <w:sz w:val="18"/>
        <w:szCs w:val="18"/>
      </w:rPr>
    </w:pPr>
    <w:r>
      <w:rPr>
        <w:sz w:val="18"/>
        <w:szCs w:val="18"/>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5"/>
      <w:rPr>
        <w:sz w:val="18"/>
        <w:szCs w:val="18"/>
      </w:rPr>
    </w:pPr>
    <w:r>
      <w:rPr>
        <w:sz w:val="18"/>
        <w:szCs w:val="18"/>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jc w:val="right"/>
      <w:rPr>
        <w:sz w:val="18"/>
        <w:szCs w:val="18"/>
      </w:rPr>
    </w:pPr>
    <w:r>
      <w:rPr>
        <w:spacing w:val="-12"/>
        <w:sz w:val="18"/>
        <w:szCs w:val="18"/>
      </w:rPr>
      <w:t>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jc w:val="right"/>
      <w:rPr>
        <w:sz w:val="18"/>
        <w:szCs w:val="18"/>
      </w:rPr>
    </w:pPr>
    <w:r>
      <w:rPr>
        <w:spacing w:val="-12"/>
        <w:sz w:val="18"/>
        <w:szCs w:val="18"/>
      </w:rPr>
      <w:t>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4"/>
      <w:rPr>
        <w:sz w:val="18"/>
        <w:szCs w:val="18"/>
      </w:rPr>
    </w:pPr>
    <w:r>
      <w:rPr>
        <w:sz w:val="18"/>
        <w:szCs w:val="18"/>
      </w:rPr>
      <w:t>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1"/>
      <w:szCs w:val="21"/>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image" Target="media/image2.jpeg" /><Relationship Id="rId12" Type="http://schemas.openxmlformats.org/officeDocument/2006/relationships/footer" Target="footer7.xml" /><Relationship Id="rId13" Type="http://schemas.openxmlformats.org/officeDocument/2006/relationships/image" Target="media/image3.jpeg" /><Relationship Id="rId14" Type="http://schemas.openxmlformats.org/officeDocument/2006/relationships/hyperlink" Target="5.3.4.1" TargetMode="External" /><Relationship Id="rId15" Type="http://schemas.openxmlformats.org/officeDocument/2006/relationships/footer" Target="footer8.xml" /><Relationship Id="rId16" Type="http://schemas.openxmlformats.org/officeDocument/2006/relationships/footer" Target="footer9.xml" /><Relationship Id="rId17" Type="http://schemas.openxmlformats.org/officeDocument/2006/relationships/hyperlink" Target="5.3.4.2" TargetMode="External" /><Relationship Id="rId18" Type="http://schemas.openxmlformats.org/officeDocument/2006/relationships/footer" Target="footer10.xml"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hyperlink" Target="5.3.4.3" TargetMode="External" /><Relationship Id="rId21" Type="http://schemas.openxmlformats.org/officeDocument/2006/relationships/hyperlink" Target="5.4.3.1" TargetMode="External" /><Relationship Id="rId22" Type="http://schemas.openxmlformats.org/officeDocument/2006/relationships/hyperlink" Target="5.4.3.2" TargetMode="External" /><Relationship Id="rId23" Type="http://schemas.openxmlformats.org/officeDocument/2006/relationships/hyperlink" Target="https://d.book118.com/315202044234011123" TargetMode="External" /><Relationship Id="rId24" Type="http://schemas.openxmlformats.org/officeDocument/2006/relationships/footer" Target="footer12.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image" Target="media/image1.jpeg"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国家标准</dc:title>
  <dc:creator>huzq</dc:creator>
  <cp:revision>0</cp:revision>
  <dcterms:created xsi:type="dcterms:W3CDTF">2024-03-17T18:03:34Z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2024-03-17T20:31:26Z</vt:filetime>
  </property>
  <property fmtid="{D5CDD505-2E9C-101B-9397-08002B2CF9AE}" pid="3" name="CRO">
    <vt:lpwstr>wqlLaW5nc29mdCBQREYgdG8gV1BTIDkw</vt:lpwstr>
  </property>
</Properties>
</file>