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雄激素及同化激素项目规划设计蓝图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99" w:history="1">
        <w:r>
          <w:rPr>
            <w:rFonts w:ascii="仿宋" w:eastAsia="仿宋" w:hAnsi="仿宋" w:cs="仿宋" w:hint="eastAsia"/>
            <w:lang w:eastAsia="zh-CN"/>
          </w:rPr>
          <w:t>序言</w:t>
        </w:r>
        <w:r>
          <w:tab/>
        </w:r>
        <w:r>
          <w:fldChar w:fldCharType="begin"/>
        </w:r>
        <w:r>
          <w:instrText xml:space="preserve"> PAGEREF _Toc16099 \h </w:instrText>
        </w:r>
        <w:r>
          <w:fldChar w:fldCharType="separate"/>
        </w:r>
        <w:r>
          <w:t>3</w:t>
        </w:r>
        <w:r>
          <w:fldChar w:fldCharType="end"/>
        </w:r>
      </w:hyperlink>
    </w:p>
    <w:p>
      <w:pPr>
        <w:pStyle w:val="TOC1"/>
        <w:tabs>
          <w:tab w:val="right" w:leader="dot" w:pos="8306"/>
        </w:tabs>
      </w:pPr>
      <w:hyperlink w:anchor="_Toc8566" w:history="1">
        <w:r>
          <w:rPr>
            <w:rFonts w:ascii="仿宋" w:eastAsia="仿宋" w:hAnsi="仿宋" w:cs="仿宋" w:hint="eastAsia"/>
            <w:lang w:eastAsia="zh-CN"/>
          </w:rPr>
          <w:t>一、雄激素及同化激素项目绩效评估</w:t>
        </w:r>
        <w:r>
          <w:tab/>
        </w:r>
        <w:r>
          <w:fldChar w:fldCharType="begin"/>
        </w:r>
        <w:r>
          <w:instrText xml:space="preserve"> PAGEREF _Toc8566 \h </w:instrText>
        </w:r>
        <w:r>
          <w:fldChar w:fldCharType="separate"/>
        </w:r>
        <w:r>
          <w:t>3</w:t>
        </w:r>
        <w:r>
          <w:fldChar w:fldCharType="end"/>
        </w:r>
      </w:hyperlink>
    </w:p>
    <w:p>
      <w:pPr>
        <w:pStyle w:val="TOC2"/>
        <w:tabs>
          <w:tab w:val="right" w:leader="dot" w:pos="8306"/>
        </w:tabs>
      </w:pPr>
      <w:hyperlink w:anchor="_Toc24886" w:history="1">
        <w:r>
          <w:rPr>
            <w:rFonts w:ascii="仿宋" w:eastAsia="仿宋" w:hAnsi="仿宋" w:cs="仿宋" w:hint="eastAsia"/>
            <w:lang w:eastAsia="zh-CN"/>
          </w:rPr>
          <w:t>(一)、绩效评估指标</w:t>
        </w:r>
        <w:r>
          <w:tab/>
        </w:r>
        <w:r>
          <w:fldChar w:fldCharType="begin"/>
        </w:r>
        <w:r>
          <w:instrText xml:space="preserve"> PAGEREF _Toc24886 \h </w:instrText>
        </w:r>
        <w:r>
          <w:fldChar w:fldCharType="separate"/>
        </w:r>
        <w:r>
          <w:t>3</w:t>
        </w:r>
        <w:r>
          <w:fldChar w:fldCharType="end"/>
        </w:r>
      </w:hyperlink>
    </w:p>
    <w:p>
      <w:pPr>
        <w:pStyle w:val="TOC2"/>
        <w:tabs>
          <w:tab w:val="right" w:leader="dot" w:pos="8306"/>
        </w:tabs>
      </w:pPr>
      <w:hyperlink w:anchor="_Toc4610" w:history="1">
        <w:r>
          <w:rPr>
            <w:rFonts w:ascii="仿宋" w:eastAsia="仿宋" w:hAnsi="仿宋" w:cs="仿宋" w:hint="eastAsia"/>
            <w:lang w:eastAsia="zh-CN"/>
          </w:rPr>
          <w:t>(二)、绩效评估方法</w:t>
        </w:r>
        <w:r>
          <w:tab/>
        </w:r>
        <w:r>
          <w:fldChar w:fldCharType="begin"/>
        </w:r>
        <w:r>
          <w:instrText xml:space="preserve"> PAGEREF _Toc4610 \h </w:instrText>
        </w:r>
        <w:r>
          <w:fldChar w:fldCharType="separate"/>
        </w:r>
        <w:r>
          <w:t>4</w:t>
        </w:r>
        <w:r>
          <w:fldChar w:fldCharType="end"/>
        </w:r>
      </w:hyperlink>
    </w:p>
    <w:p>
      <w:pPr>
        <w:pStyle w:val="TOC2"/>
        <w:tabs>
          <w:tab w:val="right" w:leader="dot" w:pos="8306"/>
        </w:tabs>
      </w:pPr>
      <w:hyperlink w:anchor="_Toc31787" w:history="1">
        <w:r>
          <w:rPr>
            <w:rFonts w:ascii="仿宋" w:eastAsia="仿宋" w:hAnsi="仿宋" w:cs="仿宋" w:hint="eastAsia"/>
            <w:lang w:eastAsia="zh-CN"/>
          </w:rPr>
          <w:t>(三)、绩效评估周期</w:t>
        </w:r>
        <w:r>
          <w:tab/>
        </w:r>
        <w:r>
          <w:fldChar w:fldCharType="begin"/>
        </w:r>
        <w:r>
          <w:instrText xml:space="preserve"> PAGEREF _Toc31787 \h </w:instrText>
        </w:r>
        <w:r>
          <w:fldChar w:fldCharType="separate"/>
        </w:r>
        <w:r>
          <w:t>5</w:t>
        </w:r>
        <w:r>
          <w:fldChar w:fldCharType="end"/>
        </w:r>
      </w:hyperlink>
    </w:p>
    <w:p>
      <w:pPr>
        <w:pStyle w:val="TOC1"/>
        <w:tabs>
          <w:tab w:val="right" w:leader="dot" w:pos="8306"/>
        </w:tabs>
      </w:pPr>
      <w:hyperlink w:anchor="_Toc8693" w:history="1">
        <w:r>
          <w:rPr>
            <w:rFonts w:ascii="仿宋" w:eastAsia="仿宋" w:hAnsi="仿宋" w:cs="仿宋" w:hint="eastAsia"/>
            <w:lang w:eastAsia="zh-CN"/>
          </w:rPr>
          <w:t>二、雄激素及同化激素项目文档管理</w:t>
        </w:r>
        <w:r>
          <w:tab/>
        </w:r>
        <w:r>
          <w:fldChar w:fldCharType="begin"/>
        </w:r>
        <w:r>
          <w:instrText xml:space="preserve"> PAGEREF _Toc8693 \h </w:instrText>
        </w:r>
        <w:r>
          <w:fldChar w:fldCharType="separate"/>
        </w:r>
        <w:r>
          <w:t>6</w:t>
        </w:r>
        <w:r>
          <w:fldChar w:fldCharType="end"/>
        </w:r>
      </w:hyperlink>
    </w:p>
    <w:p>
      <w:pPr>
        <w:pStyle w:val="TOC2"/>
        <w:tabs>
          <w:tab w:val="right" w:leader="dot" w:pos="8306"/>
        </w:tabs>
      </w:pPr>
      <w:hyperlink w:anchor="_Toc13813" w:history="1">
        <w:r>
          <w:rPr>
            <w:rFonts w:ascii="仿宋" w:eastAsia="仿宋" w:hAnsi="仿宋" w:cs="仿宋" w:hint="eastAsia"/>
            <w:lang w:eastAsia="zh-CN"/>
          </w:rPr>
          <w:t>(一)、文档编制与审查</w:t>
        </w:r>
        <w:r>
          <w:tab/>
        </w:r>
        <w:r>
          <w:fldChar w:fldCharType="begin"/>
        </w:r>
        <w:r>
          <w:instrText xml:space="preserve"> PAGEREF _Toc13813 \h </w:instrText>
        </w:r>
        <w:r>
          <w:fldChar w:fldCharType="separate"/>
        </w:r>
        <w:r>
          <w:t>6</w:t>
        </w:r>
        <w:r>
          <w:fldChar w:fldCharType="end"/>
        </w:r>
      </w:hyperlink>
    </w:p>
    <w:p>
      <w:pPr>
        <w:pStyle w:val="TOC2"/>
        <w:tabs>
          <w:tab w:val="right" w:leader="dot" w:pos="8306"/>
        </w:tabs>
      </w:pPr>
      <w:hyperlink w:anchor="_Toc4945" w:history="1">
        <w:r>
          <w:rPr>
            <w:rFonts w:ascii="仿宋" w:eastAsia="仿宋" w:hAnsi="仿宋" w:cs="仿宋" w:hint="eastAsia"/>
            <w:lang w:eastAsia="zh-CN"/>
          </w:rPr>
          <w:t>(二)、文档发布与分发</w:t>
        </w:r>
        <w:r>
          <w:tab/>
        </w:r>
        <w:r>
          <w:fldChar w:fldCharType="begin"/>
        </w:r>
        <w:r>
          <w:instrText xml:space="preserve"> PAGEREF _Toc4945 \h </w:instrText>
        </w:r>
        <w:r>
          <w:fldChar w:fldCharType="separate"/>
        </w:r>
        <w:r>
          <w:t>8</w:t>
        </w:r>
        <w:r>
          <w:fldChar w:fldCharType="end"/>
        </w:r>
      </w:hyperlink>
    </w:p>
    <w:p>
      <w:pPr>
        <w:pStyle w:val="TOC2"/>
        <w:tabs>
          <w:tab w:val="right" w:leader="dot" w:pos="8306"/>
        </w:tabs>
      </w:pPr>
      <w:hyperlink w:anchor="_Toc29398" w:history="1">
        <w:r>
          <w:rPr>
            <w:rFonts w:ascii="仿宋" w:eastAsia="仿宋" w:hAnsi="仿宋" w:cs="仿宋" w:hint="eastAsia"/>
            <w:lang w:eastAsia="zh-CN"/>
          </w:rPr>
          <w:t>(三)、文档存档与归档</w:t>
        </w:r>
        <w:r>
          <w:tab/>
        </w:r>
        <w:r>
          <w:fldChar w:fldCharType="begin"/>
        </w:r>
        <w:r>
          <w:instrText xml:space="preserve"> PAGEREF _Toc29398 \h </w:instrText>
        </w:r>
        <w:r>
          <w:fldChar w:fldCharType="separate"/>
        </w:r>
        <w:r>
          <w:t>9</w:t>
        </w:r>
        <w:r>
          <w:fldChar w:fldCharType="end"/>
        </w:r>
      </w:hyperlink>
    </w:p>
    <w:p>
      <w:pPr>
        <w:pStyle w:val="TOC1"/>
        <w:tabs>
          <w:tab w:val="right" w:leader="dot" w:pos="8306"/>
        </w:tabs>
      </w:pPr>
      <w:hyperlink w:anchor="_Toc25196" w:history="1">
        <w:r>
          <w:rPr>
            <w:rFonts w:ascii="仿宋" w:eastAsia="仿宋" w:hAnsi="仿宋" w:cs="仿宋" w:hint="eastAsia"/>
            <w:lang w:eastAsia="zh-CN"/>
          </w:rPr>
          <w:t>三、工艺说明</w:t>
        </w:r>
        <w:r>
          <w:tab/>
        </w:r>
        <w:r>
          <w:fldChar w:fldCharType="begin"/>
        </w:r>
        <w:r>
          <w:instrText xml:space="preserve"> PAGEREF _Toc25196 \h </w:instrText>
        </w:r>
        <w:r>
          <w:fldChar w:fldCharType="separate"/>
        </w:r>
        <w:r>
          <w:t>10</w:t>
        </w:r>
        <w:r>
          <w:fldChar w:fldCharType="end"/>
        </w:r>
      </w:hyperlink>
    </w:p>
    <w:p>
      <w:pPr>
        <w:pStyle w:val="TOC2"/>
        <w:tabs>
          <w:tab w:val="right" w:leader="dot" w:pos="8306"/>
        </w:tabs>
      </w:pPr>
      <w:hyperlink w:anchor="_Toc19046" w:history="1">
        <w:r>
          <w:rPr>
            <w:rFonts w:ascii="仿宋" w:eastAsia="仿宋" w:hAnsi="仿宋" w:cs="仿宋" w:hint="eastAsia"/>
            <w:lang w:eastAsia="zh-CN"/>
          </w:rPr>
          <w:t>(一)、技术管理特点</w:t>
        </w:r>
        <w:r>
          <w:tab/>
        </w:r>
        <w:r>
          <w:fldChar w:fldCharType="begin"/>
        </w:r>
        <w:r>
          <w:instrText xml:space="preserve"> PAGEREF _Toc19046 \h </w:instrText>
        </w:r>
        <w:r>
          <w:fldChar w:fldCharType="separate"/>
        </w:r>
        <w:r>
          <w:t>10</w:t>
        </w:r>
        <w:r>
          <w:fldChar w:fldCharType="end"/>
        </w:r>
      </w:hyperlink>
    </w:p>
    <w:p>
      <w:pPr>
        <w:pStyle w:val="TOC2"/>
        <w:tabs>
          <w:tab w:val="right" w:leader="dot" w:pos="8306"/>
        </w:tabs>
      </w:pPr>
      <w:hyperlink w:anchor="_Toc2741" w:history="1">
        <w:r>
          <w:rPr>
            <w:rFonts w:ascii="仿宋" w:eastAsia="仿宋" w:hAnsi="仿宋" w:cs="仿宋" w:hint="eastAsia"/>
            <w:lang w:eastAsia="zh-CN"/>
          </w:rPr>
          <w:t>(二)、雄激素及同化激素项目工艺技术设计方案</w:t>
        </w:r>
        <w:r>
          <w:tab/>
        </w:r>
        <w:r>
          <w:fldChar w:fldCharType="begin"/>
        </w:r>
        <w:r>
          <w:instrText xml:space="preserve"> PAGEREF _Toc2741 \h </w:instrText>
        </w:r>
        <w:r>
          <w:fldChar w:fldCharType="separate"/>
        </w:r>
        <w:r>
          <w:t>11</w:t>
        </w:r>
        <w:r>
          <w:fldChar w:fldCharType="end"/>
        </w:r>
      </w:hyperlink>
    </w:p>
    <w:p>
      <w:pPr>
        <w:pStyle w:val="TOC2"/>
        <w:tabs>
          <w:tab w:val="right" w:leader="dot" w:pos="8306"/>
        </w:tabs>
      </w:pPr>
      <w:hyperlink w:anchor="_Toc19398" w:history="1">
        <w:r>
          <w:rPr>
            <w:rFonts w:ascii="仿宋" w:eastAsia="仿宋" w:hAnsi="仿宋" w:cs="仿宋" w:hint="eastAsia"/>
            <w:lang w:eastAsia="zh-CN"/>
          </w:rPr>
          <w:t>(三)、设备选型方案</w:t>
        </w:r>
        <w:r>
          <w:tab/>
        </w:r>
        <w:r>
          <w:fldChar w:fldCharType="begin"/>
        </w:r>
        <w:r>
          <w:instrText xml:space="preserve"> PAGEREF _Toc19398 \h </w:instrText>
        </w:r>
        <w:r>
          <w:fldChar w:fldCharType="separate"/>
        </w:r>
        <w:r>
          <w:t>12</w:t>
        </w:r>
        <w:r>
          <w:fldChar w:fldCharType="end"/>
        </w:r>
      </w:hyperlink>
    </w:p>
    <w:p>
      <w:pPr>
        <w:pStyle w:val="TOC1"/>
        <w:tabs>
          <w:tab w:val="right" w:leader="dot" w:pos="8306"/>
        </w:tabs>
      </w:pPr>
      <w:hyperlink w:anchor="_Toc647" w:history="1">
        <w:r>
          <w:rPr>
            <w:rFonts w:ascii="仿宋" w:eastAsia="仿宋" w:hAnsi="仿宋" w:cs="仿宋" w:hint="eastAsia"/>
            <w:lang w:eastAsia="zh-CN"/>
          </w:rPr>
          <w:t>四、雄激素及同化激素项目选址可行性分析</w:t>
        </w:r>
        <w:r>
          <w:tab/>
        </w:r>
        <w:r>
          <w:fldChar w:fldCharType="begin"/>
        </w:r>
        <w:r>
          <w:instrText xml:space="preserve"> PAGEREF _Toc647 \h </w:instrText>
        </w:r>
        <w:r>
          <w:fldChar w:fldCharType="separate"/>
        </w:r>
        <w:r>
          <w:t>14</w:t>
        </w:r>
        <w:r>
          <w:fldChar w:fldCharType="end"/>
        </w:r>
      </w:hyperlink>
    </w:p>
    <w:p>
      <w:pPr>
        <w:pStyle w:val="TOC2"/>
        <w:tabs>
          <w:tab w:val="right" w:leader="dot" w:pos="8306"/>
        </w:tabs>
      </w:pPr>
      <w:hyperlink w:anchor="_Toc12444" w:history="1">
        <w:r>
          <w:rPr>
            <w:rFonts w:ascii="仿宋" w:eastAsia="仿宋" w:hAnsi="仿宋" w:cs="仿宋" w:hint="eastAsia"/>
            <w:lang w:eastAsia="zh-CN"/>
          </w:rPr>
          <w:t>(一)、雄激素及同化激素项目选址</w:t>
        </w:r>
        <w:r>
          <w:tab/>
        </w:r>
        <w:r>
          <w:fldChar w:fldCharType="begin"/>
        </w:r>
        <w:r>
          <w:instrText xml:space="preserve"> PAGEREF _Toc12444 \h </w:instrText>
        </w:r>
        <w:r>
          <w:fldChar w:fldCharType="separate"/>
        </w:r>
        <w:r>
          <w:t>14</w:t>
        </w:r>
        <w:r>
          <w:fldChar w:fldCharType="end"/>
        </w:r>
      </w:hyperlink>
    </w:p>
    <w:p>
      <w:pPr>
        <w:pStyle w:val="TOC2"/>
        <w:tabs>
          <w:tab w:val="right" w:leader="dot" w:pos="8306"/>
        </w:tabs>
      </w:pPr>
      <w:hyperlink w:anchor="_Toc11968" w:history="1">
        <w:r>
          <w:rPr>
            <w:rFonts w:ascii="仿宋" w:eastAsia="仿宋" w:hAnsi="仿宋" w:cs="仿宋" w:hint="eastAsia"/>
            <w:lang w:eastAsia="zh-CN"/>
          </w:rPr>
          <w:t>(二)、用地控制指标</w:t>
        </w:r>
        <w:r>
          <w:tab/>
        </w:r>
        <w:r>
          <w:fldChar w:fldCharType="begin"/>
        </w:r>
        <w:r>
          <w:instrText xml:space="preserve"> PAGEREF _Toc11968 \h </w:instrText>
        </w:r>
        <w:r>
          <w:fldChar w:fldCharType="separate"/>
        </w:r>
        <w:r>
          <w:t>14</w:t>
        </w:r>
        <w:r>
          <w:fldChar w:fldCharType="end"/>
        </w:r>
      </w:hyperlink>
    </w:p>
    <w:p>
      <w:pPr>
        <w:pStyle w:val="TOC2"/>
        <w:tabs>
          <w:tab w:val="right" w:leader="dot" w:pos="8306"/>
        </w:tabs>
      </w:pPr>
      <w:hyperlink w:anchor="_Toc23767" w:history="1">
        <w:r>
          <w:rPr>
            <w:rFonts w:ascii="仿宋" w:eastAsia="仿宋" w:hAnsi="仿宋" w:cs="仿宋" w:hint="eastAsia"/>
            <w:lang w:eastAsia="zh-CN"/>
          </w:rPr>
          <w:t>(三)、节约用地措施</w:t>
        </w:r>
        <w:r>
          <w:tab/>
        </w:r>
        <w:r>
          <w:fldChar w:fldCharType="begin"/>
        </w:r>
        <w:r>
          <w:instrText xml:space="preserve"> PAGEREF _Toc23767 \h </w:instrText>
        </w:r>
        <w:r>
          <w:fldChar w:fldCharType="separate"/>
        </w:r>
        <w:r>
          <w:t>16</w:t>
        </w:r>
        <w:r>
          <w:fldChar w:fldCharType="end"/>
        </w:r>
      </w:hyperlink>
    </w:p>
    <w:p>
      <w:pPr>
        <w:pStyle w:val="TOC2"/>
        <w:tabs>
          <w:tab w:val="right" w:leader="dot" w:pos="8306"/>
        </w:tabs>
      </w:pPr>
      <w:hyperlink w:anchor="_Toc21502" w:history="1">
        <w:r>
          <w:rPr>
            <w:rFonts w:ascii="仿宋" w:eastAsia="仿宋" w:hAnsi="仿宋" w:cs="仿宋" w:hint="eastAsia"/>
            <w:lang w:eastAsia="zh-CN"/>
          </w:rPr>
          <w:t>(四)、总图布置方案</w:t>
        </w:r>
        <w:r>
          <w:tab/>
        </w:r>
        <w:r>
          <w:fldChar w:fldCharType="begin"/>
        </w:r>
        <w:r>
          <w:instrText xml:space="preserve"> PAGEREF _Toc21502 \h </w:instrText>
        </w:r>
        <w:r>
          <w:fldChar w:fldCharType="separate"/>
        </w:r>
        <w:r>
          <w:t>17</w:t>
        </w:r>
        <w:r>
          <w:fldChar w:fldCharType="end"/>
        </w:r>
      </w:hyperlink>
    </w:p>
    <w:p>
      <w:pPr>
        <w:pStyle w:val="TOC2"/>
        <w:tabs>
          <w:tab w:val="right" w:leader="dot" w:pos="8306"/>
        </w:tabs>
      </w:pPr>
      <w:hyperlink w:anchor="_Toc14714" w:history="1">
        <w:r>
          <w:rPr>
            <w:rFonts w:ascii="仿宋" w:eastAsia="仿宋" w:hAnsi="仿宋" w:cs="仿宋" w:hint="eastAsia"/>
            <w:lang w:eastAsia="zh-CN"/>
          </w:rPr>
          <w:t>(五)、选址综合评价</w:t>
        </w:r>
        <w:r>
          <w:tab/>
        </w:r>
        <w:r>
          <w:fldChar w:fldCharType="begin"/>
        </w:r>
        <w:r>
          <w:instrText xml:space="preserve"> PAGEREF _Toc14714 \h </w:instrText>
        </w:r>
        <w:r>
          <w:fldChar w:fldCharType="separate"/>
        </w:r>
        <w:r>
          <w:t>18</w:t>
        </w:r>
        <w:r>
          <w:fldChar w:fldCharType="end"/>
        </w:r>
      </w:hyperlink>
    </w:p>
    <w:p>
      <w:pPr>
        <w:pStyle w:val="TOC1"/>
        <w:tabs>
          <w:tab w:val="right" w:leader="dot" w:pos="8306"/>
        </w:tabs>
      </w:pPr>
      <w:hyperlink w:anchor="_Toc31390" w:history="1">
        <w:r>
          <w:rPr>
            <w:rFonts w:ascii="仿宋" w:eastAsia="仿宋" w:hAnsi="仿宋" w:cs="仿宋" w:hint="eastAsia"/>
            <w:lang w:eastAsia="zh-CN"/>
          </w:rPr>
          <w:t>五、雄激素及同化激素项目土建工程</w:t>
        </w:r>
        <w:r>
          <w:tab/>
        </w:r>
        <w:r>
          <w:fldChar w:fldCharType="begin"/>
        </w:r>
        <w:r>
          <w:instrText xml:space="preserve"> PAGEREF _Toc31390 \h </w:instrText>
        </w:r>
        <w:r>
          <w:fldChar w:fldCharType="separate"/>
        </w:r>
        <w:r>
          <w:t>19</w:t>
        </w:r>
        <w:r>
          <w:fldChar w:fldCharType="end"/>
        </w:r>
      </w:hyperlink>
    </w:p>
    <w:p>
      <w:pPr>
        <w:pStyle w:val="TOC2"/>
        <w:tabs>
          <w:tab w:val="right" w:leader="dot" w:pos="8306"/>
        </w:tabs>
      </w:pPr>
      <w:hyperlink w:anchor="_Toc11028" w:history="1">
        <w:r>
          <w:rPr>
            <w:rFonts w:ascii="仿宋" w:eastAsia="仿宋" w:hAnsi="仿宋" w:cs="仿宋" w:hint="eastAsia"/>
            <w:lang w:eastAsia="zh-CN"/>
          </w:rPr>
          <w:t>(一)、建筑工程设计原则</w:t>
        </w:r>
        <w:r>
          <w:tab/>
        </w:r>
        <w:r>
          <w:fldChar w:fldCharType="begin"/>
        </w:r>
        <w:r>
          <w:instrText xml:space="preserve"> PAGEREF _Toc11028 \h </w:instrText>
        </w:r>
        <w:r>
          <w:fldChar w:fldCharType="separate"/>
        </w:r>
        <w:r>
          <w:t>19</w:t>
        </w:r>
        <w:r>
          <w:fldChar w:fldCharType="end"/>
        </w:r>
      </w:hyperlink>
    </w:p>
    <w:p>
      <w:pPr>
        <w:pStyle w:val="TOC2"/>
        <w:tabs>
          <w:tab w:val="right" w:leader="dot" w:pos="8306"/>
        </w:tabs>
      </w:pPr>
      <w:hyperlink w:anchor="_Toc9216" w:history="1">
        <w:r>
          <w:rPr>
            <w:rFonts w:ascii="仿宋" w:eastAsia="仿宋" w:hAnsi="仿宋" w:cs="仿宋" w:hint="eastAsia"/>
            <w:lang w:eastAsia="zh-CN"/>
          </w:rPr>
          <w:t>(二)、土建工程设计年限及安全等级</w:t>
        </w:r>
        <w:r>
          <w:tab/>
        </w:r>
        <w:r>
          <w:fldChar w:fldCharType="begin"/>
        </w:r>
        <w:r>
          <w:instrText xml:space="preserve"> PAGEREF _Toc9216 \h </w:instrText>
        </w:r>
        <w:r>
          <w:fldChar w:fldCharType="separate"/>
        </w:r>
        <w:r>
          <w:t>20</w:t>
        </w:r>
        <w:r>
          <w:fldChar w:fldCharType="end"/>
        </w:r>
      </w:hyperlink>
    </w:p>
    <w:p>
      <w:pPr>
        <w:pStyle w:val="TOC2"/>
        <w:tabs>
          <w:tab w:val="right" w:leader="dot" w:pos="8306"/>
        </w:tabs>
      </w:pPr>
      <w:hyperlink w:anchor="_Toc10369" w:history="1">
        <w:r>
          <w:rPr>
            <w:rFonts w:ascii="仿宋" w:eastAsia="仿宋" w:hAnsi="仿宋" w:cs="仿宋" w:hint="eastAsia"/>
            <w:lang w:eastAsia="zh-CN"/>
          </w:rPr>
          <w:t>(三)、建筑工程设计总体要求</w:t>
        </w:r>
        <w:r>
          <w:tab/>
        </w:r>
        <w:r>
          <w:fldChar w:fldCharType="begin"/>
        </w:r>
        <w:r>
          <w:instrText xml:space="preserve"> PAGEREF _Toc10369 \h </w:instrText>
        </w:r>
        <w:r>
          <w:fldChar w:fldCharType="separate"/>
        </w:r>
        <w:r>
          <w:t>22</w:t>
        </w:r>
        <w:r>
          <w:fldChar w:fldCharType="end"/>
        </w:r>
      </w:hyperlink>
    </w:p>
    <w:p>
      <w:pPr>
        <w:pStyle w:val="TOC2"/>
        <w:tabs>
          <w:tab w:val="right" w:leader="dot" w:pos="8306"/>
        </w:tabs>
      </w:pPr>
      <w:hyperlink w:anchor="_Toc25243" w:history="1">
        <w:r>
          <w:rPr>
            <w:rFonts w:ascii="仿宋" w:eastAsia="仿宋" w:hAnsi="仿宋" w:cs="仿宋" w:hint="eastAsia"/>
            <w:lang w:eastAsia="zh-CN"/>
          </w:rPr>
          <w:t>(四)、土建工程建设指标</w:t>
        </w:r>
        <w:r>
          <w:tab/>
        </w:r>
        <w:r>
          <w:fldChar w:fldCharType="begin"/>
        </w:r>
        <w:r>
          <w:instrText xml:space="preserve"> PAGEREF _Toc25243 \h </w:instrText>
        </w:r>
        <w:r>
          <w:fldChar w:fldCharType="separate"/>
        </w:r>
        <w:r>
          <w:t>22</w:t>
        </w:r>
        <w:r>
          <w:fldChar w:fldCharType="end"/>
        </w:r>
      </w:hyperlink>
    </w:p>
    <w:p>
      <w:pPr>
        <w:pStyle w:val="TOC1"/>
        <w:tabs>
          <w:tab w:val="right" w:leader="dot" w:pos="8306"/>
        </w:tabs>
      </w:pPr>
      <w:hyperlink w:anchor="_Toc23851" w:history="1">
        <w:r>
          <w:rPr>
            <w:rFonts w:ascii="仿宋" w:eastAsia="仿宋" w:hAnsi="仿宋" w:cs="仿宋" w:hint="eastAsia"/>
            <w:lang w:eastAsia="zh-CN"/>
          </w:rPr>
          <w:t>六、雄激素及同化激素项目危机管理</w:t>
        </w:r>
        <w:r>
          <w:tab/>
        </w:r>
        <w:r>
          <w:fldChar w:fldCharType="begin"/>
        </w:r>
        <w:r>
          <w:instrText xml:space="preserve"> PAGEREF _Toc23851 \h </w:instrText>
        </w:r>
        <w:r>
          <w:fldChar w:fldCharType="separate"/>
        </w:r>
        <w:r>
          <w:t>23</w:t>
        </w:r>
        <w:r>
          <w:fldChar w:fldCharType="end"/>
        </w:r>
      </w:hyperlink>
    </w:p>
    <w:p>
      <w:pPr>
        <w:pStyle w:val="TOC2"/>
        <w:tabs>
          <w:tab w:val="right" w:leader="dot" w:pos="8306"/>
        </w:tabs>
      </w:pPr>
      <w:hyperlink w:anchor="_Toc13272" w:history="1">
        <w:r>
          <w:rPr>
            <w:rFonts w:ascii="仿宋" w:eastAsia="仿宋" w:hAnsi="仿宋" w:cs="仿宋" w:hint="eastAsia"/>
            <w:lang w:eastAsia="zh-CN"/>
          </w:rPr>
          <w:t>(一)、危机预警与识别</w:t>
        </w:r>
        <w:r>
          <w:tab/>
        </w:r>
        <w:r>
          <w:fldChar w:fldCharType="begin"/>
        </w:r>
        <w:r>
          <w:instrText xml:space="preserve"> PAGEREF _Toc13272 \h </w:instrText>
        </w:r>
        <w:r>
          <w:fldChar w:fldCharType="separate"/>
        </w:r>
        <w:r>
          <w:t>23</w:t>
        </w:r>
        <w:r>
          <w:fldChar w:fldCharType="end"/>
        </w:r>
      </w:hyperlink>
    </w:p>
    <w:p>
      <w:pPr>
        <w:pStyle w:val="TOC2"/>
        <w:tabs>
          <w:tab w:val="right" w:leader="dot" w:pos="8306"/>
        </w:tabs>
      </w:pPr>
      <w:hyperlink w:anchor="_Toc23015" w:history="1">
        <w:r>
          <w:rPr>
            <w:rFonts w:ascii="仿宋" w:eastAsia="仿宋" w:hAnsi="仿宋" w:cs="仿宋" w:hint="eastAsia"/>
            <w:lang w:eastAsia="zh-CN"/>
          </w:rPr>
          <w:t>(二)、危机应对与恢复</w:t>
        </w:r>
        <w:r>
          <w:tab/>
        </w:r>
        <w:r>
          <w:fldChar w:fldCharType="begin"/>
        </w:r>
        <w:r>
          <w:instrText xml:space="preserve"> PAGEREF _Toc23015 \h </w:instrText>
        </w:r>
        <w:r>
          <w:fldChar w:fldCharType="separate"/>
        </w:r>
        <w:r>
          <w:t>24</w:t>
        </w:r>
        <w:r>
          <w:fldChar w:fldCharType="end"/>
        </w:r>
      </w:hyperlink>
    </w:p>
    <w:p>
      <w:pPr>
        <w:pStyle w:val="TOC1"/>
        <w:tabs>
          <w:tab w:val="right" w:leader="dot" w:pos="8306"/>
        </w:tabs>
      </w:pPr>
      <w:hyperlink w:anchor="_Toc12772" w:history="1">
        <w:r>
          <w:rPr>
            <w:rFonts w:ascii="仿宋" w:eastAsia="仿宋" w:hAnsi="仿宋" w:cs="仿宋" w:hint="eastAsia"/>
            <w:lang w:eastAsia="zh-CN"/>
          </w:rPr>
          <w:t>七、雄激素及同化激素项目人力资源管理</w:t>
        </w:r>
        <w:r>
          <w:tab/>
        </w:r>
        <w:r>
          <w:fldChar w:fldCharType="begin"/>
        </w:r>
        <w:r>
          <w:instrText xml:space="preserve"> PAGEREF _Toc12772 \h </w:instrText>
        </w:r>
        <w:r>
          <w:fldChar w:fldCharType="separate"/>
        </w:r>
        <w:r>
          <w:t>25</w:t>
        </w:r>
        <w:r>
          <w:fldChar w:fldCharType="end"/>
        </w:r>
      </w:hyperlink>
    </w:p>
    <w:p>
      <w:pPr>
        <w:pStyle w:val="TOC2"/>
        <w:tabs>
          <w:tab w:val="right" w:leader="dot" w:pos="8306"/>
        </w:tabs>
      </w:pPr>
      <w:hyperlink w:anchor="_Toc12830" w:history="1">
        <w:r>
          <w:rPr>
            <w:rFonts w:ascii="仿宋" w:eastAsia="仿宋" w:hAnsi="仿宋" w:cs="仿宋" w:hint="eastAsia"/>
            <w:lang w:eastAsia="zh-CN"/>
          </w:rPr>
          <w:t>(一)、建立健全的预算管理制度</w:t>
        </w:r>
        <w:r>
          <w:tab/>
        </w:r>
        <w:r>
          <w:fldChar w:fldCharType="begin"/>
        </w:r>
        <w:r>
          <w:instrText xml:space="preserve"> PAGEREF _Toc12830 \h </w:instrText>
        </w:r>
        <w:r>
          <w:fldChar w:fldCharType="separate"/>
        </w:r>
        <w:r>
          <w:t>25</w:t>
        </w:r>
        <w:r>
          <w:fldChar w:fldCharType="end"/>
        </w:r>
      </w:hyperlink>
    </w:p>
    <w:p>
      <w:pPr>
        <w:pStyle w:val="TOC2"/>
        <w:tabs>
          <w:tab w:val="right" w:leader="dot" w:pos="8306"/>
        </w:tabs>
      </w:pPr>
      <w:hyperlink w:anchor="_Toc9419" w:history="1">
        <w:r>
          <w:rPr>
            <w:rFonts w:ascii="仿宋" w:eastAsia="仿宋" w:hAnsi="仿宋" w:cs="仿宋" w:hint="eastAsia"/>
            <w:lang w:eastAsia="zh-CN"/>
          </w:rPr>
          <w:t>(二)、加强资金流动监控</w:t>
        </w:r>
        <w:r>
          <w:tab/>
        </w:r>
        <w:r>
          <w:fldChar w:fldCharType="begin"/>
        </w:r>
        <w:r>
          <w:instrText xml:space="preserve"> PAGEREF _Toc9419 \h </w:instrText>
        </w:r>
        <w:r>
          <w:fldChar w:fldCharType="separate"/>
        </w:r>
        <w:r>
          <w:t>27</w:t>
        </w:r>
        <w:r>
          <w:fldChar w:fldCharType="end"/>
        </w:r>
      </w:hyperlink>
    </w:p>
    <w:p>
      <w:pPr>
        <w:pStyle w:val="TOC2"/>
        <w:tabs>
          <w:tab w:val="right" w:leader="dot" w:pos="8306"/>
        </w:tabs>
      </w:pPr>
      <w:hyperlink w:anchor="_Toc3817" w:history="1">
        <w:r>
          <w:rPr>
            <w:rFonts w:ascii="仿宋" w:eastAsia="仿宋" w:hAnsi="仿宋" w:cs="仿宋" w:hint="eastAsia"/>
            <w:lang w:eastAsia="zh-CN"/>
          </w:rPr>
          <w:t>(三)、制定完善的风险控制机制</w:t>
        </w:r>
        <w:r>
          <w:tab/>
        </w:r>
        <w:r>
          <w:fldChar w:fldCharType="begin"/>
        </w:r>
        <w:r>
          <w:instrText xml:space="preserve"> PAGEREF _Toc3817 \h </w:instrText>
        </w:r>
        <w:r>
          <w:fldChar w:fldCharType="separate"/>
        </w:r>
        <w:r>
          <w:t>28</w:t>
        </w:r>
        <w:r>
          <w:fldChar w:fldCharType="end"/>
        </w:r>
      </w:hyperlink>
    </w:p>
    <w:p>
      <w:pPr>
        <w:pStyle w:val="TOC2"/>
        <w:tabs>
          <w:tab w:val="right" w:leader="dot" w:pos="8306"/>
        </w:tabs>
      </w:pPr>
      <w:hyperlink w:anchor="_Toc30098" w:history="1">
        <w:r>
          <w:rPr>
            <w:rFonts w:ascii="仿宋" w:eastAsia="仿宋" w:hAnsi="仿宋" w:cs="仿宋" w:hint="eastAsia"/>
            <w:lang w:eastAsia="zh-CN"/>
          </w:rPr>
          <w:t>(四)、优化成本管理</w:t>
        </w:r>
        <w:r>
          <w:tab/>
        </w:r>
        <w:r>
          <w:fldChar w:fldCharType="begin"/>
        </w:r>
        <w:r>
          <w:instrText xml:space="preserve"> PAGEREF _Toc30098 \h </w:instrText>
        </w:r>
        <w:r>
          <w:fldChar w:fldCharType="separate"/>
        </w:r>
        <w:r>
          <w:t>30</w:t>
        </w:r>
        <w:r>
          <w:fldChar w:fldCharType="end"/>
        </w:r>
      </w:hyperlink>
    </w:p>
    <w:p>
      <w:pPr>
        <w:pStyle w:val="TOC1"/>
        <w:tabs>
          <w:tab w:val="right" w:leader="dot" w:pos="8306"/>
        </w:tabs>
      </w:pPr>
      <w:hyperlink w:anchor="_Toc20540" w:history="1">
        <w:r>
          <w:rPr>
            <w:rFonts w:ascii="仿宋" w:eastAsia="仿宋" w:hAnsi="仿宋" w:cs="仿宋" w:hint="eastAsia"/>
            <w:lang w:eastAsia="zh-CN"/>
          </w:rPr>
          <w:t>八、雄激素及同化激素项目经营效益</w:t>
        </w:r>
        <w:r>
          <w:tab/>
        </w:r>
        <w:r>
          <w:fldChar w:fldCharType="begin"/>
        </w:r>
        <w:r>
          <w:instrText xml:space="preserve"> PAGEREF _Toc20540 \h </w:instrText>
        </w:r>
        <w:r>
          <w:fldChar w:fldCharType="separate"/>
        </w:r>
        <w:r>
          <w:t>31</w:t>
        </w:r>
        <w:r>
          <w:fldChar w:fldCharType="end"/>
        </w:r>
      </w:hyperlink>
    </w:p>
    <w:p>
      <w:pPr>
        <w:pStyle w:val="TOC2"/>
        <w:tabs>
          <w:tab w:val="right" w:leader="dot" w:pos="8306"/>
        </w:tabs>
      </w:pPr>
      <w:hyperlink w:anchor="_Toc23359" w:history="1">
        <w:r>
          <w:rPr>
            <w:rFonts w:ascii="仿宋" w:eastAsia="仿宋" w:hAnsi="仿宋" w:cs="仿宋" w:hint="eastAsia"/>
            <w:lang w:eastAsia="zh-CN"/>
          </w:rPr>
          <w:t>(一)、经济评价财务测算</w:t>
        </w:r>
        <w:r>
          <w:tab/>
        </w:r>
        <w:r>
          <w:fldChar w:fldCharType="begin"/>
        </w:r>
        <w:r>
          <w:instrText xml:space="preserve"> PAGEREF _Toc23359 \h </w:instrText>
        </w:r>
        <w:r>
          <w:fldChar w:fldCharType="separate"/>
        </w:r>
        <w:r>
          <w:t>31</w:t>
        </w:r>
        <w:r>
          <w:fldChar w:fldCharType="end"/>
        </w:r>
      </w:hyperlink>
    </w:p>
    <w:p>
      <w:pPr>
        <w:pStyle w:val="TOC2"/>
        <w:tabs>
          <w:tab w:val="right" w:leader="dot" w:pos="8306"/>
        </w:tabs>
      </w:pPr>
      <w:hyperlink w:anchor="_Toc21602" w:history="1">
        <w:r>
          <w:rPr>
            <w:rFonts w:ascii="仿宋" w:eastAsia="仿宋" w:hAnsi="仿宋" w:cs="仿宋" w:hint="eastAsia"/>
            <w:lang w:eastAsia="zh-CN"/>
          </w:rPr>
          <w:t>(二)、雄激素及同化激素项目盈利能力分析</w:t>
        </w:r>
        <w:r>
          <w:tab/>
        </w:r>
        <w:r>
          <w:fldChar w:fldCharType="begin"/>
        </w:r>
        <w:r>
          <w:instrText xml:space="preserve"> PAGEREF _Toc21602 \h </w:instrText>
        </w:r>
        <w:r>
          <w:fldChar w:fldCharType="separate"/>
        </w:r>
        <w:r>
          <w:t>32</w:t>
        </w:r>
        <w:r>
          <w:fldChar w:fldCharType="end"/>
        </w:r>
      </w:hyperlink>
    </w:p>
    <w:p>
      <w:pPr>
        <w:pStyle w:val="TOC1"/>
        <w:tabs>
          <w:tab w:val="right" w:leader="dot" w:pos="8306"/>
        </w:tabs>
      </w:pPr>
      <w:hyperlink w:anchor="_Toc6372" w:history="1">
        <w:r>
          <w:rPr>
            <w:rFonts w:ascii="仿宋" w:eastAsia="仿宋" w:hAnsi="仿宋" w:cs="仿宋" w:hint="eastAsia"/>
            <w:lang w:eastAsia="zh-CN"/>
          </w:rPr>
          <w:t>九、雄激素及同化激素项目财务管理</w:t>
        </w:r>
        <w:r>
          <w:tab/>
        </w:r>
        <w:r>
          <w:fldChar w:fldCharType="begin"/>
        </w:r>
        <w:r>
          <w:instrText xml:space="preserve"> PAGEREF _Toc6372 \h </w:instrText>
        </w:r>
        <w:r>
          <w:fldChar w:fldCharType="separate"/>
        </w:r>
        <w:r>
          <w:t>33</w:t>
        </w:r>
        <w:r>
          <w:fldChar w:fldCharType="end"/>
        </w:r>
      </w:hyperlink>
    </w:p>
    <w:p>
      <w:pPr>
        <w:pStyle w:val="TOC2"/>
        <w:tabs>
          <w:tab w:val="right" w:leader="dot" w:pos="8306"/>
        </w:tabs>
      </w:pPr>
      <w:hyperlink w:anchor="_Toc80" w:history="1">
        <w:r>
          <w:rPr>
            <w:rFonts w:ascii="仿宋" w:eastAsia="仿宋" w:hAnsi="仿宋" w:cs="仿宋" w:hint="eastAsia"/>
            <w:lang w:eastAsia="zh-CN"/>
          </w:rPr>
          <w:t>(一)、资金需求大</w:t>
        </w:r>
        <w:r>
          <w:tab/>
        </w:r>
        <w:r>
          <w:fldChar w:fldCharType="begin"/>
        </w:r>
        <w:r>
          <w:instrText xml:space="preserve"> PAGEREF _Toc80 \h </w:instrText>
        </w:r>
        <w:r>
          <w:fldChar w:fldCharType="separate"/>
        </w:r>
        <w:r>
          <w:t>33</w:t>
        </w:r>
        <w:r>
          <w:fldChar w:fldCharType="end"/>
        </w:r>
      </w:hyperlink>
    </w:p>
    <w:p>
      <w:pPr>
        <w:pStyle w:val="TOC2"/>
        <w:tabs>
          <w:tab w:val="right" w:leader="dot" w:pos="8306"/>
        </w:tabs>
      </w:pPr>
      <w:hyperlink w:anchor="_Toc7459" w:history="1">
        <w:r>
          <w:rPr>
            <w:rFonts w:ascii="仿宋" w:eastAsia="仿宋" w:hAnsi="仿宋" w:cs="仿宋" w:hint="eastAsia"/>
            <w:lang w:eastAsia="zh-CN"/>
          </w:rPr>
          <w:t>(二)、研发周期长</w:t>
        </w:r>
        <w:r>
          <w:tab/>
        </w:r>
        <w:r>
          <w:fldChar w:fldCharType="begin"/>
        </w:r>
        <w:r>
          <w:instrText xml:space="preserve"> PAGEREF _Toc7459 \h </w:instrText>
        </w:r>
        <w:r>
          <w:fldChar w:fldCharType="separate"/>
        </w:r>
        <w:r>
          <w:t>34</w:t>
        </w:r>
        <w:r>
          <w:fldChar w:fldCharType="end"/>
        </w:r>
      </w:hyperlink>
    </w:p>
    <w:p>
      <w:pPr>
        <w:pStyle w:val="TOC2"/>
        <w:tabs>
          <w:tab w:val="right" w:leader="dot" w:pos="8306"/>
        </w:tabs>
      </w:pPr>
      <w:hyperlink w:anchor="_Toc14235" w:history="1">
        <w:r>
          <w:rPr>
            <w:rFonts w:ascii="仿宋" w:eastAsia="仿宋" w:hAnsi="仿宋" w:cs="仿宋" w:hint="eastAsia"/>
            <w:lang w:eastAsia="zh-CN"/>
          </w:rPr>
          <w:t>(三)、市场风险大</w:t>
        </w:r>
        <w:r>
          <w:tab/>
        </w:r>
        <w:r>
          <w:fldChar w:fldCharType="begin"/>
        </w:r>
        <w:r>
          <w:instrText xml:space="preserve"> PAGEREF _Toc14235 \h </w:instrText>
        </w:r>
        <w:r>
          <w:fldChar w:fldCharType="separate"/>
        </w:r>
        <w:r>
          <w:t>36</w:t>
        </w:r>
        <w:r>
          <w:fldChar w:fldCharType="end"/>
        </w:r>
      </w:hyperlink>
    </w:p>
    <w:p>
      <w:pPr>
        <w:pStyle w:val="TOC2"/>
        <w:tabs>
          <w:tab w:val="right" w:leader="dot" w:pos="8306"/>
        </w:tabs>
      </w:pPr>
      <w:hyperlink w:anchor="_Toc5836" w:history="1">
        <w:r>
          <w:rPr>
            <w:rFonts w:ascii="仿宋" w:eastAsia="仿宋" w:hAnsi="仿宋" w:cs="仿宋" w:hint="eastAsia"/>
            <w:lang w:eastAsia="zh-CN"/>
          </w:rPr>
          <w:t>(四)、利润率高</w:t>
        </w:r>
        <w:r>
          <w:tab/>
        </w:r>
        <w:r>
          <w:fldChar w:fldCharType="begin"/>
        </w:r>
        <w:r>
          <w:instrText xml:space="preserve"> PAGEREF _Toc5836 \h </w:instrText>
        </w:r>
        <w:r>
          <w:fldChar w:fldCharType="separate"/>
        </w:r>
        <w:r>
          <w:t>38</w:t>
        </w:r>
        <w:r>
          <w:fldChar w:fldCharType="end"/>
        </w:r>
      </w:hyperlink>
    </w:p>
    <w:p>
      <w:pPr>
        <w:pStyle w:val="TOC1"/>
        <w:tabs>
          <w:tab w:val="right" w:leader="dot" w:pos="8306"/>
        </w:tabs>
      </w:pPr>
      <w:hyperlink w:anchor="_Toc10520" w:history="1">
        <w:r>
          <w:rPr>
            <w:rFonts w:ascii="仿宋" w:eastAsia="仿宋" w:hAnsi="仿宋" w:cs="仿宋" w:hint="eastAsia"/>
            <w:lang w:eastAsia="zh-CN"/>
          </w:rPr>
          <w:t>十、生产安全保护</w:t>
        </w:r>
        <w:r>
          <w:tab/>
        </w:r>
        <w:r>
          <w:fldChar w:fldCharType="begin"/>
        </w:r>
        <w:r>
          <w:instrText xml:space="preserve"> PAGEREF _Toc10520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54" w:history="1">
        <w:r>
          <w:rPr>
            <w:rFonts w:ascii="仿宋" w:eastAsia="仿宋" w:hAnsi="仿宋" w:cs="仿宋" w:hint="eastAsia"/>
            <w:lang w:eastAsia="zh-CN"/>
          </w:rPr>
          <w:t>(一)、消防安全</w:t>
        </w:r>
        <w:r>
          <w:tab/>
        </w:r>
        <w:r>
          <w:fldChar w:fldCharType="begin"/>
        </w:r>
        <w:r>
          <w:instrText xml:space="preserve"> PAGEREF _Toc28554 \h </w:instrText>
        </w:r>
        <w:r>
          <w:fldChar w:fldCharType="separate"/>
        </w:r>
        <w:r>
          <w:t>40</w:t>
        </w:r>
        <w:r>
          <w:fldChar w:fldCharType="end"/>
        </w:r>
      </w:hyperlink>
    </w:p>
    <w:p>
      <w:pPr>
        <w:pStyle w:val="TOC2"/>
        <w:tabs>
          <w:tab w:val="right" w:leader="dot" w:pos="8306"/>
        </w:tabs>
      </w:pPr>
      <w:hyperlink w:anchor="_Toc15717" w:history="1">
        <w:r>
          <w:rPr>
            <w:rFonts w:ascii="仿宋" w:eastAsia="仿宋" w:hAnsi="仿宋" w:cs="仿宋" w:hint="eastAsia"/>
            <w:lang w:eastAsia="zh-CN"/>
          </w:rPr>
          <w:t>(二)、防火防爆总图布置措施</w:t>
        </w:r>
        <w:r>
          <w:tab/>
        </w:r>
        <w:r>
          <w:fldChar w:fldCharType="begin"/>
        </w:r>
        <w:r>
          <w:instrText xml:space="preserve"> PAGEREF _Toc15717 \h </w:instrText>
        </w:r>
        <w:r>
          <w:fldChar w:fldCharType="separate"/>
        </w:r>
        <w:r>
          <w:t>42</w:t>
        </w:r>
        <w:r>
          <w:fldChar w:fldCharType="end"/>
        </w:r>
      </w:hyperlink>
    </w:p>
    <w:p>
      <w:pPr>
        <w:pStyle w:val="TOC2"/>
        <w:tabs>
          <w:tab w:val="right" w:leader="dot" w:pos="8306"/>
        </w:tabs>
      </w:pPr>
      <w:hyperlink w:anchor="_Toc25774" w:history="1">
        <w:r>
          <w:rPr>
            <w:rFonts w:ascii="仿宋" w:eastAsia="仿宋" w:hAnsi="仿宋" w:cs="仿宋" w:hint="eastAsia"/>
            <w:lang w:eastAsia="zh-CN"/>
          </w:rPr>
          <w:t>(三)、自然灾害防范措施</w:t>
        </w:r>
        <w:r>
          <w:tab/>
        </w:r>
        <w:r>
          <w:fldChar w:fldCharType="begin"/>
        </w:r>
        <w:r>
          <w:instrText xml:space="preserve"> PAGEREF _Toc25774 \h </w:instrText>
        </w:r>
        <w:r>
          <w:fldChar w:fldCharType="separate"/>
        </w:r>
        <w:r>
          <w:t>43</w:t>
        </w:r>
        <w:r>
          <w:fldChar w:fldCharType="end"/>
        </w:r>
      </w:hyperlink>
    </w:p>
    <w:p>
      <w:pPr>
        <w:pStyle w:val="TOC2"/>
        <w:tabs>
          <w:tab w:val="right" w:leader="dot" w:pos="8306"/>
        </w:tabs>
      </w:pPr>
      <w:hyperlink w:anchor="_Toc7928" w:history="1">
        <w:r>
          <w:rPr>
            <w:rFonts w:ascii="仿宋" w:eastAsia="仿宋" w:hAnsi="仿宋" w:cs="仿宋" w:hint="eastAsia"/>
            <w:lang w:eastAsia="zh-CN"/>
          </w:rPr>
          <w:t>(四)、安全色及安全标志使用要求</w:t>
        </w:r>
        <w:r>
          <w:tab/>
        </w:r>
        <w:r>
          <w:fldChar w:fldCharType="begin"/>
        </w:r>
        <w:r>
          <w:instrText xml:space="preserve"> PAGEREF _Toc7928 \h </w:instrText>
        </w:r>
        <w:r>
          <w:fldChar w:fldCharType="separate"/>
        </w:r>
        <w:r>
          <w:t>44</w:t>
        </w:r>
        <w:r>
          <w:fldChar w:fldCharType="end"/>
        </w:r>
      </w:hyperlink>
    </w:p>
    <w:p>
      <w:pPr>
        <w:pStyle w:val="TOC2"/>
        <w:tabs>
          <w:tab w:val="right" w:leader="dot" w:pos="8306"/>
        </w:tabs>
      </w:pPr>
      <w:hyperlink w:anchor="_Toc30617" w:history="1">
        <w:r>
          <w:rPr>
            <w:rFonts w:ascii="仿宋" w:eastAsia="仿宋" w:hAnsi="仿宋" w:cs="仿宋" w:hint="eastAsia"/>
            <w:lang w:eastAsia="zh-CN"/>
          </w:rPr>
          <w:t>(五)、防尘防毒措施</w:t>
        </w:r>
        <w:r>
          <w:tab/>
        </w:r>
        <w:r>
          <w:fldChar w:fldCharType="begin"/>
        </w:r>
        <w:r>
          <w:instrText xml:space="preserve"> PAGEREF _Toc30617 \h </w:instrText>
        </w:r>
        <w:r>
          <w:fldChar w:fldCharType="separate"/>
        </w:r>
        <w:r>
          <w:t>45</w:t>
        </w:r>
        <w:r>
          <w:fldChar w:fldCharType="end"/>
        </w:r>
      </w:hyperlink>
    </w:p>
    <w:p>
      <w:pPr>
        <w:pStyle w:val="TOC2"/>
        <w:tabs>
          <w:tab w:val="right" w:leader="dot" w:pos="8306"/>
        </w:tabs>
      </w:pPr>
      <w:hyperlink w:anchor="_Toc20325" w:history="1">
        <w:r>
          <w:rPr>
            <w:rFonts w:ascii="仿宋" w:eastAsia="仿宋" w:hAnsi="仿宋" w:cs="仿宋" w:hint="eastAsia"/>
            <w:lang w:eastAsia="zh-CN"/>
          </w:rPr>
          <w:t>(六)、防静电、触电防护及防雷措施</w:t>
        </w:r>
        <w:r>
          <w:tab/>
        </w:r>
        <w:r>
          <w:fldChar w:fldCharType="begin"/>
        </w:r>
        <w:r>
          <w:instrText xml:space="preserve"> PAGEREF _Toc20325 \h </w:instrText>
        </w:r>
        <w:r>
          <w:fldChar w:fldCharType="separate"/>
        </w:r>
        <w:r>
          <w:t>46</w:t>
        </w:r>
        <w:r>
          <w:fldChar w:fldCharType="end"/>
        </w:r>
      </w:hyperlink>
    </w:p>
    <w:p>
      <w:pPr>
        <w:pStyle w:val="TOC2"/>
        <w:tabs>
          <w:tab w:val="right" w:leader="dot" w:pos="8306"/>
        </w:tabs>
      </w:pPr>
      <w:hyperlink w:anchor="_Toc31332" w:history="1">
        <w:r>
          <w:rPr>
            <w:rFonts w:ascii="仿宋" w:eastAsia="仿宋" w:hAnsi="仿宋" w:cs="仿宋" w:hint="eastAsia"/>
            <w:lang w:eastAsia="zh-CN"/>
          </w:rPr>
          <w:t>(七)、机械设备安全保障措施</w:t>
        </w:r>
        <w:r>
          <w:tab/>
        </w:r>
        <w:r>
          <w:fldChar w:fldCharType="begin"/>
        </w:r>
        <w:r>
          <w:instrText xml:space="preserve"> PAGEREF _Toc31332 \h </w:instrText>
        </w:r>
        <w:r>
          <w:fldChar w:fldCharType="separate"/>
        </w:r>
        <w:r>
          <w:t>47</w:t>
        </w:r>
        <w:r>
          <w:fldChar w:fldCharType="end"/>
        </w:r>
      </w:hyperlink>
    </w:p>
    <w:p>
      <w:pPr>
        <w:pStyle w:val="TOC1"/>
        <w:tabs>
          <w:tab w:val="right" w:leader="dot" w:pos="8306"/>
        </w:tabs>
      </w:pPr>
      <w:hyperlink w:anchor="_Toc7152" w:history="1">
        <w:r>
          <w:rPr>
            <w:rFonts w:ascii="仿宋" w:eastAsia="仿宋" w:hAnsi="仿宋" w:cs="仿宋" w:hint="eastAsia"/>
            <w:lang w:eastAsia="zh-CN"/>
          </w:rPr>
          <w:t>十一、雄激素及同化激素项目创新与研发</w:t>
        </w:r>
        <w:r>
          <w:tab/>
        </w:r>
        <w:r>
          <w:fldChar w:fldCharType="begin"/>
        </w:r>
        <w:r>
          <w:instrText xml:space="preserve"> PAGEREF _Toc7152 \h </w:instrText>
        </w:r>
        <w:r>
          <w:fldChar w:fldCharType="separate"/>
        </w:r>
        <w:r>
          <w:t>49</w:t>
        </w:r>
        <w:r>
          <w:fldChar w:fldCharType="end"/>
        </w:r>
      </w:hyperlink>
    </w:p>
    <w:p>
      <w:pPr>
        <w:pStyle w:val="TOC2"/>
        <w:tabs>
          <w:tab w:val="right" w:leader="dot" w:pos="8306"/>
        </w:tabs>
      </w:pPr>
      <w:hyperlink w:anchor="_Toc25252" w:history="1">
        <w:r>
          <w:rPr>
            <w:rFonts w:ascii="仿宋" w:eastAsia="仿宋" w:hAnsi="仿宋" w:cs="仿宋" w:hint="eastAsia"/>
            <w:lang w:eastAsia="zh-CN"/>
          </w:rPr>
          <w:t>(一)、创新策略与方向</w:t>
        </w:r>
        <w:r>
          <w:tab/>
        </w:r>
        <w:r>
          <w:fldChar w:fldCharType="begin"/>
        </w:r>
        <w:r>
          <w:instrText xml:space="preserve"> PAGEREF _Toc25252 \h </w:instrText>
        </w:r>
        <w:r>
          <w:fldChar w:fldCharType="separate"/>
        </w:r>
        <w:r>
          <w:t>49</w:t>
        </w:r>
        <w:r>
          <w:fldChar w:fldCharType="end"/>
        </w:r>
      </w:hyperlink>
    </w:p>
    <w:p>
      <w:pPr>
        <w:pStyle w:val="TOC2"/>
        <w:tabs>
          <w:tab w:val="right" w:leader="dot" w:pos="8306"/>
        </w:tabs>
      </w:pPr>
      <w:hyperlink w:anchor="_Toc5040" w:history="1">
        <w:r>
          <w:rPr>
            <w:rFonts w:ascii="仿宋" w:eastAsia="仿宋" w:hAnsi="仿宋" w:cs="仿宋" w:hint="eastAsia"/>
            <w:lang w:eastAsia="zh-CN"/>
          </w:rPr>
          <w:t>(二)、研发规划与投入</w:t>
        </w:r>
        <w:r>
          <w:tab/>
        </w:r>
        <w:r>
          <w:fldChar w:fldCharType="begin"/>
        </w:r>
        <w:r>
          <w:instrText xml:space="preserve"> PAGEREF _Toc5040 \h </w:instrText>
        </w:r>
        <w:r>
          <w:fldChar w:fldCharType="separate"/>
        </w:r>
        <w:r>
          <w:t>50</w:t>
        </w:r>
        <w:r>
          <w:fldChar w:fldCharType="end"/>
        </w:r>
      </w:hyperlink>
    </w:p>
    <w:p>
      <w:pPr>
        <w:pStyle w:val="TOC1"/>
        <w:tabs>
          <w:tab w:val="right" w:leader="dot" w:pos="8306"/>
        </w:tabs>
      </w:pPr>
      <w:hyperlink w:anchor="_Toc7045" w:history="1">
        <w:r>
          <w:rPr>
            <w:rFonts w:ascii="仿宋" w:eastAsia="仿宋" w:hAnsi="仿宋" w:cs="仿宋" w:hint="eastAsia"/>
            <w:lang w:eastAsia="zh-CN"/>
          </w:rPr>
          <w:t>十二、雄激素及同化激素项目技术管理</w:t>
        </w:r>
        <w:r>
          <w:tab/>
        </w:r>
        <w:r>
          <w:fldChar w:fldCharType="begin"/>
        </w:r>
        <w:r>
          <w:instrText xml:space="preserve"> PAGEREF _Toc7045 \h </w:instrText>
        </w:r>
        <w:r>
          <w:fldChar w:fldCharType="separate"/>
        </w:r>
        <w:r>
          <w:t>52</w:t>
        </w:r>
        <w:r>
          <w:fldChar w:fldCharType="end"/>
        </w:r>
      </w:hyperlink>
    </w:p>
    <w:p>
      <w:pPr>
        <w:pStyle w:val="TOC2"/>
        <w:tabs>
          <w:tab w:val="right" w:leader="dot" w:pos="8306"/>
        </w:tabs>
      </w:pPr>
      <w:hyperlink w:anchor="_Toc29644" w:history="1">
        <w:r>
          <w:rPr>
            <w:rFonts w:ascii="仿宋" w:eastAsia="仿宋" w:hAnsi="仿宋" w:cs="仿宋" w:hint="eastAsia"/>
            <w:lang w:eastAsia="zh-CN"/>
          </w:rPr>
          <w:t>(一)、技术方案选用方向</w:t>
        </w:r>
        <w:r>
          <w:tab/>
        </w:r>
        <w:r>
          <w:fldChar w:fldCharType="begin"/>
        </w:r>
        <w:r>
          <w:instrText xml:space="preserve"> PAGEREF _Toc29644 \h </w:instrText>
        </w:r>
        <w:r>
          <w:fldChar w:fldCharType="separate"/>
        </w:r>
        <w:r>
          <w:t>52</w:t>
        </w:r>
        <w:r>
          <w:fldChar w:fldCharType="end"/>
        </w:r>
      </w:hyperlink>
    </w:p>
    <w:p>
      <w:pPr>
        <w:pStyle w:val="TOC2"/>
        <w:tabs>
          <w:tab w:val="right" w:leader="dot" w:pos="8306"/>
        </w:tabs>
      </w:pPr>
      <w:hyperlink w:anchor="_Toc6548" w:history="1">
        <w:r>
          <w:rPr>
            <w:rFonts w:ascii="仿宋" w:eastAsia="仿宋" w:hAnsi="仿宋" w:cs="仿宋" w:hint="eastAsia"/>
            <w:lang w:eastAsia="zh-CN"/>
          </w:rPr>
          <w:t>(二)、工艺技术方案选用原则</w:t>
        </w:r>
        <w:r>
          <w:tab/>
        </w:r>
        <w:r>
          <w:fldChar w:fldCharType="begin"/>
        </w:r>
        <w:r>
          <w:instrText xml:space="preserve"> PAGEREF _Toc6548 \h </w:instrText>
        </w:r>
        <w:r>
          <w:fldChar w:fldCharType="separate"/>
        </w:r>
        <w:r>
          <w:t>54</w:t>
        </w:r>
        <w:r>
          <w:fldChar w:fldCharType="end"/>
        </w:r>
      </w:hyperlink>
    </w:p>
    <w:p>
      <w:pPr>
        <w:pStyle w:val="TOC2"/>
        <w:tabs>
          <w:tab w:val="right" w:leader="dot" w:pos="8306"/>
        </w:tabs>
      </w:pPr>
      <w:hyperlink w:anchor="_Toc25240" w:history="1">
        <w:r>
          <w:rPr>
            <w:rFonts w:ascii="仿宋" w:eastAsia="仿宋" w:hAnsi="仿宋" w:cs="仿宋" w:hint="eastAsia"/>
            <w:lang w:eastAsia="zh-CN"/>
          </w:rPr>
          <w:t>(三)、工艺技术方案要求</w:t>
        </w:r>
        <w:r>
          <w:tab/>
        </w:r>
        <w:r>
          <w:fldChar w:fldCharType="begin"/>
        </w:r>
        <w:r>
          <w:instrText xml:space="preserve"> PAGEREF _Toc25240 \h </w:instrText>
        </w:r>
        <w:r>
          <w:fldChar w:fldCharType="separate"/>
        </w:r>
        <w:r>
          <w:t>56</w:t>
        </w:r>
        <w:r>
          <w:fldChar w:fldCharType="end"/>
        </w:r>
      </w:hyperlink>
    </w:p>
    <w:p>
      <w:pPr>
        <w:pStyle w:val="TOC1"/>
        <w:tabs>
          <w:tab w:val="right" w:leader="dot" w:pos="8306"/>
        </w:tabs>
      </w:pPr>
      <w:hyperlink w:anchor="_Toc17895" w:history="1">
        <w:r>
          <w:rPr>
            <w:rFonts w:ascii="仿宋" w:eastAsia="仿宋" w:hAnsi="仿宋" w:cs="仿宋" w:hint="eastAsia"/>
            <w:lang w:eastAsia="zh-CN"/>
          </w:rPr>
          <w:t>十三、供应链管理</w:t>
        </w:r>
        <w:r>
          <w:tab/>
        </w:r>
        <w:r>
          <w:fldChar w:fldCharType="begin"/>
        </w:r>
        <w:r>
          <w:instrText xml:space="preserve"> PAGEREF _Toc17895 \h </w:instrText>
        </w:r>
        <w:r>
          <w:fldChar w:fldCharType="separate"/>
        </w:r>
        <w:r>
          <w:t>58</w:t>
        </w:r>
        <w:r>
          <w:fldChar w:fldCharType="end"/>
        </w:r>
      </w:hyperlink>
    </w:p>
    <w:p>
      <w:pPr>
        <w:pStyle w:val="TOC2"/>
        <w:tabs>
          <w:tab w:val="right" w:leader="dot" w:pos="8306"/>
        </w:tabs>
      </w:pPr>
      <w:hyperlink w:anchor="_Toc22682" w:history="1">
        <w:r>
          <w:rPr>
            <w:rFonts w:ascii="仿宋" w:eastAsia="仿宋" w:hAnsi="仿宋" w:cs="仿宋" w:hint="eastAsia"/>
            <w:lang w:eastAsia="zh-CN"/>
          </w:rPr>
          <w:t>(一)、供应链战略规划</w:t>
        </w:r>
        <w:r>
          <w:tab/>
        </w:r>
        <w:r>
          <w:fldChar w:fldCharType="begin"/>
        </w:r>
        <w:r>
          <w:instrText xml:space="preserve"> PAGEREF _Toc22682 \h </w:instrText>
        </w:r>
        <w:r>
          <w:fldChar w:fldCharType="separate"/>
        </w:r>
        <w:r>
          <w:t>58</w:t>
        </w:r>
        <w:r>
          <w:fldChar w:fldCharType="end"/>
        </w:r>
      </w:hyperlink>
    </w:p>
    <w:p>
      <w:pPr>
        <w:pStyle w:val="TOC2"/>
        <w:tabs>
          <w:tab w:val="right" w:leader="dot" w:pos="8306"/>
        </w:tabs>
      </w:pPr>
      <w:hyperlink w:anchor="_Toc17292" w:history="1">
        <w:r>
          <w:rPr>
            <w:rFonts w:ascii="仿宋" w:eastAsia="仿宋" w:hAnsi="仿宋" w:cs="仿宋" w:hint="eastAsia"/>
            <w:lang w:eastAsia="zh-CN"/>
          </w:rPr>
          <w:t>(二)、供应商选择与合作</w:t>
        </w:r>
        <w:r>
          <w:tab/>
        </w:r>
        <w:r>
          <w:fldChar w:fldCharType="begin"/>
        </w:r>
        <w:r>
          <w:instrText xml:space="preserve"> PAGEREF _Toc17292 \h </w:instrText>
        </w:r>
        <w:r>
          <w:fldChar w:fldCharType="separate"/>
        </w:r>
        <w:r>
          <w:t>60</w:t>
        </w:r>
        <w:r>
          <w:fldChar w:fldCharType="end"/>
        </w:r>
      </w:hyperlink>
    </w:p>
    <w:p>
      <w:pPr>
        <w:pStyle w:val="TOC2"/>
        <w:tabs>
          <w:tab w:val="right" w:leader="dot" w:pos="8306"/>
        </w:tabs>
      </w:pPr>
      <w:hyperlink w:anchor="_Toc20165" w:history="1">
        <w:r>
          <w:rPr>
            <w:rFonts w:ascii="仿宋" w:eastAsia="仿宋" w:hAnsi="仿宋" w:cs="仿宋" w:hint="eastAsia"/>
            <w:lang w:eastAsia="zh-CN"/>
          </w:rPr>
          <w:t>(三)、物流与库存管理</w:t>
        </w:r>
        <w:r>
          <w:tab/>
        </w:r>
        <w:r>
          <w:fldChar w:fldCharType="begin"/>
        </w:r>
        <w:r>
          <w:instrText xml:space="preserve"> PAGEREF _Toc20165 \h </w:instrText>
        </w:r>
        <w:r>
          <w:fldChar w:fldCharType="separate"/>
        </w:r>
        <w:r>
          <w:t>61</w:t>
        </w:r>
        <w:r>
          <w:fldChar w:fldCharType="end"/>
        </w:r>
      </w:hyperlink>
    </w:p>
    <w:p>
      <w:pPr>
        <w:pStyle w:val="TOC1"/>
        <w:tabs>
          <w:tab w:val="right" w:leader="dot" w:pos="8306"/>
        </w:tabs>
      </w:pPr>
      <w:hyperlink w:anchor="_Toc26978" w:history="1">
        <w:r>
          <w:rPr>
            <w:rFonts w:ascii="仿宋" w:eastAsia="仿宋" w:hAnsi="仿宋" w:cs="仿宋" w:hint="eastAsia"/>
            <w:lang w:eastAsia="zh-CN"/>
          </w:rPr>
          <w:t>十四、利益相关者分析与沟通计划</w:t>
        </w:r>
        <w:r>
          <w:tab/>
        </w:r>
        <w:r>
          <w:fldChar w:fldCharType="begin"/>
        </w:r>
        <w:r>
          <w:instrText xml:space="preserve"> PAGEREF _Toc26978 \h </w:instrText>
        </w:r>
        <w:r>
          <w:fldChar w:fldCharType="separate"/>
        </w:r>
        <w:r>
          <w:t>62</w:t>
        </w:r>
        <w:r>
          <w:fldChar w:fldCharType="end"/>
        </w:r>
      </w:hyperlink>
    </w:p>
    <w:p>
      <w:pPr>
        <w:pStyle w:val="TOC2"/>
        <w:tabs>
          <w:tab w:val="right" w:leader="dot" w:pos="8306"/>
        </w:tabs>
      </w:pPr>
      <w:hyperlink w:anchor="_Toc17249" w:history="1">
        <w:r>
          <w:rPr>
            <w:rFonts w:ascii="仿宋" w:eastAsia="仿宋" w:hAnsi="仿宋" w:cs="仿宋" w:hint="eastAsia"/>
            <w:lang w:eastAsia="zh-CN"/>
          </w:rPr>
          <w:t>(一)、利益相关者分析</w:t>
        </w:r>
        <w:r>
          <w:tab/>
        </w:r>
        <w:r>
          <w:fldChar w:fldCharType="begin"/>
        </w:r>
        <w:r>
          <w:instrText xml:space="preserve"> PAGEREF _Toc17249 \h </w:instrText>
        </w:r>
        <w:r>
          <w:fldChar w:fldCharType="separate"/>
        </w:r>
        <w:r>
          <w:t>62</w:t>
        </w:r>
        <w:r>
          <w:fldChar w:fldCharType="end"/>
        </w:r>
      </w:hyperlink>
    </w:p>
    <w:p>
      <w:pPr>
        <w:pStyle w:val="TOC2"/>
        <w:tabs>
          <w:tab w:val="right" w:leader="dot" w:pos="8306"/>
        </w:tabs>
      </w:pPr>
      <w:hyperlink w:anchor="_Toc23500" w:history="1">
        <w:r>
          <w:rPr>
            <w:rFonts w:ascii="仿宋" w:eastAsia="仿宋" w:hAnsi="仿宋" w:cs="仿宋" w:hint="eastAsia"/>
            <w:lang w:eastAsia="zh-CN"/>
          </w:rPr>
          <w:t>(二)、沟通计划</w:t>
        </w:r>
        <w:r>
          <w:tab/>
        </w:r>
        <w:r>
          <w:fldChar w:fldCharType="begin"/>
        </w:r>
        <w:r>
          <w:instrText xml:space="preserve"> PAGEREF _Toc23500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566"/>
      <w:r>
        <w:rPr>
          <w:rFonts w:ascii="仿宋" w:eastAsia="仿宋" w:hAnsi="仿宋" w:cs="仿宋" w:hint="eastAsia"/>
          <w:sz w:val="28"/>
          <w:lang w:eastAsia="zh-CN"/>
        </w:rPr>
        <w:t>一、雄激素及同化激素项目绩效评估</w:t>
      </w:r>
      <w:bookmarkEnd w:id="2"/>
    </w:p>
    <w:p>
      <w:pPr>
        <w:pStyle w:val="Heading2"/>
        <w:rPr>
          <w:rFonts w:ascii="仿宋" w:eastAsia="仿宋" w:hAnsi="仿宋" w:cs="仿宋" w:hint="eastAsia"/>
          <w:lang w:eastAsia="zh-CN"/>
        </w:rPr>
      </w:pPr>
      <w:bookmarkStart w:id="3" w:name="_Toc2488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雄激素及同化激素项目中，我们设计了一套全面的绩效评估指标，以确保雄激素及同化激素项目的可控和成功交付。这些指标跨足雄激素及同化激素项目目标、成本、进度和质量等多个维度，为我们提供了全面洞察雄激素及同化激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项目目标达成率是我们关注的首要指标。我们设定了明确的目标，并通过定期监测和评估，迅速发现并应对潜在的目标偏差。这为雄激素及同化激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成本绩效是另一个核心关注点。通过实际成本与预算成本的对比分析，我们深入了解成本差异的原因，及时调整资源分配，保持雄激素及同化激素项目在经济效益方面的合理水平。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项目进度作为关键的绩效指标之一，得到了精心的关注。我们制定了详细的雄激素及同化激素项目进度计划，并设立了进度符合度指标，确保实际进度与计划进度保持一致。这使我们能够快速发现和解决潜在的进度问题，保持雄激素及同化激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雄激素及同化激素项目绩效的不可或缺的一环。我们引入了一系列的质量标准和客户满意度指标，以确保雄激素及同化激素项目交付的成果在质量上达到或超越预期水平。通过持续监测这些指标，我们努力提升雄激素及同化激素项目整体质量水平，为雄激素及同化激素项目的成功交付提供有力保障。通过这些科学且全面的绩效评估，我们能够更好地引导雄激素及同化激素项目的持续改进，确保雄激素及同化激素项目目标的顺利达成。</w:t>
      </w:r>
    </w:p>
    <w:p>
      <w:pPr>
        <w:pStyle w:val="Heading2"/>
        <w:ind w:firstLine="560" w:firstLineChars="200"/>
        <w:rPr>
          <w:rFonts w:ascii="仿宋" w:eastAsia="仿宋" w:hAnsi="仿宋" w:cs="仿宋" w:hint="eastAsia"/>
          <w:sz w:val="28"/>
          <w:lang w:eastAsia="zh-CN"/>
        </w:rPr>
      </w:pPr>
      <w:bookmarkStart w:id="4" w:name="_Toc461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绩效评估是雄激素及同化激素项目中的关键环节，为确保雄激素及同化激素项目达到预期目标，我们采用了多层次、多维度的绩效评估方法。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雄激素及同化激素项目的战略目标对齐，确保每个决策和行动都与雄激素及同化激素项目整体目标保持一致。团队会定期召开战略对齐会议，审视当前工作与雄激素及同化激素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雄激素及同化激素项目进度、质量、成本和风险等方面。这些指标通过数据收集和分析，为雄激素及同化激素项目管理团队提供了客观的评估依据。例如，我们通过雄激素及同化激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雄激素及同化激素项目内部，还考虑了雄激素及同化激素项目对外部环境的影响。我们定期进行干系人满意度调查，以了解各利益相关方对雄激素及同化激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这种多层次、多角度的绩效评估方法，使得我们能够全面了解雄激素及同化激素项目的运行状态，及时做出调整，确保雄激素及同化激素项目在不断变化的环境中保持稳健前行。</w:t>
      </w:r>
    </w:p>
    <w:p>
      <w:pPr>
        <w:pStyle w:val="Heading2"/>
        <w:ind w:firstLine="560" w:firstLineChars="200"/>
        <w:rPr>
          <w:rFonts w:ascii="仿宋" w:eastAsia="仿宋" w:hAnsi="仿宋" w:cs="仿宋" w:hint="eastAsia"/>
          <w:sz w:val="28"/>
          <w:lang w:eastAsia="zh-CN"/>
        </w:rPr>
      </w:pPr>
      <w:bookmarkStart w:id="5" w:name="_Toc3178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为了确保雄激素及同化激素项目的有效管理和不断优化，我们采用了精心设计的绩效评估周期。这个周期旨在实现灵活、实时和全面的评估，以适应雄激素及同化激素项目执行中的各种挑战。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雄激素及同化激素项目的不同需求，分为短期、中期和长期。短期评估关注每个迭代或工作周期，以及时发现和解决当前任务中的问题。中期评估涵盖几个迭代，深入了解整体雄激素及同化激素项目的趋势和性能。长期评估则着眼于整个雄激素及同化激素项目阶段，确保雄激素及同化激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雄激素及同化激素项目管理工具和协作平台，团队成员能够随时更新和分享雄激素及同化激素项目数据。这种实时性的反馈机制使我们能够及时察觉潜在问题，快速调整，保持雄激素及同化激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雄激素及同化激素项目的决策制定密不可分。每个周期的雄激素及同化激素项目回顾会议成为集体总结经验、识别问题深层次原因并找到创新解决方案的平台。这种定期的反思与调整机制使雄激素及同化激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693"/>
      <w:r>
        <w:rPr>
          <w:rFonts w:ascii="仿宋" w:eastAsia="仿宋" w:hAnsi="仿宋" w:cs="仿宋" w:hint="eastAsia"/>
          <w:sz w:val="28"/>
          <w:lang w:eastAsia="zh-CN"/>
        </w:rPr>
        <w:t>二、雄激素及同化激素项目文档管理</w:t>
      </w:r>
      <w:bookmarkEnd w:id="6"/>
    </w:p>
    <w:p>
      <w:pPr>
        <w:pStyle w:val="Heading2"/>
        <w:rPr>
          <w:rFonts w:ascii="仿宋" w:eastAsia="仿宋" w:hAnsi="仿宋" w:cs="仿宋" w:hint="eastAsia"/>
          <w:lang w:eastAsia="zh-CN"/>
        </w:rPr>
      </w:pPr>
      <w:bookmarkStart w:id="7" w:name="_Toc13813"/>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雄激素及同化激素项目高度重视文档的质量和准确性，以支持雄激素及同化激素项目的各项活动和决策。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项目文档的编制始于雄激素及同化激素项目计划的初期，我们制定了详细的文档编制计划，明确了每个文档的内容、格式和编写责任人。在雄激素及同化激素项目启动阶段，我们首先编制了雄激素及同化激素项目章程，明确定义了雄激素及同化激素项目的目标、范围、风险等关键要素。随后，雄激素及同化激素项目团队根据计划陆续编制了需求文档、设计文档、测试文档等各类文档，确保雄激素及同化激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雄激素及同化激素项目管理中的重要环节，旨在确保雄激素及同化激素项目文档符合质量标准和雄激素及同化激素项目需求。在雄激素及同化激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雄激素及同化激素项目相关利益方和专业领域的专家对文档进行独立审查。这有助于获取更全面、客观的反馈，确保雄激素及同化激素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项目在文档编制与审查方面建立了严格的管理机制，通过规范的流程和多维度的审查，确保雄激素及同化激素项目文档的质量、准确性和可靠性，为雄激素及同化激素项目的顺利推进提供了有力支持。</w:t>
      </w:r>
    </w:p>
    <w:p>
      <w:pPr>
        <w:pStyle w:val="Heading2"/>
        <w:ind w:firstLine="560" w:firstLineChars="200"/>
        <w:rPr>
          <w:rFonts w:ascii="仿宋" w:eastAsia="仿宋" w:hAnsi="仿宋" w:cs="仿宋" w:hint="eastAsia"/>
          <w:sz w:val="28"/>
          <w:lang w:eastAsia="zh-CN"/>
        </w:rPr>
      </w:pPr>
      <w:bookmarkStart w:id="8" w:name="_Toc494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在雄激素及同化激素项目中，我们致力于优化文档发布与分发过程，以确保信息的高效传递和团队间协作的顺畅进行。以下是我们采取的关键优化策略：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我们通过多渠道发布文档，包括电子邮件、雄激素及同化激素项目管理平台、内部网站等，以满足不同团队成员的偏好和需求。多渠道发布确保了信息的全面覆盖。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我们采用了精细的权限控制，确保只有授权人员可以访问敏感信息。这种安全措施保护了雄激素及同化激素项目文档的机密性，防止了未经授权的信息泄露。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9398"/>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雄激素及同化激素项目生命周期中一个至关重要的环节，直接关系到雄激素及同化激素项目信息的长期保存和历史记录的完整性。在雄激素及同化激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5196"/>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9046"/>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雄激素及同化激素项目的技术管理特点体现在其创新导向。通过引入最先进的技术趋势和解决方案，雄激素及同化激素项目致力于提升科技含量、提高质量和效率水平。这意味着我们将采用最新的工具和方法，确保雄激素及同化激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雄激素及同化激素项目技术管理的显著特征。通过整合不同领域的技术资源，我们实现了跨学科的协同工作。这有助于优化技术架构，提高整体效能。此外，整合性策略还促进了不同技术团队之间的紧密沟通和高效合作，确保雄激素及同化激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雄激素及同化激素项目所采用的技术。通过不断优化技术方案，雄激素及同化激素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雄激素及同化激素项目团队将在雄激素及同化激素项目初期识别可能的技术风险，并采取相应的预防和应对措施。通过建立健全的风险评估机制，雄激素及同化激素项目能够在实施过程中及时发现并解决潜在的技术问题，保障雄激素及同化激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雄激素及同化激素项目中，技术将成为雄激素及同化激素项目成功的有力支持。这一深度剖析揭示了技术管理在雄激素及同化激素项目实施中的关键作用，为雄激素及同化激素项目的技术基础奠定了坚实的基础。</w:t>
      </w:r>
    </w:p>
    <w:p>
      <w:pPr>
        <w:pStyle w:val="Heading2"/>
        <w:ind w:firstLine="560" w:firstLineChars="200"/>
        <w:rPr>
          <w:rFonts w:ascii="仿宋" w:eastAsia="仿宋" w:hAnsi="仿宋" w:cs="仿宋" w:hint="eastAsia"/>
          <w:sz w:val="28"/>
          <w:lang w:eastAsia="zh-CN"/>
        </w:rPr>
      </w:pPr>
      <w:bookmarkStart w:id="12" w:name="_Toc2741"/>
      <w:r>
        <w:rPr>
          <w:rFonts w:ascii="仿宋" w:eastAsia="仿宋" w:hAnsi="仿宋" w:cs="仿宋" w:hint="eastAsia"/>
          <w:sz w:val="28"/>
          <w:lang w:eastAsia="zh-CN"/>
        </w:rPr>
        <w:t>(二)、雄激素及同化激素项目工艺技术设计方案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雄激素及同化激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雄激素及同化激素项目将严格按照相关行业规范要求进行组织。通过有效控制产品质量，雄激素及同化激素项目将致力于为顾客提供优质的雄激素及同化激素项目产品和良好的服务。这体现了雄激素及同化激素项目对于生产活动合规性和质量标准的高度重视，为雄激素及同化激素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雄激素及同化激素项目注重生态效益和清洁生产原则。雄激素及同化激素项目建设将紧密结合地方特色经济发展，与社会经济发展规划和区域环境保护规划方案相协调一致。通过与当地区域自然生态系统的结合，雄激素及同化激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雄激素及同化激素项目产品具有多样化的客户需求和个性化的特点。因此，雄激素及同化激素项目产品规格品种多样，且单批生产数量较小。为满足这一特点，雄激素及同化激素项目承办单位将建设先进的柔性制造生产线。通过广泛应用柔性制造技术，雄激素及同化激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雄激素及同化激素项目采用的技术具有较高的技术含量和自动化水平，处于国内先进水平。这一技术选用不仅体现了对生产效率、质量和环境友好性的高标准要求，同时为雄激素及同化激素项目的可持续发展奠定了坚实的基础。</w:t>
      </w:r>
    </w:p>
    <w:p>
      <w:pPr>
        <w:pStyle w:val="Heading2"/>
        <w:ind w:firstLine="560" w:firstLineChars="200"/>
        <w:rPr>
          <w:rFonts w:ascii="仿宋" w:eastAsia="仿宋" w:hAnsi="仿宋" w:cs="仿宋" w:hint="eastAsia"/>
          <w:sz w:val="28"/>
          <w:lang w:eastAsia="zh-CN"/>
        </w:rPr>
      </w:pPr>
      <w:bookmarkStart w:id="13" w:name="_Toc19398"/>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为确保雄激素及同化激素项目的高效生产和技术实施，我们制定了一套精心设计的设备选型方案，以满足雄激素及同化激素项目生产、质量和环保的要求。该方案的主要特点如下：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雄激素及同化激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针对雄激素及同化激素项目产品的多样性和小批量生产的特点，我们将建设柔性制造生产线。通过在设备选型中考虑柔性制造技术，可以灵活应对不同产品规格和生产需求，实现生产线的高度灵活性和适应性。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647"/>
      <w:r>
        <w:rPr>
          <w:rFonts w:ascii="仿宋" w:eastAsia="仿宋" w:hAnsi="仿宋" w:cs="仿宋" w:hint="eastAsia"/>
          <w:sz w:val="28"/>
          <w:lang w:eastAsia="zh-CN"/>
        </w:rPr>
        <w:t>四、雄激素及同化激素项目选址可行性分析</w:t>
      </w:r>
      <w:bookmarkEnd w:id="14"/>
    </w:p>
    <w:p>
      <w:pPr>
        <w:pStyle w:val="Heading2"/>
        <w:rPr>
          <w:rFonts w:ascii="仿宋" w:eastAsia="仿宋" w:hAnsi="仿宋" w:cs="仿宋" w:hint="eastAsia"/>
          <w:lang w:eastAsia="zh-CN"/>
        </w:rPr>
      </w:pPr>
      <w:bookmarkStart w:id="15" w:name="_Toc12444"/>
      <w:r>
        <w:rPr>
          <w:rFonts w:ascii="仿宋" w:eastAsia="仿宋" w:hAnsi="仿宋" w:cs="仿宋" w:hint="eastAsia"/>
          <w:lang w:eastAsia="zh-CN"/>
        </w:rPr>
        <w:t>(一)、雄激素及同化激素项目选址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该雄激素及同化激素项目选址位于XX省XX市XX区XXX街道</w:t>
      </w:r>
    </w:p>
    <w:p>
      <w:pPr>
        <w:pStyle w:val="Heading2"/>
        <w:ind w:firstLine="560" w:firstLineChars="200"/>
        <w:rPr>
          <w:rFonts w:ascii="仿宋" w:eastAsia="仿宋" w:hAnsi="仿宋" w:cs="仿宋" w:hint="eastAsia"/>
          <w:sz w:val="28"/>
          <w:lang w:eastAsia="zh-CN"/>
        </w:rPr>
      </w:pPr>
      <w:bookmarkStart w:id="16" w:name="_Toc1196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雄激素及同化激素项目的征地面积将根据雄激素及同化激素项目的实际规模和需求进行精确规划。具体面积XXX平方米，旨在确保雄激素及同化激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净用地面积是在征地面积基础上去除不可利用面积后的实际可开发用地。具体面积XXX平方米，考虑到环保、交通、安全等多方面因素，以确保雄激素及同化激素项目在整体利用效率上达到最优。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雄激素及同化激素项目计划建设的建筑总规模具体面积XXX平方米。这一规模的确定综合考虑了雄激素及同化激素项目的性质、规模，以及城市规划的相关要求，确保建筑布局与周边环境协调一致。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绿地率： 绿地率是雄激素及同化激素项目用地中被规划为绿地的比例。具体面积XXX平方米，旨在通过合理规划绿地，改善雄激素及同化激素项目周边环境，提升居民生活质量，并符合城市整体绿化规划。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容积率是用地上可以建设的建筑总体积与用地面积之比。具体面积XXX，通过合理的容积率规划，确保雄激素及同化激素项目建筑规模与周边环境和谐共生。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雄激素及同化激素项目选址与当地城市规划相一致，具体面积XXX平方米。通过与城市规划部门深入沟通，确保雄激素及同化激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雄激素及同化激素项目选址符合当地产业政策，具体面积XXX平方米。这包括雄激素及同化激素项目对当地经济的促进作用，以及对相关产业的带动效应，确保雄激素及同化激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用地总体要求必须符合环保和可持续发展的原则，具体面积XXX平方米。通过采用绿色建筑设计、节能减排等措施，确保雄激素及同化激素项目在建设和运营过程中对环境的影响最小化，达到可持续发展的要求。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确保雄激素及同化激素项目选址具备必要的公共设施配套，具体面积XXX平方米。这包括交通便利性、教育、医疗等基础设施，以提高居民生活品质，使得雄激素及同化激素项目选址更具吸引力。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考虑用地总体要求对当地社会稳定性的影响，具体面积XXX平方米。通过深入了解当地社区反馈，确保雄激素及同化激素项目的选址和建设过程对当地社会和谐稳定产生积极作用。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雄激素及同化激素项目选址不仅符合法规和规划，还在实际操作中具有可行性。这一全面规划将为雄激素及同化激素项目的成功实施提供坚实的基础，确保雄激素及同化激素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376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雄激素及同化激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雄激素及同化激素项目的设备规划和空间设计中，我们将采取灵活设备布局的措施。设备布局将根据实际需求进行灵活设计，避免不必要的浪费。通过合理规划设备摆放位置，我们将提高设备的利用率，减少设备间距，以确保雄激素及同化激素项目的生产效率和能源利用效率得到最大程度的提升。同时，我们将引入多功能空间设计理念，使得建筑内部空间具备多种功能。这样的设计能够减少不同功能区域之间的空间浪费，进而提高整体空间利用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https://d.book118.com/315221332203011033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雄激素及同化激素项目规划设计蓝图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2B5E25"/>
    <w:rsid w:val="442B5E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221332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2023-12-29T05:55:00Z</dcterms:created>
  <dcterms:modified xsi:type="dcterms:W3CDTF">2023-12-29T05:55:52Z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EDA699BD97D940F2BC43D64860DA74AB_11</vt:lpwstr>
  </property>
  <property fmtid="{D5CDD505-2E9C-101B-9397-08002B2CF9AE}" pid="3" name="KSOProductBuildVer">
    <vt:lpwstr>2052-12.1.0.16120</vt:lpwstr>
  </property>
</Properties>
</file>