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学前教育服务项目计划设计方案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27" w:history="1">
        <w:r>
          <w:rPr>
            <w:rFonts w:ascii="仿宋" w:eastAsia="仿宋" w:hAnsi="仿宋" w:cs="仿宋" w:hint="eastAsia"/>
            <w:lang w:eastAsia="zh-CN"/>
          </w:rPr>
          <w:t>概论</w:t>
        </w:r>
        <w:r>
          <w:tab/>
        </w:r>
        <w:r>
          <w:fldChar w:fldCharType="begin"/>
        </w:r>
        <w:r>
          <w:instrText xml:space="preserve"> PAGEREF _Toc5027 \h </w:instrText>
        </w:r>
        <w:r>
          <w:fldChar w:fldCharType="separate"/>
        </w:r>
        <w:r>
          <w:t>3</w:t>
        </w:r>
        <w:r>
          <w:fldChar w:fldCharType="end"/>
        </w:r>
      </w:hyperlink>
    </w:p>
    <w:p>
      <w:pPr>
        <w:pStyle w:val="TOC1"/>
        <w:tabs>
          <w:tab w:val="right" w:leader="dot" w:pos="8306"/>
        </w:tabs>
      </w:pPr>
      <w:hyperlink w:anchor="_Toc23057" w:history="1">
        <w:r>
          <w:rPr>
            <w:rFonts w:ascii="仿宋" w:eastAsia="仿宋" w:hAnsi="仿宋" w:cs="仿宋" w:hint="eastAsia"/>
            <w:lang w:eastAsia="zh-CN"/>
          </w:rPr>
          <w:t>一、学前教育服务项目建设背景及必要性分析</w:t>
        </w:r>
        <w:r>
          <w:tab/>
        </w:r>
        <w:r>
          <w:fldChar w:fldCharType="begin"/>
        </w:r>
        <w:r>
          <w:instrText xml:space="preserve"> PAGEREF _Toc23057 \h </w:instrText>
        </w:r>
        <w:r>
          <w:fldChar w:fldCharType="separate"/>
        </w:r>
        <w:r>
          <w:t>3</w:t>
        </w:r>
        <w:r>
          <w:fldChar w:fldCharType="end"/>
        </w:r>
      </w:hyperlink>
    </w:p>
    <w:p>
      <w:pPr>
        <w:pStyle w:val="TOC2"/>
        <w:tabs>
          <w:tab w:val="right" w:leader="dot" w:pos="8306"/>
        </w:tabs>
      </w:pPr>
      <w:hyperlink w:anchor="_Toc28787" w:history="1">
        <w:r>
          <w:rPr>
            <w:rFonts w:ascii="仿宋" w:eastAsia="仿宋" w:hAnsi="仿宋" w:cs="仿宋" w:hint="eastAsia"/>
            <w:lang w:eastAsia="zh-CN"/>
          </w:rPr>
          <w:t>(一)、学前教育服务项目背景分析</w:t>
        </w:r>
        <w:r>
          <w:tab/>
        </w:r>
        <w:r>
          <w:fldChar w:fldCharType="begin"/>
        </w:r>
        <w:r>
          <w:instrText xml:space="preserve"> PAGEREF _Toc28787 \h </w:instrText>
        </w:r>
        <w:r>
          <w:fldChar w:fldCharType="separate"/>
        </w:r>
        <w:r>
          <w:t>3</w:t>
        </w:r>
        <w:r>
          <w:fldChar w:fldCharType="end"/>
        </w:r>
      </w:hyperlink>
    </w:p>
    <w:p>
      <w:pPr>
        <w:pStyle w:val="TOC2"/>
        <w:tabs>
          <w:tab w:val="right" w:leader="dot" w:pos="8306"/>
        </w:tabs>
      </w:pPr>
      <w:hyperlink w:anchor="_Toc8250" w:history="1">
        <w:r>
          <w:rPr>
            <w:rFonts w:ascii="仿宋" w:eastAsia="仿宋" w:hAnsi="仿宋" w:cs="仿宋" w:hint="eastAsia"/>
            <w:lang w:eastAsia="zh-CN"/>
          </w:rPr>
          <w:t>(二)、学前教育服务项目建设必要性分析</w:t>
        </w:r>
        <w:r>
          <w:tab/>
        </w:r>
        <w:r>
          <w:fldChar w:fldCharType="begin"/>
        </w:r>
        <w:r>
          <w:instrText xml:space="preserve"> PAGEREF _Toc8250 \h </w:instrText>
        </w:r>
        <w:r>
          <w:fldChar w:fldCharType="separate"/>
        </w:r>
        <w:r>
          <w:t>5</w:t>
        </w:r>
        <w:r>
          <w:fldChar w:fldCharType="end"/>
        </w:r>
      </w:hyperlink>
    </w:p>
    <w:p>
      <w:pPr>
        <w:pStyle w:val="TOC1"/>
        <w:tabs>
          <w:tab w:val="right" w:leader="dot" w:pos="8306"/>
        </w:tabs>
      </w:pPr>
      <w:hyperlink w:anchor="_Toc26699" w:history="1">
        <w:r>
          <w:rPr>
            <w:rFonts w:ascii="仿宋" w:eastAsia="仿宋" w:hAnsi="仿宋" w:cs="仿宋" w:hint="eastAsia"/>
            <w:lang w:eastAsia="zh-CN"/>
          </w:rPr>
          <w:t>二、学前教育服务项目概论</w:t>
        </w:r>
        <w:r>
          <w:tab/>
        </w:r>
        <w:r>
          <w:fldChar w:fldCharType="begin"/>
        </w:r>
        <w:r>
          <w:instrText xml:space="preserve"> PAGEREF _Toc26699 \h </w:instrText>
        </w:r>
        <w:r>
          <w:fldChar w:fldCharType="separate"/>
        </w:r>
        <w:r>
          <w:t>6</w:t>
        </w:r>
        <w:r>
          <w:fldChar w:fldCharType="end"/>
        </w:r>
      </w:hyperlink>
    </w:p>
    <w:p>
      <w:pPr>
        <w:pStyle w:val="TOC2"/>
        <w:tabs>
          <w:tab w:val="right" w:leader="dot" w:pos="8306"/>
        </w:tabs>
      </w:pPr>
      <w:hyperlink w:anchor="_Toc14683" w:history="1">
        <w:r>
          <w:rPr>
            <w:rFonts w:ascii="仿宋" w:eastAsia="仿宋" w:hAnsi="仿宋" w:cs="仿宋" w:hint="eastAsia"/>
            <w:lang w:eastAsia="zh-CN"/>
          </w:rPr>
          <w:t>(一)、学前教育服务项目概况</w:t>
        </w:r>
        <w:r>
          <w:tab/>
        </w:r>
        <w:r>
          <w:fldChar w:fldCharType="begin"/>
        </w:r>
        <w:r>
          <w:instrText xml:space="preserve"> PAGEREF _Toc14683 \h </w:instrText>
        </w:r>
        <w:r>
          <w:fldChar w:fldCharType="separate"/>
        </w:r>
        <w:r>
          <w:t>6</w:t>
        </w:r>
        <w:r>
          <w:fldChar w:fldCharType="end"/>
        </w:r>
      </w:hyperlink>
    </w:p>
    <w:p>
      <w:pPr>
        <w:pStyle w:val="TOC2"/>
        <w:tabs>
          <w:tab w:val="right" w:leader="dot" w:pos="8306"/>
        </w:tabs>
      </w:pPr>
      <w:hyperlink w:anchor="_Toc31768" w:history="1">
        <w:r>
          <w:rPr>
            <w:rFonts w:ascii="仿宋" w:eastAsia="仿宋" w:hAnsi="仿宋" w:cs="仿宋" w:hint="eastAsia"/>
            <w:lang w:eastAsia="zh-CN"/>
          </w:rPr>
          <w:t>(二)、学前教育服务项目目标</w:t>
        </w:r>
        <w:r>
          <w:tab/>
        </w:r>
        <w:r>
          <w:fldChar w:fldCharType="begin"/>
        </w:r>
        <w:r>
          <w:instrText xml:space="preserve"> PAGEREF _Toc31768 \h </w:instrText>
        </w:r>
        <w:r>
          <w:fldChar w:fldCharType="separate"/>
        </w:r>
        <w:r>
          <w:t>8</w:t>
        </w:r>
        <w:r>
          <w:fldChar w:fldCharType="end"/>
        </w:r>
      </w:hyperlink>
    </w:p>
    <w:p>
      <w:pPr>
        <w:pStyle w:val="TOC2"/>
        <w:tabs>
          <w:tab w:val="right" w:leader="dot" w:pos="8306"/>
        </w:tabs>
      </w:pPr>
      <w:hyperlink w:anchor="_Toc15623" w:history="1">
        <w:r>
          <w:rPr>
            <w:rFonts w:ascii="仿宋" w:eastAsia="仿宋" w:hAnsi="仿宋" w:cs="仿宋" w:hint="eastAsia"/>
            <w:lang w:eastAsia="zh-CN"/>
          </w:rPr>
          <w:t>(三)、学前教育服务项目提出的理由</w:t>
        </w:r>
        <w:r>
          <w:tab/>
        </w:r>
        <w:r>
          <w:fldChar w:fldCharType="begin"/>
        </w:r>
        <w:r>
          <w:instrText xml:space="preserve"> PAGEREF _Toc15623 \h </w:instrText>
        </w:r>
        <w:r>
          <w:fldChar w:fldCharType="separate"/>
        </w:r>
        <w:r>
          <w:t>9</w:t>
        </w:r>
        <w:r>
          <w:fldChar w:fldCharType="end"/>
        </w:r>
      </w:hyperlink>
    </w:p>
    <w:p>
      <w:pPr>
        <w:pStyle w:val="TOC2"/>
        <w:tabs>
          <w:tab w:val="right" w:leader="dot" w:pos="8306"/>
        </w:tabs>
      </w:pPr>
      <w:hyperlink w:anchor="_Toc7672" w:history="1">
        <w:r>
          <w:rPr>
            <w:rFonts w:ascii="仿宋" w:eastAsia="仿宋" w:hAnsi="仿宋" w:cs="仿宋" w:hint="eastAsia"/>
            <w:lang w:eastAsia="zh-CN"/>
          </w:rPr>
          <w:t>(四)、学前教育服务项目意义</w:t>
        </w:r>
        <w:r>
          <w:tab/>
        </w:r>
        <w:r>
          <w:fldChar w:fldCharType="begin"/>
        </w:r>
        <w:r>
          <w:instrText xml:space="preserve"> PAGEREF _Toc7672 \h </w:instrText>
        </w:r>
        <w:r>
          <w:fldChar w:fldCharType="separate"/>
        </w:r>
        <w:r>
          <w:t>11</w:t>
        </w:r>
        <w:r>
          <w:fldChar w:fldCharType="end"/>
        </w:r>
      </w:hyperlink>
    </w:p>
    <w:p>
      <w:pPr>
        <w:pStyle w:val="TOC2"/>
        <w:tabs>
          <w:tab w:val="right" w:leader="dot" w:pos="8306"/>
        </w:tabs>
      </w:pPr>
      <w:hyperlink w:anchor="_Toc4698" w:history="1">
        <w:r>
          <w:rPr>
            <w:rFonts w:ascii="仿宋" w:eastAsia="仿宋" w:hAnsi="仿宋" w:cs="仿宋" w:hint="eastAsia"/>
            <w:lang w:eastAsia="zh-CN"/>
          </w:rPr>
          <w:t>(五)、学前教育服务项目背景</w:t>
        </w:r>
        <w:r>
          <w:tab/>
        </w:r>
        <w:r>
          <w:fldChar w:fldCharType="begin"/>
        </w:r>
        <w:r>
          <w:instrText xml:space="preserve"> PAGEREF _Toc4698 \h </w:instrText>
        </w:r>
        <w:r>
          <w:fldChar w:fldCharType="separate"/>
        </w:r>
        <w:r>
          <w:t>12</w:t>
        </w:r>
        <w:r>
          <w:fldChar w:fldCharType="end"/>
        </w:r>
      </w:hyperlink>
    </w:p>
    <w:p>
      <w:pPr>
        <w:pStyle w:val="TOC1"/>
        <w:tabs>
          <w:tab w:val="right" w:leader="dot" w:pos="8306"/>
        </w:tabs>
      </w:pPr>
      <w:hyperlink w:anchor="_Toc10306" w:history="1">
        <w:r>
          <w:rPr>
            <w:rFonts w:ascii="仿宋" w:eastAsia="仿宋" w:hAnsi="仿宋" w:cs="仿宋" w:hint="eastAsia"/>
            <w:lang w:eastAsia="zh-CN"/>
          </w:rPr>
          <w:t>三、学前教育服务项目可持续发展</w:t>
        </w:r>
        <w:r>
          <w:tab/>
        </w:r>
        <w:r>
          <w:fldChar w:fldCharType="begin"/>
        </w:r>
        <w:r>
          <w:instrText xml:space="preserve"> PAGEREF _Toc10306 \h </w:instrText>
        </w:r>
        <w:r>
          <w:fldChar w:fldCharType="separate"/>
        </w:r>
        <w:r>
          <w:t>13</w:t>
        </w:r>
        <w:r>
          <w:fldChar w:fldCharType="end"/>
        </w:r>
      </w:hyperlink>
    </w:p>
    <w:p>
      <w:pPr>
        <w:pStyle w:val="TOC2"/>
        <w:tabs>
          <w:tab w:val="right" w:leader="dot" w:pos="8306"/>
        </w:tabs>
      </w:pPr>
      <w:hyperlink w:anchor="_Toc9043" w:history="1">
        <w:r>
          <w:rPr>
            <w:rFonts w:ascii="仿宋" w:eastAsia="仿宋" w:hAnsi="仿宋" w:cs="仿宋" w:hint="eastAsia"/>
            <w:lang w:eastAsia="zh-CN"/>
          </w:rPr>
          <w:t>(一)、可持续战略与实践</w:t>
        </w:r>
        <w:r>
          <w:tab/>
        </w:r>
        <w:r>
          <w:fldChar w:fldCharType="begin"/>
        </w:r>
        <w:r>
          <w:instrText xml:space="preserve"> PAGEREF _Toc9043 \h </w:instrText>
        </w:r>
        <w:r>
          <w:fldChar w:fldCharType="separate"/>
        </w:r>
        <w:r>
          <w:t>13</w:t>
        </w:r>
        <w:r>
          <w:fldChar w:fldCharType="end"/>
        </w:r>
      </w:hyperlink>
    </w:p>
    <w:p>
      <w:pPr>
        <w:pStyle w:val="TOC2"/>
        <w:tabs>
          <w:tab w:val="right" w:leader="dot" w:pos="8306"/>
        </w:tabs>
      </w:pPr>
      <w:hyperlink w:anchor="_Toc31218" w:history="1">
        <w:r>
          <w:rPr>
            <w:rFonts w:ascii="仿宋" w:eastAsia="仿宋" w:hAnsi="仿宋" w:cs="仿宋" w:hint="eastAsia"/>
            <w:lang w:eastAsia="zh-CN"/>
          </w:rPr>
          <w:t>(二)、环保与社会责任</w:t>
        </w:r>
        <w:r>
          <w:tab/>
        </w:r>
        <w:r>
          <w:fldChar w:fldCharType="begin"/>
        </w:r>
        <w:r>
          <w:instrText xml:space="preserve"> PAGEREF _Toc31218 \h </w:instrText>
        </w:r>
        <w:r>
          <w:fldChar w:fldCharType="separate"/>
        </w:r>
        <w:r>
          <w:t>13</w:t>
        </w:r>
        <w:r>
          <w:fldChar w:fldCharType="end"/>
        </w:r>
      </w:hyperlink>
    </w:p>
    <w:p>
      <w:pPr>
        <w:pStyle w:val="TOC1"/>
        <w:tabs>
          <w:tab w:val="right" w:leader="dot" w:pos="8306"/>
        </w:tabs>
      </w:pPr>
      <w:hyperlink w:anchor="_Toc25614" w:history="1">
        <w:r>
          <w:rPr>
            <w:rFonts w:ascii="仿宋" w:eastAsia="仿宋" w:hAnsi="仿宋" w:cs="仿宋" w:hint="eastAsia"/>
            <w:lang w:eastAsia="zh-CN"/>
          </w:rPr>
          <w:t>四、学前教育服务项目建设单位说明</w:t>
        </w:r>
        <w:r>
          <w:tab/>
        </w:r>
        <w:r>
          <w:fldChar w:fldCharType="begin"/>
        </w:r>
        <w:r>
          <w:instrText xml:space="preserve"> PAGEREF _Toc25614 \h </w:instrText>
        </w:r>
        <w:r>
          <w:fldChar w:fldCharType="separate"/>
        </w:r>
        <w:r>
          <w:t>14</w:t>
        </w:r>
        <w:r>
          <w:fldChar w:fldCharType="end"/>
        </w:r>
      </w:hyperlink>
    </w:p>
    <w:p>
      <w:pPr>
        <w:pStyle w:val="TOC2"/>
        <w:tabs>
          <w:tab w:val="right" w:leader="dot" w:pos="8306"/>
        </w:tabs>
      </w:pPr>
      <w:hyperlink w:anchor="_Toc19331" w:history="1">
        <w:r>
          <w:rPr>
            <w:rFonts w:ascii="仿宋" w:eastAsia="仿宋" w:hAnsi="仿宋" w:cs="仿宋" w:hint="eastAsia"/>
            <w:lang w:eastAsia="zh-CN"/>
          </w:rPr>
          <w:t>(一)、学前教育服务项目承办单位基本情况</w:t>
        </w:r>
        <w:r>
          <w:tab/>
        </w:r>
        <w:r>
          <w:fldChar w:fldCharType="begin"/>
        </w:r>
        <w:r>
          <w:instrText xml:space="preserve"> PAGEREF _Toc19331 \h </w:instrText>
        </w:r>
        <w:r>
          <w:fldChar w:fldCharType="separate"/>
        </w:r>
        <w:r>
          <w:t>14</w:t>
        </w:r>
        <w:r>
          <w:fldChar w:fldCharType="end"/>
        </w:r>
      </w:hyperlink>
    </w:p>
    <w:p>
      <w:pPr>
        <w:pStyle w:val="TOC2"/>
        <w:tabs>
          <w:tab w:val="right" w:leader="dot" w:pos="8306"/>
        </w:tabs>
      </w:pPr>
      <w:hyperlink w:anchor="_Toc5309" w:history="1">
        <w:r>
          <w:rPr>
            <w:rFonts w:ascii="仿宋" w:eastAsia="仿宋" w:hAnsi="仿宋" w:cs="仿宋" w:hint="eastAsia"/>
            <w:lang w:eastAsia="zh-CN"/>
          </w:rPr>
          <w:t>(二)、公司经济效益分析</w:t>
        </w:r>
        <w:r>
          <w:tab/>
        </w:r>
        <w:r>
          <w:fldChar w:fldCharType="begin"/>
        </w:r>
        <w:r>
          <w:instrText xml:space="preserve"> PAGEREF _Toc5309 \h </w:instrText>
        </w:r>
        <w:r>
          <w:fldChar w:fldCharType="separate"/>
        </w:r>
        <w:r>
          <w:t>15</w:t>
        </w:r>
        <w:r>
          <w:fldChar w:fldCharType="end"/>
        </w:r>
      </w:hyperlink>
    </w:p>
    <w:p>
      <w:pPr>
        <w:pStyle w:val="TOC1"/>
        <w:tabs>
          <w:tab w:val="right" w:leader="dot" w:pos="8306"/>
        </w:tabs>
      </w:pPr>
      <w:hyperlink w:anchor="_Toc10098" w:history="1">
        <w:r>
          <w:rPr>
            <w:rFonts w:ascii="仿宋" w:eastAsia="仿宋" w:hAnsi="仿宋" w:cs="仿宋" w:hint="eastAsia"/>
            <w:lang w:eastAsia="zh-CN"/>
          </w:rPr>
          <w:t>五、工艺说明</w:t>
        </w:r>
        <w:r>
          <w:tab/>
        </w:r>
        <w:r>
          <w:fldChar w:fldCharType="begin"/>
        </w:r>
        <w:r>
          <w:instrText xml:space="preserve"> PAGEREF _Toc10098 \h </w:instrText>
        </w:r>
        <w:r>
          <w:fldChar w:fldCharType="separate"/>
        </w:r>
        <w:r>
          <w:t>16</w:t>
        </w:r>
        <w:r>
          <w:fldChar w:fldCharType="end"/>
        </w:r>
      </w:hyperlink>
    </w:p>
    <w:p>
      <w:pPr>
        <w:pStyle w:val="TOC2"/>
        <w:tabs>
          <w:tab w:val="right" w:leader="dot" w:pos="8306"/>
        </w:tabs>
      </w:pPr>
      <w:hyperlink w:anchor="_Toc7321" w:history="1">
        <w:r>
          <w:rPr>
            <w:rFonts w:ascii="仿宋" w:eastAsia="仿宋" w:hAnsi="仿宋" w:cs="仿宋" w:hint="eastAsia"/>
            <w:lang w:eastAsia="zh-CN"/>
          </w:rPr>
          <w:t>(一)、技术管理特点</w:t>
        </w:r>
        <w:r>
          <w:tab/>
        </w:r>
        <w:r>
          <w:fldChar w:fldCharType="begin"/>
        </w:r>
        <w:r>
          <w:instrText xml:space="preserve"> PAGEREF _Toc7321 \h </w:instrText>
        </w:r>
        <w:r>
          <w:fldChar w:fldCharType="separate"/>
        </w:r>
        <w:r>
          <w:t>16</w:t>
        </w:r>
        <w:r>
          <w:fldChar w:fldCharType="end"/>
        </w:r>
      </w:hyperlink>
    </w:p>
    <w:p>
      <w:pPr>
        <w:pStyle w:val="TOC2"/>
        <w:tabs>
          <w:tab w:val="right" w:leader="dot" w:pos="8306"/>
        </w:tabs>
      </w:pPr>
      <w:hyperlink w:anchor="_Toc3073" w:history="1">
        <w:r>
          <w:rPr>
            <w:rFonts w:ascii="仿宋" w:eastAsia="仿宋" w:hAnsi="仿宋" w:cs="仿宋" w:hint="eastAsia"/>
            <w:lang w:eastAsia="zh-CN"/>
          </w:rPr>
          <w:t>(二)、学前教育服务项目工艺技术设计方案</w:t>
        </w:r>
        <w:r>
          <w:tab/>
        </w:r>
        <w:r>
          <w:fldChar w:fldCharType="begin"/>
        </w:r>
        <w:r>
          <w:instrText xml:space="preserve"> PAGEREF _Toc3073 \h </w:instrText>
        </w:r>
        <w:r>
          <w:fldChar w:fldCharType="separate"/>
        </w:r>
        <w:r>
          <w:t>17</w:t>
        </w:r>
        <w:r>
          <w:fldChar w:fldCharType="end"/>
        </w:r>
      </w:hyperlink>
    </w:p>
    <w:p>
      <w:pPr>
        <w:pStyle w:val="TOC2"/>
        <w:tabs>
          <w:tab w:val="right" w:leader="dot" w:pos="8306"/>
        </w:tabs>
      </w:pPr>
      <w:hyperlink w:anchor="_Toc3358" w:history="1">
        <w:r>
          <w:rPr>
            <w:rFonts w:ascii="仿宋" w:eastAsia="仿宋" w:hAnsi="仿宋" w:cs="仿宋" w:hint="eastAsia"/>
            <w:lang w:eastAsia="zh-CN"/>
          </w:rPr>
          <w:t>(三)、设备选型方案</w:t>
        </w:r>
        <w:r>
          <w:tab/>
        </w:r>
        <w:r>
          <w:fldChar w:fldCharType="begin"/>
        </w:r>
        <w:r>
          <w:instrText xml:space="preserve"> PAGEREF _Toc3358 \h </w:instrText>
        </w:r>
        <w:r>
          <w:fldChar w:fldCharType="separate"/>
        </w:r>
        <w:r>
          <w:t>18</w:t>
        </w:r>
        <w:r>
          <w:fldChar w:fldCharType="end"/>
        </w:r>
      </w:hyperlink>
    </w:p>
    <w:p>
      <w:pPr>
        <w:pStyle w:val="TOC1"/>
        <w:tabs>
          <w:tab w:val="right" w:leader="dot" w:pos="8306"/>
        </w:tabs>
      </w:pPr>
      <w:hyperlink w:anchor="_Toc10233" w:history="1">
        <w:r>
          <w:rPr>
            <w:rFonts w:ascii="仿宋" w:eastAsia="仿宋" w:hAnsi="仿宋" w:cs="仿宋" w:hint="eastAsia"/>
            <w:lang w:eastAsia="zh-CN"/>
          </w:rPr>
          <w:t>六、学前教育服务项目选址可行性分析</w:t>
        </w:r>
        <w:r>
          <w:tab/>
        </w:r>
        <w:r>
          <w:fldChar w:fldCharType="begin"/>
        </w:r>
        <w:r>
          <w:instrText xml:space="preserve"> PAGEREF _Toc10233 \h </w:instrText>
        </w:r>
        <w:r>
          <w:fldChar w:fldCharType="separate"/>
        </w:r>
        <w:r>
          <w:t>20</w:t>
        </w:r>
        <w:r>
          <w:fldChar w:fldCharType="end"/>
        </w:r>
      </w:hyperlink>
    </w:p>
    <w:p>
      <w:pPr>
        <w:pStyle w:val="TOC2"/>
        <w:tabs>
          <w:tab w:val="right" w:leader="dot" w:pos="8306"/>
        </w:tabs>
      </w:pPr>
      <w:hyperlink w:anchor="_Toc6214" w:history="1">
        <w:r>
          <w:rPr>
            <w:rFonts w:ascii="仿宋" w:eastAsia="仿宋" w:hAnsi="仿宋" w:cs="仿宋" w:hint="eastAsia"/>
            <w:lang w:eastAsia="zh-CN"/>
          </w:rPr>
          <w:t>(一)、学前教育服务项目选址</w:t>
        </w:r>
        <w:r>
          <w:tab/>
        </w:r>
        <w:r>
          <w:fldChar w:fldCharType="begin"/>
        </w:r>
        <w:r>
          <w:instrText xml:space="preserve"> PAGEREF _Toc6214 \h </w:instrText>
        </w:r>
        <w:r>
          <w:fldChar w:fldCharType="separate"/>
        </w:r>
        <w:r>
          <w:t>20</w:t>
        </w:r>
        <w:r>
          <w:fldChar w:fldCharType="end"/>
        </w:r>
      </w:hyperlink>
    </w:p>
    <w:p>
      <w:pPr>
        <w:pStyle w:val="TOC2"/>
        <w:tabs>
          <w:tab w:val="right" w:leader="dot" w:pos="8306"/>
        </w:tabs>
      </w:pPr>
      <w:hyperlink w:anchor="_Toc29296" w:history="1">
        <w:r>
          <w:rPr>
            <w:rFonts w:ascii="仿宋" w:eastAsia="仿宋" w:hAnsi="仿宋" w:cs="仿宋" w:hint="eastAsia"/>
            <w:lang w:eastAsia="zh-CN"/>
          </w:rPr>
          <w:t>(二)、用地控制指标</w:t>
        </w:r>
        <w:r>
          <w:tab/>
        </w:r>
        <w:r>
          <w:fldChar w:fldCharType="begin"/>
        </w:r>
        <w:r>
          <w:instrText xml:space="preserve"> PAGEREF _Toc29296 \h </w:instrText>
        </w:r>
        <w:r>
          <w:fldChar w:fldCharType="separate"/>
        </w:r>
        <w:r>
          <w:t>20</w:t>
        </w:r>
        <w:r>
          <w:fldChar w:fldCharType="end"/>
        </w:r>
      </w:hyperlink>
    </w:p>
    <w:p>
      <w:pPr>
        <w:pStyle w:val="TOC2"/>
        <w:tabs>
          <w:tab w:val="right" w:leader="dot" w:pos="8306"/>
        </w:tabs>
      </w:pPr>
      <w:hyperlink w:anchor="_Toc22961" w:history="1">
        <w:r>
          <w:rPr>
            <w:rFonts w:ascii="仿宋" w:eastAsia="仿宋" w:hAnsi="仿宋" w:cs="仿宋" w:hint="eastAsia"/>
            <w:lang w:eastAsia="zh-CN"/>
          </w:rPr>
          <w:t>(三)、节约用地措施</w:t>
        </w:r>
        <w:r>
          <w:tab/>
        </w:r>
        <w:r>
          <w:fldChar w:fldCharType="begin"/>
        </w:r>
        <w:r>
          <w:instrText xml:space="preserve"> PAGEREF _Toc22961 \h </w:instrText>
        </w:r>
        <w:r>
          <w:fldChar w:fldCharType="separate"/>
        </w:r>
        <w:r>
          <w:t>22</w:t>
        </w:r>
        <w:r>
          <w:fldChar w:fldCharType="end"/>
        </w:r>
      </w:hyperlink>
    </w:p>
    <w:p>
      <w:pPr>
        <w:pStyle w:val="TOC2"/>
        <w:tabs>
          <w:tab w:val="right" w:leader="dot" w:pos="8306"/>
        </w:tabs>
      </w:pPr>
      <w:hyperlink w:anchor="_Toc7654" w:history="1">
        <w:r>
          <w:rPr>
            <w:rFonts w:ascii="仿宋" w:eastAsia="仿宋" w:hAnsi="仿宋" w:cs="仿宋" w:hint="eastAsia"/>
            <w:lang w:eastAsia="zh-CN"/>
          </w:rPr>
          <w:t>(四)、总图布置方案</w:t>
        </w:r>
        <w:r>
          <w:tab/>
        </w:r>
        <w:r>
          <w:fldChar w:fldCharType="begin"/>
        </w:r>
        <w:r>
          <w:instrText xml:space="preserve"> PAGEREF _Toc7654 \h </w:instrText>
        </w:r>
        <w:r>
          <w:fldChar w:fldCharType="separate"/>
        </w:r>
        <w:r>
          <w:t>23</w:t>
        </w:r>
        <w:r>
          <w:fldChar w:fldCharType="end"/>
        </w:r>
      </w:hyperlink>
    </w:p>
    <w:p>
      <w:pPr>
        <w:pStyle w:val="TOC2"/>
        <w:tabs>
          <w:tab w:val="right" w:leader="dot" w:pos="8306"/>
        </w:tabs>
      </w:pPr>
      <w:hyperlink w:anchor="_Toc4555" w:history="1">
        <w:r>
          <w:rPr>
            <w:rFonts w:ascii="仿宋" w:eastAsia="仿宋" w:hAnsi="仿宋" w:cs="仿宋" w:hint="eastAsia"/>
            <w:lang w:eastAsia="zh-CN"/>
          </w:rPr>
          <w:t>(五)、选址综合评价</w:t>
        </w:r>
        <w:r>
          <w:tab/>
        </w:r>
        <w:r>
          <w:fldChar w:fldCharType="begin"/>
        </w:r>
        <w:r>
          <w:instrText xml:space="preserve"> PAGEREF _Toc4555 \h </w:instrText>
        </w:r>
        <w:r>
          <w:fldChar w:fldCharType="separate"/>
        </w:r>
        <w:r>
          <w:t>24</w:t>
        </w:r>
        <w:r>
          <w:fldChar w:fldCharType="end"/>
        </w:r>
      </w:hyperlink>
    </w:p>
    <w:p>
      <w:pPr>
        <w:pStyle w:val="TOC1"/>
        <w:tabs>
          <w:tab w:val="right" w:leader="dot" w:pos="8306"/>
        </w:tabs>
      </w:pPr>
      <w:hyperlink w:anchor="_Toc10557" w:history="1">
        <w:r>
          <w:rPr>
            <w:rFonts w:ascii="仿宋" w:eastAsia="仿宋" w:hAnsi="仿宋" w:cs="仿宋" w:hint="eastAsia"/>
            <w:lang w:eastAsia="zh-CN"/>
          </w:rPr>
          <w:t>七、学前教育服务项目人力资源培养与发展</w:t>
        </w:r>
        <w:r>
          <w:tab/>
        </w:r>
        <w:r>
          <w:fldChar w:fldCharType="begin"/>
        </w:r>
        <w:r>
          <w:instrText xml:space="preserve"> PAGEREF _Toc10557 \h </w:instrText>
        </w:r>
        <w:r>
          <w:fldChar w:fldCharType="separate"/>
        </w:r>
        <w:r>
          <w:t>25</w:t>
        </w:r>
        <w:r>
          <w:fldChar w:fldCharType="end"/>
        </w:r>
      </w:hyperlink>
    </w:p>
    <w:p>
      <w:pPr>
        <w:pStyle w:val="TOC2"/>
        <w:tabs>
          <w:tab w:val="right" w:leader="dot" w:pos="8306"/>
        </w:tabs>
      </w:pPr>
      <w:hyperlink w:anchor="_Toc11127" w:history="1">
        <w:r>
          <w:rPr>
            <w:rFonts w:ascii="仿宋" w:eastAsia="仿宋" w:hAnsi="仿宋" w:cs="仿宋" w:hint="eastAsia"/>
            <w:lang w:eastAsia="zh-CN"/>
          </w:rPr>
          <w:t>(一)、人才需求与规划</w:t>
        </w:r>
        <w:r>
          <w:tab/>
        </w:r>
        <w:r>
          <w:fldChar w:fldCharType="begin"/>
        </w:r>
        <w:r>
          <w:instrText xml:space="preserve"> PAGEREF _Toc11127 \h </w:instrText>
        </w:r>
        <w:r>
          <w:fldChar w:fldCharType="separate"/>
        </w:r>
        <w:r>
          <w:t>25</w:t>
        </w:r>
        <w:r>
          <w:fldChar w:fldCharType="end"/>
        </w:r>
      </w:hyperlink>
    </w:p>
    <w:p>
      <w:pPr>
        <w:pStyle w:val="TOC2"/>
        <w:tabs>
          <w:tab w:val="right" w:leader="dot" w:pos="8306"/>
        </w:tabs>
      </w:pPr>
      <w:hyperlink w:anchor="_Toc9544" w:history="1">
        <w:r>
          <w:rPr>
            <w:rFonts w:ascii="仿宋" w:eastAsia="仿宋" w:hAnsi="仿宋" w:cs="仿宋" w:hint="eastAsia"/>
            <w:lang w:eastAsia="zh-CN"/>
          </w:rPr>
          <w:t>(二)、培训与发展计划</w:t>
        </w:r>
        <w:r>
          <w:tab/>
        </w:r>
        <w:r>
          <w:fldChar w:fldCharType="begin"/>
        </w:r>
        <w:r>
          <w:instrText xml:space="preserve"> PAGEREF _Toc9544 \h </w:instrText>
        </w:r>
        <w:r>
          <w:fldChar w:fldCharType="separate"/>
        </w:r>
        <w:r>
          <w:t>26</w:t>
        </w:r>
        <w:r>
          <w:fldChar w:fldCharType="end"/>
        </w:r>
      </w:hyperlink>
    </w:p>
    <w:p>
      <w:pPr>
        <w:pStyle w:val="TOC1"/>
        <w:tabs>
          <w:tab w:val="right" w:leader="dot" w:pos="8306"/>
        </w:tabs>
      </w:pPr>
      <w:hyperlink w:anchor="_Toc26571" w:history="1">
        <w:r>
          <w:rPr>
            <w:rFonts w:ascii="仿宋" w:eastAsia="仿宋" w:hAnsi="仿宋" w:cs="仿宋" w:hint="eastAsia"/>
            <w:lang w:eastAsia="zh-CN"/>
          </w:rPr>
          <w:t>八、学前教育服务项目技术管理</w:t>
        </w:r>
        <w:r>
          <w:tab/>
        </w:r>
        <w:r>
          <w:fldChar w:fldCharType="begin"/>
        </w:r>
        <w:r>
          <w:instrText xml:space="preserve"> PAGEREF _Toc26571 \h </w:instrText>
        </w:r>
        <w:r>
          <w:fldChar w:fldCharType="separate"/>
        </w:r>
        <w:r>
          <w:t>26</w:t>
        </w:r>
        <w:r>
          <w:fldChar w:fldCharType="end"/>
        </w:r>
      </w:hyperlink>
    </w:p>
    <w:p>
      <w:pPr>
        <w:pStyle w:val="TOC2"/>
        <w:tabs>
          <w:tab w:val="right" w:leader="dot" w:pos="8306"/>
        </w:tabs>
      </w:pPr>
      <w:hyperlink w:anchor="_Toc15372" w:history="1">
        <w:r>
          <w:rPr>
            <w:rFonts w:ascii="仿宋" w:eastAsia="仿宋" w:hAnsi="仿宋" w:cs="仿宋" w:hint="eastAsia"/>
            <w:lang w:eastAsia="zh-CN"/>
          </w:rPr>
          <w:t>(一)、技术方案选用方向</w:t>
        </w:r>
        <w:r>
          <w:tab/>
        </w:r>
        <w:r>
          <w:fldChar w:fldCharType="begin"/>
        </w:r>
        <w:r>
          <w:instrText xml:space="preserve"> PAGEREF _Toc15372 \h </w:instrText>
        </w:r>
        <w:r>
          <w:fldChar w:fldCharType="separate"/>
        </w:r>
        <w:r>
          <w:t>26</w:t>
        </w:r>
        <w:r>
          <w:fldChar w:fldCharType="end"/>
        </w:r>
      </w:hyperlink>
    </w:p>
    <w:p>
      <w:pPr>
        <w:pStyle w:val="TOC2"/>
        <w:tabs>
          <w:tab w:val="right" w:leader="dot" w:pos="8306"/>
        </w:tabs>
      </w:pPr>
      <w:hyperlink w:anchor="_Toc10457" w:history="1">
        <w:r>
          <w:rPr>
            <w:rFonts w:ascii="仿宋" w:eastAsia="仿宋" w:hAnsi="仿宋" w:cs="仿宋" w:hint="eastAsia"/>
            <w:lang w:eastAsia="zh-CN"/>
          </w:rPr>
          <w:t>(二)、工艺技术方案选用原则</w:t>
        </w:r>
        <w:r>
          <w:tab/>
        </w:r>
        <w:r>
          <w:fldChar w:fldCharType="begin"/>
        </w:r>
        <w:r>
          <w:instrText xml:space="preserve"> PAGEREF _Toc10457 \h </w:instrText>
        </w:r>
        <w:r>
          <w:fldChar w:fldCharType="separate"/>
        </w:r>
        <w:r>
          <w:t>28</w:t>
        </w:r>
        <w:r>
          <w:fldChar w:fldCharType="end"/>
        </w:r>
      </w:hyperlink>
    </w:p>
    <w:p>
      <w:pPr>
        <w:pStyle w:val="TOC2"/>
        <w:tabs>
          <w:tab w:val="right" w:leader="dot" w:pos="8306"/>
        </w:tabs>
      </w:pPr>
      <w:hyperlink w:anchor="_Toc12017" w:history="1">
        <w:r>
          <w:rPr>
            <w:rFonts w:ascii="仿宋" w:eastAsia="仿宋" w:hAnsi="仿宋" w:cs="仿宋" w:hint="eastAsia"/>
            <w:lang w:eastAsia="zh-CN"/>
          </w:rPr>
          <w:t>(三)、工艺技术方案要求</w:t>
        </w:r>
        <w:r>
          <w:tab/>
        </w:r>
        <w:r>
          <w:fldChar w:fldCharType="begin"/>
        </w:r>
        <w:r>
          <w:instrText xml:space="preserve"> PAGEREF _Toc12017 \h </w:instrText>
        </w:r>
        <w:r>
          <w:fldChar w:fldCharType="separate"/>
        </w:r>
        <w:r>
          <w:t>30</w:t>
        </w:r>
        <w:r>
          <w:fldChar w:fldCharType="end"/>
        </w:r>
      </w:hyperlink>
    </w:p>
    <w:p>
      <w:pPr>
        <w:pStyle w:val="TOC1"/>
        <w:tabs>
          <w:tab w:val="right" w:leader="dot" w:pos="8306"/>
        </w:tabs>
      </w:pPr>
      <w:hyperlink w:anchor="_Toc23455" w:history="1">
        <w:r>
          <w:rPr>
            <w:rFonts w:ascii="仿宋" w:eastAsia="仿宋" w:hAnsi="仿宋" w:cs="仿宋" w:hint="eastAsia"/>
            <w:lang w:eastAsia="zh-CN"/>
          </w:rPr>
          <w:t>九、学前教育服务项目创新与研发</w:t>
        </w:r>
        <w:r>
          <w:tab/>
        </w:r>
        <w:r>
          <w:fldChar w:fldCharType="begin"/>
        </w:r>
        <w:r>
          <w:instrText xml:space="preserve"> PAGEREF _Toc23455 \h </w:instrText>
        </w:r>
        <w:r>
          <w:fldChar w:fldCharType="separate"/>
        </w:r>
        <w:r>
          <w:t>32</w:t>
        </w:r>
        <w:r>
          <w:fldChar w:fldCharType="end"/>
        </w:r>
      </w:hyperlink>
    </w:p>
    <w:p>
      <w:pPr>
        <w:pStyle w:val="TOC2"/>
        <w:tabs>
          <w:tab w:val="right" w:leader="dot" w:pos="8306"/>
        </w:tabs>
      </w:pPr>
      <w:hyperlink w:anchor="_Toc27493" w:history="1">
        <w:r>
          <w:rPr>
            <w:rFonts w:ascii="仿宋" w:eastAsia="仿宋" w:hAnsi="仿宋" w:cs="仿宋" w:hint="eastAsia"/>
            <w:lang w:eastAsia="zh-CN"/>
          </w:rPr>
          <w:t>(一)、创新策略与方向</w:t>
        </w:r>
        <w:r>
          <w:tab/>
        </w:r>
        <w:r>
          <w:fldChar w:fldCharType="begin"/>
        </w:r>
        <w:r>
          <w:instrText xml:space="preserve"> PAGEREF _Toc27493 \h </w:instrText>
        </w:r>
        <w:r>
          <w:fldChar w:fldCharType="separate"/>
        </w:r>
        <w:r>
          <w:t>32</w:t>
        </w:r>
        <w:r>
          <w:fldChar w:fldCharType="end"/>
        </w:r>
      </w:hyperlink>
    </w:p>
    <w:p>
      <w:pPr>
        <w:pStyle w:val="TOC2"/>
        <w:tabs>
          <w:tab w:val="right" w:leader="dot" w:pos="8306"/>
        </w:tabs>
      </w:pPr>
      <w:hyperlink w:anchor="_Toc17040" w:history="1">
        <w:r>
          <w:rPr>
            <w:rFonts w:ascii="仿宋" w:eastAsia="仿宋" w:hAnsi="仿宋" w:cs="仿宋" w:hint="eastAsia"/>
            <w:lang w:eastAsia="zh-CN"/>
          </w:rPr>
          <w:t>(二)、研发规划与投入</w:t>
        </w:r>
        <w:r>
          <w:tab/>
        </w:r>
        <w:r>
          <w:fldChar w:fldCharType="begin"/>
        </w:r>
        <w:r>
          <w:instrText xml:space="preserve"> PAGEREF _Toc17040 \h </w:instrText>
        </w:r>
        <w:r>
          <w:fldChar w:fldCharType="separate"/>
        </w:r>
        <w:r>
          <w:t>34</w:t>
        </w:r>
        <w:r>
          <w:fldChar w:fldCharType="end"/>
        </w:r>
      </w:hyperlink>
    </w:p>
    <w:p>
      <w:pPr>
        <w:pStyle w:val="TOC1"/>
        <w:tabs>
          <w:tab w:val="right" w:leader="dot" w:pos="8306"/>
        </w:tabs>
      </w:pPr>
      <w:hyperlink w:anchor="_Toc4556" w:history="1">
        <w:r>
          <w:rPr>
            <w:rFonts w:ascii="仿宋" w:eastAsia="仿宋" w:hAnsi="仿宋" w:cs="仿宋" w:hint="eastAsia"/>
            <w:lang w:eastAsia="zh-CN"/>
          </w:rPr>
          <w:t>十、学前教育服务项目投资规划</w:t>
        </w:r>
        <w:r>
          <w:tab/>
        </w:r>
        <w:r>
          <w:fldChar w:fldCharType="begin"/>
        </w:r>
        <w:r>
          <w:instrText xml:space="preserve"> PAGEREF _Toc4556 \h </w:instrText>
        </w:r>
        <w:r>
          <w:fldChar w:fldCharType="separate"/>
        </w:r>
        <w:r>
          <w:t>36</w:t>
        </w:r>
        <w:r>
          <w:fldChar w:fldCharType="end"/>
        </w:r>
      </w:hyperlink>
    </w:p>
    <w:p>
      <w:pPr>
        <w:pStyle w:val="TOC2"/>
        <w:tabs>
          <w:tab w:val="right" w:leader="dot" w:pos="8306"/>
        </w:tabs>
      </w:pPr>
      <w:hyperlink w:anchor="_Toc11606" w:history="1">
        <w:r>
          <w:rPr>
            <w:rFonts w:ascii="仿宋" w:eastAsia="仿宋" w:hAnsi="仿宋" w:cs="仿宋" w:hint="eastAsia"/>
            <w:lang w:eastAsia="zh-CN"/>
          </w:rPr>
          <w:t>(一)、学前教育服务项目总投资估算</w:t>
        </w:r>
        <w:r>
          <w:tab/>
        </w:r>
        <w:r>
          <w:fldChar w:fldCharType="begin"/>
        </w:r>
        <w:r>
          <w:instrText xml:space="preserve"> PAGEREF _Toc11606 \h </w:instrText>
        </w:r>
        <w:r>
          <w:fldChar w:fldCharType="separate"/>
        </w:r>
        <w:r>
          <w:t>36</w:t>
        </w:r>
        <w:r>
          <w:fldChar w:fldCharType="end"/>
        </w:r>
      </w:hyperlink>
    </w:p>
    <w:p>
      <w:pPr>
        <w:pStyle w:val="TOC2"/>
        <w:tabs>
          <w:tab w:val="right" w:leader="dot" w:pos="8306"/>
        </w:tabs>
      </w:pPr>
      <w:hyperlink w:anchor="_Toc26794" w:history="1">
        <w:r>
          <w:rPr>
            <w:rFonts w:ascii="仿宋" w:eastAsia="仿宋" w:hAnsi="仿宋" w:cs="仿宋" w:hint="eastAsia"/>
            <w:lang w:eastAsia="zh-CN"/>
          </w:rPr>
          <w:t>(二)、资金筹措</w:t>
        </w:r>
        <w:r>
          <w:tab/>
        </w:r>
        <w:r>
          <w:fldChar w:fldCharType="begin"/>
        </w:r>
        <w:r>
          <w:instrText xml:space="preserve"> PAGEREF _Toc26794 \h </w:instrText>
        </w:r>
        <w:r>
          <w:fldChar w:fldCharType="separate"/>
        </w:r>
        <w:r>
          <w:t>37</w:t>
        </w:r>
        <w:r>
          <w:fldChar w:fldCharType="end"/>
        </w:r>
      </w:hyperlink>
    </w:p>
    <w:p>
      <w:pPr>
        <w:pStyle w:val="TOC1"/>
        <w:tabs>
          <w:tab w:val="right" w:leader="dot" w:pos="8306"/>
        </w:tabs>
      </w:pPr>
      <w:hyperlink w:anchor="_Toc20418" w:history="1">
        <w:r>
          <w:rPr>
            <w:rFonts w:ascii="仿宋" w:eastAsia="仿宋" w:hAnsi="仿宋" w:cs="仿宋" w:hint="eastAsia"/>
            <w:lang w:eastAsia="zh-CN"/>
          </w:rPr>
          <w:t>十一、生产安全保护</w:t>
        </w:r>
        <w:r>
          <w:tab/>
        </w:r>
        <w:r>
          <w:fldChar w:fldCharType="begin"/>
        </w:r>
        <w:r>
          <w:instrText xml:space="preserve"> PAGEREF _Toc20418 \h </w:instrText>
        </w:r>
        <w:r>
          <w:fldChar w:fldCharType="separate"/>
        </w:r>
        <w:r>
          <w:t>38</w:t>
        </w:r>
        <w:r>
          <w:fldChar w:fldCharType="end"/>
        </w:r>
      </w:hyperlink>
    </w:p>
    <w:p>
      <w:pPr>
        <w:pStyle w:val="TOC2"/>
        <w:tabs>
          <w:tab w:val="right" w:leader="dot" w:pos="8306"/>
        </w:tabs>
      </w:pPr>
      <w:hyperlink w:anchor="_Toc18032" w:history="1">
        <w:r>
          <w:rPr>
            <w:rFonts w:ascii="仿宋" w:eastAsia="仿宋" w:hAnsi="仿宋" w:cs="仿宋" w:hint="eastAsia"/>
            <w:lang w:eastAsia="zh-CN"/>
          </w:rPr>
          <w:t>(一)、消防安全</w:t>
        </w:r>
        <w:r>
          <w:tab/>
        </w:r>
        <w:r>
          <w:fldChar w:fldCharType="begin"/>
        </w:r>
        <w:r>
          <w:instrText xml:space="preserve"> PAGEREF _Toc18032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86" w:history="1">
        <w:r>
          <w:rPr>
            <w:rFonts w:ascii="仿宋" w:eastAsia="仿宋" w:hAnsi="仿宋" w:cs="仿宋" w:hint="eastAsia"/>
            <w:lang w:eastAsia="zh-CN"/>
          </w:rPr>
          <w:t>(二)、防火防爆总图布置措施</w:t>
        </w:r>
        <w:r>
          <w:tab/>
        </w:r>
        <w:r>
          <w:fldChar w:fldCharType="begin"/>
        </w:r>
        <w:r>
          <w:instrText xml:space="preserve"> PAGEREF _Toc14586 \h </w:instrText>
        </w:r>
        <w:r>
          <w:fldChar w:fldCharType="separate"/>
        </w:r>
        <w:r>
          <w:t>39</w:t>
        </w:r>
        <w:r>
          <w:fldChar w:fldCharType="end"/>
        </w:r>
      </w:hyperlink>
    </w:p>
    <w:p>
      <w:pPr>
        <w:pStyle w:val="TOC2"/>
        <w:tabs>
          <w:tab w:val="right" w:leader="dot" w:pos="8306"/>
        </w:tabs>
      </w:pPr>
      <w:hyperlink w:anchor="_Toc3661" w:history="1">
        <w:r>
          <w:rPr>
            <w:rFonts w:ascii="仿宋" w:eastAsia="仿宋" w:hAnsi="仿宋" w:cs="仿宋" w:hint="eastAsia"/>
            <w:lang w:eastAsia="zh-CN"/>
          </w:rPr>
          <w:t>(三)、自然灾害防范措施</w:t>
        </w:r>
        <w:r>
          <w:tab/>
        </w:r>
        <w:r>
          <w:fldChar w:fldCharType="begin"/>
        </w:r>
        <w:r>
          <w:instrText xml:space="preserve"> PAGEREF _Toc3661 \h </w:instrText>
        </w:r>
        <w:r>
          <w:fldChar w:fldCharType="separate"/>
        </w:r>
        <w:r>
          <w:t>40</w:t>
        </w:r>
        <w:r>
          <w:fldChar w:fldCharType="end"/>
        </w:r>
      </w:hyperlink>
    </w:p>
    <w:p>
      <w:pPr>
        <w:pStyle w:val="TOC2"/>
        <w:tabs>
          <w:tab w:val="right" w:leader="dot" w:pos="8306"/>
        </w:tabs>
      </w:pPr>
      <w:hyperlink w:anchor="_Toc13677" w:history="1">
        <w:r>
          <w:rPr>
            <w:rFonts w:ascii="仿宋" w:eastAsia="仿宋" w:hAnsi="仿宋" w:cs="仿宋" w:hint="eastAsia"/>
            <w:lang w:eastAsia="zh-CN"/>
          </w:rPr>
          <w:t>(四)、安全色及安全标志使用要求</w:t>
        </w:r>
        <w:r>
          <w:tab/>
        </w:r>
        <w:r>
          <w:fldChar w:fldCharType="begin"/>
        </w:r>
        <w:r>
          <w:instrText xml:space="preserve"> PAGEREF _Toc13677 \h </w:instrText>
        </w:r>
        <w:r>
          <w:fldChar w:fldCharType="separate"/>
        </w:r>
        <w:r>
          <w:t>41</w:t>
        </w:r>
        <w:r>
          <w:fldChar w:fldCharType="end"/>
        </w:r>
      </w:hyperlink>
    </w:p>
    <w:p>
      <w:pPr>
        <w:pStyle w:val="TOC2"/>
        <w:tabs>
          <w:tab w:val="right" w:leader="dot" w:pos="8306"/>
        </w:tabs>
      </w:pPr>
      <w:hyperlink w:anchor="_Toc244" w:history="1">
        <w:r>
          <w:rPr>
            <w:rFonts w:ascii="仿宋" w:eastAsia="仿宋" w:hAnsi="仿宋" w:cs="仿宋" w:hint="eastAsia"/>
            <w:lang w:eastAsia="zh-CN"/>
          </w:rPr>
          <w:t>(五)、防尘防毒措施</w:t>
        </w:r>
        <w:r>
          <w:tab/>
        </w:r>
        <w:r>
          <w:fldChar w:fldCharType="begin"/>
        </w:r>
        <w:r>
          <w:instrText xml:space="preserve"> PAGEREF _Toc244 \h </w:instrText>
        </w:r>
        <w:r>
          <w:fldChar w:fldCharType="separate"/>
        </w:r>
        <w:r>
          <w:t>42</w:t>
        </w:r>
        <w:r>
          <w:fldChar w:fldCharType="end"/>
        </w:r>
      </w:hyperlink>
    </w:p>
    <w:p>
      <w:pPr>
        <w:pStyle w:val="TOC2"/>
        <w:tabs>
          <w:tab w:val="right" w:leader="dot" w:pos="8306"/>
        </w:tabs>
      </w:pPr>
      <w:hyperlink w:anchor="_Toc30997" w:history="1">
        <w:r>
          <w:rPr>
            <w:rFonts w:ascii="仿宋" w:eastAsia="仿宋" w:hAnsi="仿宋" w:cs="仿宋" w:hint="eastAsia"/>
            <w:lang w:eastAsia="zh-CN"/>
          </w:rPr>
          <w:t>(六)、防静电、触电防护及防雷措施</w:t>
        </w:r>
        <w:r>
          <w:tab/>
        </w:r>
        <w:r>
          <w:fldChar w:fldCharType="begin"/>
        </w:r>
        <w:r>
          <w:instrText xml:space="preserve"> PAGEREF _Toc30997 \h </w:instrText>
        </w:r>
        <w:r>
          <w:fldChar w:fldCharType="separate"/>
        </w:r>
        <w:r>
          <w:t>43</w:t>
        </w:r>
        <w:r>
          <w:fldChar w:fldCharType="end"/>
        </w:r>
      </w:hyperlink>
    </w:p>
    <w:p>
      <w:pPr>
        <w:pStyle w:val="TOC2"/>
        <w:tabs>
          <w:tab w:val="right" w:leader="dot" w:pos="8306"/>
        </w:tabs>
      </w:pPr>
      <w:hyperlink w:anchor="_Toc26687" w:history="1">
        <w:r>
          <w:rPr>
            <w:rFonts w:ascii="仿宋" w:eastAsia="仿宋" w:hAnsi="仿宋" w:cs="仿宋" w:hint="eastAsia"/>
            <w:lang w:eastAsia="zh-CN"/>
          </w:rPr>
          <w:t>(七)、机械设备安全保障措施</w:t>
        </w:r>
        <w:r>
          <w:tab/>
        </w:r>
        <w:r>
          <w:fldChar w:fldCharType="begin"/>
        </w:r>
        <w:r>
          <w:instrText xml:space="preserve"> PAGEREF _Toc26687 \h </w:instrText>
        </w:r>
        <w:r>
          <w:fldChar w:fldCharType="separate"/>
        </w:r>
        <w:r>
          <w:t>44</w:t>
        </w:r>
        <w:r>
          <w:fldChar w:fldCharType="end"/>
        </w:r>
      </w:hyperlink>
    </w:p>
    <w:p>
      <w:pPr>
        <w:pStyle w:val="TOC1"/>
        <w:tabs>
          <w:tab w:val="right" w:leader="dot" w:pos="8306"/>
        </w:tabs>
      </w:pPr>
      <w:hyperlink w:anchor="_Toc7433" w:history="1">
        <w:r>
          <w:rPr>
            <w:rFonts w:ascii="仿宋" w:eastAsia="仿宋" w:hAnsi="仿宋" w:cs="仿宋" w:hint="eastAsia"/>
            <w:lang w:eastAsia="zh-CN"/>
          </w:rPr>
          <w:t>十二、学前教育服务项目社会影响</w:t>
        </w:r>
        <w:r>
          <w:tab/>
        </w:r>
        <w:r>
          <w:fldChar w:fldCharType="begin"/>
        </w:r>
        <w:r>
          <w:instrText xml:space="preserve"> PAGEREF _Toc7433 \h </w:instrText>
        </w:r>
        <w:r>
          <w:fldChar w:fldCharType="separate"/>
        </w:r>
        <w:r>
          <w:t>46</w:t>
        </w:r>
        <w:r>
          <w:fldChar w:fldCharType="end"/>
        </w:r>
      </w:hyperlink>
    </w:p>
    <w:p>
      <w:pPr>
        <w:pStyle w:val="TOC2"/>
        <w:tabs>
          <w:tab w:val="right" w:leader="dot" w:pos="8306"/>
        </w:tabs>
      </w:pPr>
      <w:hyperlink w:anchor="_Toc7429" w:history="1">
        <w:r>
          <w:rPr>
            <w:rFonts w:ascii="仿宋" w:eastAsia="仿宋" w:hAnsi="仿宋" w:cs="仿宋" w:hint="eastAsia"/>
            <w:lang w:eastAsia="zh-CN"/>
          </w:rPr>
          <w:t>(一)、社会责任与义务</w:t>
        </w:r>
        <w:r>
          <w:tab/>
        </w:r>
        <w:r>
          <w:fldChar w:fldCharType="begin"/>
        </w:r>
        <w:r>
          <w:instrText xml:space="preserve"> PAGEREF _Toc7429 \h </w:instrText>
        </w:r>
        <w:r>
          <w:fldChar w:fldCharType="separate"/>
        </w:r>
        <w:r>
          <w:t>46</w:t>
        </w:r>
        <w:r>
          <w:fldChar w:fldCharType="end"/>
        </w:r>
      </w:hyperlink>
    </w:p>
    <w:p>
      <w:pPr>
        <w:pStyle w:val="TOC2"/>
        <w:tabs>
          <w:tab w:val="right" w:leader="dot" w:pos="8306"/>
        </w:tabs>
      </w:pPr>
      <w:hyperlink w:anchor="_Toc4724" w:history="1">
        <w:r>
          <w:rPr>
            <w:rFonts w:ascii="仿宋" w:eastAsia="仿宋" w:hAnsi="仿宋" w:cs="仿宋" w:hint="eastAsia"/>
            <w:lang w:eastAsia="zh-CN"/>
          </w:rPr>
          <w:t>(二)、社会参与与沟通</w:t>
        </w:r>
        <w:r>
          <w:tab/>
        </w:r>
        <w:r>
          <w:fldChar w:fldCharType="begin"/>
        </w:r>
        <w:r>
          <w:instrText xml:space="preserve"> PAGEREF _Toc4724 \h </w:instrText>
        </w:r>
        <w:r>
          <w:fldChar w:fldCharType="separate"/>
        </w:r>
        <w:r>
          <w:t>47</w:t>
        </w:r>
        <w:r>
          <w:fldChar w:fldCharType="end"/>
        </w:r>
      </w:hyperlink>
    </w:p>
    <w:p>
      <w:pPr>
        <w:pStyle w:val="TOC1"/>
        <w:tabs>
          <w:tab w:val="right" w:leader="dot" w:pos="8306"/>
        </w:tabs>
      </w:pPr>
      <w:hyperlink w:anchor="_Toc8364" w:history="1">
        <w:r>
          <w:rPr>
            <w:rFonts w:ascii="仿宋" w:eastAsia="仿宋" w:hAnsi="仿宋" w:cs="仿宋" w:hint="eastAsia"/>
            <w:lang w:eastAsia="zh-CN"/>
          </w:rPr>
          <w:t>十三、学前教育服务项目实施保障措施</w:t>
        </w:r>
        <w:r>
          <w:tab/>
        </w:r>
        <w:r>
          <w:fldChar w:fldCharType="begin"/>
        </w:r>
        <w:r>
          <w:instrText xml:space="preserve"> PAGEREF _Toc8364 \h </w:instrText>
        </w:r>
        <w:r>
          <w:fldChar w:fldCharType="separate"/>
        </w:r>
        <w:r>
          <w:t>47</w:t>
        </w:r>
        <w:r>
          <w:fldChar w:fldCharType="end"/>
        </w:r>
      </w:hyperlink>
    </w:p>
    <w:p>
      <w:pPr>
        <w:pStyle w:val="TOC2"/>
        <w:tabs>
          <w:tab w:val="right" w:leader="dot" w:pos="8306"/>
        </w:tabs>
      </w:pPr>
      <w:hyperlink w:anchor="_Toc32361" w:history="1">
        <w:r>
          <w:rPr>
            <w:rFonts w:ascii="仿宋" w:eastAsia="仿宋" w:hAnsi="仿宋" w:cs="仿宋" w:hint="eastAsia"/>
            <w:lang w:eastAsia="zh-CN"/>
          </w:rPr>
          <w:t>(一)、学前教育服务项目实施保障机制</w:t>
        </w:r>
        <w:r>
          <w:tab/>
        </w:r>
        <w:r>
          <w:fldChar w:fldCharType="begin"/>
        </w:r>
        <w:r>
          <w:instrText xml:space="preserve"> PAGEREF _Toc32361 \h </w:instrText>
        </w:r>
        <w:r>
          <w:fldChar w:fldCharType="separate"/>
        </w:r>
        <w:r>
          <w:t>47</w:t>
        </w:r>
        <w:r>
          <w:fldChar w:fldCharType="end"/>
        </w:r>
      </w:hyperlink>
    </w:p>
    <w:p>
      <w:pPr>
        <w:pStyle w:val="TOC2"/>
        <w:tabs>
          <w:tab w:val="right" w:leader="dot" w:pos="8306"/>
        </w:tabs>
      </w:pPr>
      <w:hyperlink w:anchor="_Toc4151" w:history="1">
        <w:r>
          <w:rPr>
            <w:rFonts w:ascii="仿宋" w:eastAsia="仿宋" w:hAnsi="仿宋" w:cs="仿宋" w:hint="eastAsia"/>
            <w:lang w:eastAsia="zh-CN"/>
          </w:rPr>
          <w:t>(二)、学前教育服务项目法律合规要求</w:t>
        </w:r>
        <w:r>
          <w:tab/>
        </w:r>
        <w:r>
          <w:fldChar w:fldCharType="begin"/>
        </w:r>
        <w:r>
          <w:instrText xml:space="preserve"> PAGEREF _Toc4151 \h </w:instrText>
        </w:r>
        <w:r>
          <w:fldChar w:fldCharType="separate"/>
        </w:r>
        <w:r>
          <w:t>51</w:t>
        </w:r>
        <w:r>
          <w:fldChar w:fldCharType="end"/>
        </w:r>
      </w:hyperlink>
    </w:p>
    <w:p>
      <w:pPr>
        <w:pStyle w:val="TOC2"/>
        <w:tabs>
          <w:tab w:val="right" w:leader="dot" w:pos="8306"/>
        </w:tabs>
      </w:pPr>
      <w:hyperlink w:anchor="_Toc19755" w:history="1">
        <w:r>
          <w:rPr>
            <w:rFonts w:ascii="仿宋" w:eastAsia="仿宋" w:hAnsi="仿宋" w:cs="仿宋" w:hint="eastAsia"/>
            <w:lang w:eastAsia="zh-CN"/>
          </w:rPr>
          <w:t>(三)、学前教育服务项目合同管理与法律事务</w:t>
        </w:r>
        <w:r>
          <w:tab/>
        </w:r>
        <w:r>
          <w:fldChar w:fldCharType="begin"/>
        </w:r>
        <w:r>
          <w:instrText xml:space="preserve"> PAGEREF _Toc19755 \h </w:instrText>
        </w:r>
        <w:r>
          <w:fldChar w:fldCharType="separate"/>
        </w:r>
        <w:r>
          <w:t>55</w:t>
        </w:r>
        <w:r>
          <w:fldChar w:fldCharType="end"/>
        </w:r>
      </w:hyperlink>
    </w:p>
    <w:p>
      <w:pPr>
        <w:pStyle w:val="TOC2"/>
        <w:tabs>
          <w:tab w:val="right" w:leader="dot" w:pos="8306"/>
        </w:tabs>
      </w:pPr>
      <w:hyperlink w:anchor="_Toc9445" w:history="1">
        <w:r>
          <w:rPr>
            <w:rFonts w:ascii="仿宋" w:eastAsia="仿宋" w:hAnsi="仿宋" w:cs="仿宋" w:hint="eastAsia"/>
            <w:lang w:eastAsia="zh-CN"/>
          </w:rPr>
          <w:t>(四)、学前教育服务项目知识产权保护策略</w:t>
        </w:r>
        <w:r>
          <w:tab/>
        </w:r>
        <w:r>
          <w:fldChar w:fldCharType="begin"/>
        </w:r>
        <w:r>
          <w:instrText xml:space="preserve"> PAGEREF _Toc9445 \h </w:instrText>
        </w:r>
        <w:r>
          <w:fldChar w:fldCharType="separate"/>
        </w:r>
        <w:r>
          <w:t>62</w:t>
        </w:r>
        <w:r>
          <w:fldChar w:fldCharType="end"/>
        </w:r>
      </w:hyperlink>
    </w:p>
    <w:p>
      <w:pPr>
        <w:pStyle w:val="TOC1"/>
        <w:tabs>
          <w:tab w:val="right" w:leader="dot" w:pos="8306"/>
        </w:tabs>
      </w:pPr>
      <w:hyperlink w:anchor="_Toc227" w:history="1">
        <w:r>
          <w:rPr>
            <w:rFonts w:ascii="仿宋" w:eastAsia="仿宋" w:hAnsi="仿宋" w:cs="仿宋" w:hint="eastAsia"/>
            <w:lang w:eastAsia="zh-CN"/>
          </w:rPr>
          <w:t>十四、风险识别与分类</w:t>
        </w:r>
        <w:r>
          <w:tab/>
        </w:r>
        <w:r>
          <w:fldChar w:fldCharType="begin"/>
        </w:r>
        <w:r>
          <w:instrText xml:space="preserve"> PAGEREF _Toc227 \h </w:instrText>
        </w:r>
        <w:r>
          <w:fldChar w:fldCharType="separate"/>
        </w:r>
        <w:r>
          <w:t>64</w:t>
        </w:r>
        <w:r>
          <w:fldChar w:fldCharType="end"/>
        </w:r>
      </w:hyperlink>
    </w:p>
    <w:p>
      <w:pPr>
        <w:pStyle w:val="TOC2"/>
        <w:tabs>
          <w:tab w:val="right" w:leader="dot" w:pos="8306"/>
        </w:tabs>
      </w:pPr>
      <w:hyperlink w:anchor="_Toc22169" w:history="1">
        <w:r>
          <w:rPr>
            <w:rFonts w:ascii="仿宋" w:eastAsia="仿宋" w:hAnsi="仿宋" w:cs="仿宋" w:hint="eastAsia"/>
            <w:lang w:eastAsia="zh-CN"/>
          </w:rPr>
          <w:t>(一)、风险识别</w:t>
        </w:r>
        <w:r>
          <w:tab/>
        </w:r>
        <w:r>
          <w:fldChar w:fldCharType="begin"/>
        </w:r>
        <w:r>
          <w:instrText xml:space="preserve"> PAGEREF _Toc22169 \h </w:instrText>
        </w:r>
        <w:r>
          <w:fldChar w:fldCharType="separate"/>
        </w:r>
        <w:r>
          <w:t>64</w:t>
        </w:r>
        <w:r>
          <w:fldChar w:fldCharType="end"/>
        </w:r>
      </w:hyperlink>
    </w:p>
    <w:p>
      <w:pPr>
        <w:pStyle w:val="TOC2"/>
        <w:tabs>
          <w:tab w:val="right" w:leader="dot" w:pos="8306"/>
        </w:tabs>
      </w:pPr>
      <w:hyperlink w:anchor="_Toc7898" w:history="1">
        <w:r>
          <w:rPr>
            <w:rFonts w:ascii="仿宋" w:eastAsia="仿宋" w:hAnsi="仿宋" w:cs="仿宋" w:hint="eastAsia"/>
            <w:lang w:eastAsia="zh-CN"/>
          </w:rPr>
          <w:t>(二)、风险分类</w:t>
        </w:r>
        <w:r>
          <w:tab/>
        </w:r>
        <w:r>
          <w:fldChar w:fldCharType="begin"/>
        </w:r>
        <w:r>
          <w:instrText xml:space="preserve"> PAGEREF _Toc7898 \h </w:instrText>
        </w:r>
        <w:r>
          <w:fldChar w:fldCharType="separate"/>
        </w:r>
        <w:r>
          <w:t>66</w:t>
        </w:r>
        <w:r>
          <w:fldChar w:fldCharType="end"/>
        </w:r>
      </w:hyperlink>
    </w:p>
    <w:p>
      <w:pPr>
        <w:pStyle w:val="TOC1"/>
        <w:tabs>
          <w:tab w:val="right" w:leader="dot" w:pos="8306"/>
        </w:tabs>
      </w:pPr>
      <w:hyperlink w:anchor="_Toc5790" w:history="1">
        <w:r>
          <w:rPr>
            <w:rFonts w:ascii="仿宋" w:eastAsia="仿宋" w:hAnsi="仿宋" w:cs="仿宋" w:hint="eastAsia"/>
            <w:lang w:eastAsia="zh-CN"/>
          </w:rPr>
          <w:t>十五、利益相关者分析与沟通计划</w:t>
        </w:r>
        <w:r>
          <w:tab/>
        </w:r>
        <w:r>
          <w:fldChar w:fldCharType="begin"/>
        </w:r>
        <w:r>
          <w:instrText xml:space="preserve"> PAGEREF _Toc5790 \h </w:instrText>
        </w:r>
        <w:r>
          <w:fldChar w:fldCharType="separate"/>
        </w:r>
        <w:r>
          <w:t>67</w:t>
        </w:r>
        <w:r>
          <w:fldChar w:fldCharType="end"/>
        </w:r>
      </w:hyperlink>
    </w:p>
    <w:p>
      <w:pPr>
        <w:pStyle w:val="TOC2"/>
        <w:tabs>
          <w:tab w:val="right" w:leader="dot" w:pos="8306"/>
        </w:tabs>
      </w:pPr>
      <w:hyperlink w:anchor="_Toc30640" w:history="1">
        <w:r>
          <w:rPr>
            <w:rFonts w:ascii="仿宋" w:eastAsia="仿宋" w:hAnsi="仿宋" w:cs="仿宋" w:hint="eastAsia"/>
            <w:lang w:eastAsia="zh-CN"/>
          </w:rPr>
          <w:t>(一)、利益相关者分析</w:t>
        </w:r>
        <w:r>
          <w:tab/>
        </w:r>
        <w:r>
          <w:fldChar w:fldCharType="begin"/>
        </w:r>
        <w:r>
          <w:instrText xml:space="preserve"> PAGEREF _Toc30640 \h </w:instrText>
        </w:r>
        <w:r>
          <w:fldChar w:fldCharType="separate"/>
        </w:r>
        <w:r>
          <w:t>67</w:t>
        </w:r>
        <w:r>
          <w:fldChar w:fldCharType="end"/>
        </w:r>
      </w:hyperlink>
    </w:p>
    <w:p>
      <w:pPr>
        <w:pStyle w:val="TOC2"/>
        <w:tabs>
          <w:tab w:val="right" w:leader="dot" w:pos="8306"/>
        </w:tabs>
      </w:pPr>
      <w:hyperlink w:anchor="_Toc3468" w:history="1">
        <w:r>
          <w:rPr>
            <w:rFonts w:ascii="仿宋" w:eastAsia="仿宋" w:hAnsi="仿宋" w:cs="仿宋" w:hint="eastAsia"/>
            <w:lang w:eastAsia="zh-CN"/>
          </w:rPr>
          <w:t>(二)、沟通计划</w:t>
        </w:r>
        <w:r>
          <w:tab/>
        </w:r>
        <w:r>
          <w:fldChar w:fldCharType="begin"/>
        </w:r>
        <w:r>
          <w:instrText xml:space="preserve"> PAGEREF _Toc3468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057"/>
      <w:r>
        <w:rPr>
          <w:rFonts w:ascii="仿宋" w:eastAsia="仿宋" w:hAnsi="仿宋" w:cs="仿宋" w:hint="eastAsia"/>
          <w:sz w:val="28"/>
          <w:lang w:eastAsia="zh-CN"/>
        </w:rPr>
        <w:t>一、学前教育服务项目建设背景及必要性分析</w:t>
      </w:r>
      <w:bookmarkEnd w:id="2"/>
    </w:p>
    <w:p>
      <w:pPr>
        <w:pStyle w:val="Heading2"/>
        <w:rPr>
          <w:rFonts w:ascii="仿宋" w:eastAsia="仿宋" w:hAnsi="仿宋" w:cs="仿宋" w:hint="eastAsia"/>
          <w:lang w:eastAsia="zh-CN"/>
        </w:rPr>
      </w:pPr>
      <w:bookmarkStart w:id="3" w:name="_Toc28787"/>
      <w:r>
        <w:rPr>
          <w:rFonts w:ascii="仿宋" w:eastAsia="仿宋" w:hAnsi="仿宋" w:cs="仿宋" w:hint="eastAsia"/>
          <w:lang w:eastAsia="zh-CN"/>
        </w:rPr>
        <w:t>(一)、学前教育服务项目背景分析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学前教育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学前教育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学前教育服务项目在这个潮流中的定位。同时，我们将关注行业内涌现的新兴机遇，以便学前教育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学前教育服务项目提供了强大的发展动力。我们将聚焦于行业内最新的技术发展趋势，包括但不限于人工智能、大数据分析、物联网等领域。通过深度的技术研究，我们将确保学前教育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学前教育服务项目发展的源泉。我们将投入更多的精力对市场需求进行深入剖析，超越表面的需求，深入挖掘潜在的市场痛点和机遇。通过对市场需求的细致了解，学前教育服务项目将更有针对性地设计解决方案，满足市场的多样化需求，从而更好地促进学前教育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学前教育服务项目战略至关重要。我们将对竞争态势进行更为深入的分析，包括但不限于市场份额、产品特点、客户满意度等多个维度。通过深度的竞争分析，学前教育服务项目将能够更准确地把握市场脉搏，制定具有竞争力的学前教育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学前教育服务项目的发展具有直接的影响。我们将进行更为全面的法规和政策分析，了解行业发展中的潜在法律风险和合规挑战。通过充分了解和遵守相关法规，学前教育服务项目将确保在法律框架内合法合规运营，为学前教育服务项目的稳健发展提供有力支持。</w:t>
      </w:r>
    </w:p>
    <w:p>
      <w:pPr>
        <w:pStyle w:val="Heading2"/>
        <w:ind w:firstLine="560" w:firstLineChars="200"/>
        <w:rPr>
          <w:rFonts w:ascii="仿宋" w:eastAsia="仿宋" w:hAnsi="仿宋" w:cs="仿宋" w:hint="eastAsia"/>
          <w:sz w:val="28"/>
          <w:lang w:eastAsia="zh-CN"/>
        </w:rPr>
      </w:pPr>
      <w:bookmarkStart w:id="4" w:name="_Toc8250"/>
      <w:r>
        <w:rPr>
          <w:rFonts w:ascii="仿宋" w:eastAsia="仿宋" w:hAnsi="仿宋" w:cs="仿宋" w:hint="eastAsia"/>
          <w:sz w:val="28"/>
          <w:lang w:eastAsia="zh-CN"/>
        </w:rPr>
        <w:t>(二)、学前教育服务项目建设必要性分析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学前教育服务项目建设的迫切性源于对行业发展趋势的深刻洞察。我们正处于一个行业变革的时代，科技创新、数字化转型成为企业发展的关键动力。学前教育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学前教育服务项目建设不仅仅是为了跟上潮流，更是为了通过技术创新推动企业的持续发展。通过引入先进的技术和解决方案，学前教育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学前教育服务项目的建设成为必然选择，通过提高产品质量、拓展服务领域，从而在竞争中获得更多的机会。学前教育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学前教育服务项目建设的必要性体现在对客户需求更精准的满足。通过学前教育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学前教育服务项目建设的背后是对企业持续创新的追求。只有通过不断创新，企业才能在竞争中立于不败之地。学前教育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6699"/>
      <w:r>
        <w:rPr>
          <w:rFonts w:ascii="仿宋" w:eastAsia="仿宋" w:hAnsi="仿宋" w:cs="仿宋" w:hint="eastAsia"/>
          <w:sz w:val="28"/>
          <w:lang w:eastAsia="zh-CN"/>
        </w:rPr>
        <w:t>二、学前教育服务项目概论</w:t>
      </w:r>
      <w:bookmarkEnd w:id="5"/>
    </w:p>
    <w:p>
      <w:pPr>
        <w:pStyle w:val="Heading2"/>
        <w:rPr>
          <w:rFonts w:ascii="仿宋" w:eastAsia="仿宋" w:hAnsi="仿宋" w:cs="仿宋" w:hint="eastAsia"/>
          <w:lang w:eastAsia="zh-CN"/>
        </w:rPr>
      </w:pPr>
      <w:bookmarkStart w:id="6" w:name="_Toc14683"/>
      <w:r>
        <w:rPr>
          <w:rFonts w:ascii="仿宋" w:eastAsia="仿宋" w:hAnsi="仿宋" w:cs="仿宋" w:hint="eastAsia"/>
          <w:lang w:eastAsia="zh-CN"/>
        </w:rPr>
        <w:t>(一)、学前教育服务项目概况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学前教育服务项目的起源追溯至对市场的深入洞察。市场的不断演变与变革为学前教育服务项目提供了难得的机遇。当前市场存在的需求缺口和变革的大环境共同构成了学前教育服务项目的背景。这个学前教育服务项目旨在充分利用市场机遇，填补行业中尚未满足的需求，为客户提供全新的解决方案。市场的变革和需求的增长使得这个学前教育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学前教育服务项目名称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学前教育服务项目正式命名为学前教育服务。这个名称不仅仅是一个标识，更代表了学前教育服务项目的核心理念和愿景。它蕴含着学前教育服务项目所要解决问题的关键字，具有强烈的表达和辨识度，为学前教育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学前教育服务项目目标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学前教育服务项目的核心目标是提供一种全新、高效的解决方案，满足客户日益增长的需求。学前教育服务项目追求的不仅仅是满足市场需求，更是在市场中获得卓越的竞争优势。通过不断提升产品或服务的质量和创新水平，学前教育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学前教育服务项目范围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学前教育服务项目全面涵盖了产品研发、制造、市场推广和售后服务，确保从产品设计到最终用户体验的全方位关注。这一全面的学前教育服务项目范围是为了确保学前教育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学前教育服务项目时间表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学前教育服务项目计划在未来18个月内完成，包括研发、测试、市场试点和正式推出等不同阶段。这个时间表的合理设计是为了确保学前教育服务项目各个阶段的顺利推进，以便按时交付高质量的成果。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学前教育服务项目预算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学前教育服务项目总预算估算为XX百万美元，主要分配在研发、市场推广、人员培训和运营等方面。这一充足的预算为学前教育服务项目提供了充足的资源，确保学前教育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学前教育服务项目风险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学前教育服务项目可能面临的风险包括市场接受度低、技术难题、竞争激烈等。学前教育服务项目团队已经制定了相应的风险应对计划，通过前瞻性的风险管理，确保学前教育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学前教育服务项目团队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学前教育服务项目汇聚了一支经验丰富、多领域专业素养的核心团队，确保学前教育服务项目在各个方面都能拥有高水平的执行力。团队的协同作战是学前教育服务项目成功的关键因素之一。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学前教育服务项目背景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学前教育服务项目的背景根植于市场对更高效、创新产品的渴望，同时也受到科技发展对行业格局的深刻改变的影响。这为学前教育服务项目提供了广阔的发展空间和市场需求。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学前教育服务项目现状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截至目前，学前教育服务项目已完成市场调研和技术验证，取得了初步的成功。这为学前教育服务项目在未来的发展奠定了坚实的基础，为更远大的目标打下了坚实的基石。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1768"/>
      <w:r>
        <w:rPr>
          <w:rFonts w:ascii="仿宋" w:eastAsia="仿宋" w:hAnsi="仿宋" w:cs="仿宋" w:hint="eastAsia"/>
          <w:sz w:val="28"/>
          <w:lang w:eastAsia="zh-CN"/>
        </w:rPr>
        <w:t>(二)、学前教育服务项目目标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keyword》学前教育服务项目首要业务目标是在市场中占据有利地位，实现产品/服务的成功推广和销售。通过不断提升产品质量、创新性，学前教育服务项目追求成为行业中的领导者，赢得更多客户的青睐。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在科技迅速发展的时代，学前教育服务项目着眼于技术创新。通过持续的研发和技术升级，学前教育服务项目旨在推出更具创新性的产品或服务，以满足市场对新鲜、先进解决方案的需求。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为了建立可持续的客户关系，学前教育服务项目设定了客户满意度目标。通过提供卓越的产品质量和优质的客户服务，学前教育服务项目追求赢得客户的信任和忠诚度，确保他们的满意度达到行业领先水平。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学前教育服务项目注重社会责任和可持续发展。通过实施环保、社会责任学前教育服务项目，学前教育服务项目致力于在经济发展的同时保护环境，促进社会公平，实现可持续经营。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学前教育服务项目的团队是实现目标的核心驱动力。因此，学前教育服务项目设定了团队发展目标，包括提升团队成员的专业技能、培养领导力，以及搭建协同高效的团队工作氛围。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5623"/>
      <w:r>
        <w:rPr>
          <w:rFonts w:ascii="仿宋" w:eastAsia="仿宋" w:hAnsi="仿宋" w:cs="仿宋" w:hint="eastAsia"/>
          <w:sz w:val="28"/>
          <w:lang w:eastAsia="zh-CN"/>
        </w:rPr>
        <w:t>(三)、学前教育服务项目提出的理由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学前教育服务项目提出的理由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学前教育服务项目的提出源于对市场机遇的深刻洞察。当前市场中存在的需求缺口和行业发展趋势表明，有巨大的商业机会等待被开发。通过准确捕捉市场机遇，学前教育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学前教育服务项目的理念基于对技术创新的信仰。通过持续的研发和技术投入，学前教育服务项目有望推出更具创新性的产品或服务。在科技飞速发展的当下，学前教育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学前教育服务项目的提出是为了增强企业的行业竞争力。通过提升产品或服务的质量和独特性，学前教育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学前教育服务项目响应了消费者需求的变化。随着社会和科技的不断发展，消费者对产品和服务的需求也在发生变化。通过深入了解并及时回应消费者的新需求，学前教育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学前教育服务项目的提出是企业战略发展规划的一部分。在面对日益激烈的市场竞争和不断变化的商业环境中，学前教育服务项目作为企业战略的一环，旨在为企业开辟新的增长领域，巩固企业在行业中的地位。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学前教育服务项目的提出不仅仅是基于商业考量，还注重社会责任。通过推出环保、社会责任等方面的学前教育服务项目，学前教育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学前教育服务项目的提出反映了对利益相关者期望的关注。包括客户、员工、投资者等利益相关者在企业发展中都有着各自的期望，学前教育服务项目力求在满足这些期望的同时，取得更大的共赢。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7672"/>
      <w:r>
        <w:rPr>
          <w:rFonts w:ascii="仿宋" w:eastAsia="仿宋" w:hAnsi="仿宋" w:cs="仿宋" w:hint="eastAsia"/>
          <w:sz w:val="28"/>
          <w:lang w:eastAsia="zh-CN"/>
        </w:rPr>
        <w:t>(四)、学前教育服务项目意义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在实施学前教育服务项目的过程中，我们不仅仅是在追逐商业成功，更是为企业和社会的多个层面创造了深远的意义。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学前教育服务项目的首要意义在于提升企业的市场竞争力。通过持续的创新和对产品质量的高标准要求，学前教育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学前教育服务项目的推进将促使行业技术水平的提升。通过引入先进技术和创新性解决方案，学前教育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学前教育服务项目不仅创造了大量就业机会，提高了就业水平，还注重社会责任和环保。通过参与社会公益事业和推动环保学前教育服务项目，学前教育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综合而言，学前教育服务项目意义重大，不仅推动了企业的发展，也为行业和社会的进步贡献了积极力量。这是一个全面而深刻的影响，将在未来产生可持续的正面效应。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4698"/>
      <w:r>
        <w:rPr>
          <w:rFonts w:ascii="仿宋" w:eastAsia="仿宋" w:hAnsi="仿宋" w:cs="仿宋" w:hint="eastAsia"/>
          <w:sz w:val="28"/>
          <w:lang w:eastAsia="zh-CN"/>
        </w:rPr>
        <w:t>(五)、学前教育服务项目背景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在当今迅猛发展的商业环境中，学前教育服务项目的动因根植于对多方面因素的审慎考量。这个学前教育服务项目的提出并非孤立的决策，而是对企业所处背景深入思考的产物。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学前教育服务项目背后的首要原因。科技的迅速发展和全球市场的快速变化使得企业必须灵活应对。学前教育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竞争的激烈程度也是学前教育服务项目背景中不可忽视的一环。企业需要在激烈竞争中脱颖而出，为此，学前教育服务项目致力于打破常规，提供独特的价值主张，以吸引客户并确保市场份额的增长。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技术的迅速发展为企业带来了机遇与挑战。作为学前教育服务项目启动的背景之一，对新兴技术的应用将有助于提升企业的技术水平，使其在不断演进的商业环境中保持竞争优势。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此外，社会对企业责任的期望也在逐渐升高。学前教育服务项目充分融入了社会责任的理念，通过可持续经营和社会公益学前教育服务项目，企图为社会贡献一份力量，在商业成功的同时关注社会价值。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0306"/>
      <w:r>
        <w:rPr>
          <w:rFonts w:ascii="仿宋" w:eastAsia="仿宋" w:hAnsi="仿宋" w:cs="仿宋" w:hint="eastAsia"/>
          <w:sz w:val="28"/>
          <w:lang w:eastAsia="zh-CN"/>
        </w:rPr>
        <w:t>三、学前教育服务项目可持续发展</w:t>
      </w:r>
      <w:bookmarkEnd w:id="11"/>
    </w:p>
    <w:p>
      <w:pPr>
        <w:pStyle w:val="Heading2"/>
        <w:rPr>
          <w:rFonts w:ascii="仿宋" w:eastAsia="仿宋" w:hAnsi="仿宋" w:cs="仿宋" w:hint="eastAsia"/>
          <w:lang w:eastAsia="zh-CN"/>
        </w:rPr>
      </w:pPr>
      <w:bookmarkStart w:id="12" w:name="_Toc9043"/>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学前教育服务项目中，学前教育服务项目团队着眼于未来，明确了可持续发展的战略方向。制定的具体可持续发展目标包括降低资源使用、采用环保技术、最大化社会效益等。这一步骤不仅有助于学前教育服务项目在环保和社会责任方面达到最高标准，也为未来提供了明确的指引，确保学前教育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可持续实践的融入学前教育服务项目管理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学前教育服务项目管理周期。从学前教育服务项目规划开始，学前教育服务项目团队就考虑了环境和社会的因素。在执行阶段，学前教育服务项目团队积极推动绿色技术的应用，优化资源利用。此外，关注员工的社会责任，通过培训和沟通活动提高员工对可持续发展的认知，使他们能够在日常工作中践行可持续实践。这些举措不仅为学前教育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1218"/>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扎根于学前教育服务项目的可持续发展理念，我们深信环保与社会责任是学前教育服务项目成功的关键支柱。在学前教育服务项目的每一步，我们都致力于通过创新和实践，履行对环境和社会的坚定责任。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学前教育服务项目团队通过引入先进的环保技术、建立高效的废物处理系统以及推动能源节约措施，积极履行环保责任。定期的环保监测和评估确保学前教育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学前教育服务项目不仅致力于自身可持续发展，还注重对社会的回馈。通过支持社区学前教育服务项目、参与慈善事业、提供培训机会等方式，学前教育服务项目积极履行社会责任。与当地社区建立积极互动，关注员工的工作与生活平衡，以及员工的身心健康，是学前教育服务项目在社会责任层面的关键举措。这样的实践不仅增强了学前教育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5614"/>
      <w:r>
        <w:rPr>
          <w:rFonts w:ascii="仿宋" w:eastAsia="仿宋" w:hAnsi="仿宋" w:cs="仿宋" w:hint="eastAsia"/>
          <w:sz w:val="28"/>
          <w:lang w:eastAsia="zh-CN"/>
        </w:rPr>
        <w:t>四、学前教育服务项目建设单位说明</w:t>
      </w:r>
      <w:bookmarkEnd w:id="14"/>
    </w:p>
    <w:p>
      <w:pPr>
        <w:pStyle w:val="Heading2"/>
        <w:rPr>
          <w:rFonts w:ascii="仿宋" w:eastAsia="仿宋" w:hAnsi="仿宋" w:cs="仿宋" w:hint="eastAsia"/>
          <w:lang w:eastAsia="zh-CN"/>
        </w:rPr>
      </w:pPr>
      <w:bookmarkStart w:id="15" w:name="_Toc19331"/>
      <w:r>
        <w:rPr>
          <w:rFonts w:ascii="仿宋" w:eastAsia="仿宋" w:hAnsi="仿宋" w:cs="仿宋" w:hint="eastAsia"/>
          <w:lang w:eastAsia="zh-CN"/>
        </w:rPr>
        <w:t>(一)、学前教育服务项目承办单位基本情况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5309"/>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学前教育服务项目承办单位的XXXX，我们着眼于实现可持续的经济效益。通过技术创新和解决方案的提供，公司预计在学前教育服务项目执行期间将获得可观的收入增长。这一收入来源主要包括学前教育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同时，我们注重成本控制和效率提升，以确保学前教育服务项目的可持续盈利。透过精细的管理和资源优化，公司期望实现学前教育服务项目利润最大化。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将对学前教育服务项目实施进行全面的投资评估，包括学前教育服务项目启动阶段的资金投入和后续运营成本。通过对学前教育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学前教育服务项目实施过程中具备足够的资金流动性，公司将进行详尽的现金流分析。这包括资金需求的合理预测、学前教育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0098"/>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7321"/>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学前教育服务项目的技术管理特点体现在其创新导向。通过引入最先进的技术趋势和解决方案，学前教育服务项目致力于提升科技含量、提高质量和效率水平。这意味着我们将采用最新的工具和方法，确保学前教育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学前教育服务项目技术管理的显著特征。通过整合不同领域的技术资源，我们实现了跨学科的协同工作。这有助于优化技术架构，提高整体效能。此外，整合性策略还促进了不同技术团队之间的紧密沟通和高效合作，确保学前教育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https://d.book118.com/316005202043010040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43504E"/>
    <w:rsid w:val="544350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6005202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2024-01-20T06:34:00Z</dcterms:created>
  <dcterms:modified xsi:type="dcterms:W3CDTF">2024-01-20T06:34:53Z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8B1D326705194DF48FE1A3A22A310604_11</vt:lpwstr>
  </property>
  <property fmtid="{D5CDD505-2E9C-101B-9397-08002B2CF9AE}" pid="3" name="KSOProductBuildVer">
    <vt:lpwstr>2052-12.1.0.16120</vt:lpwstr>
  </property>
</Properties>
</file>