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560" w:lineRule="exact"/>
        <w:jc w:val="center"/>
        <w:rPr>
          <w:rFonts w:ascii="楷体" w:eastAsia="楷体" w:hAnsi="楷体" w:cs="楷体" w:hint="eastAsia"/>
          <w:bCs/>
          <w:kern w:val="36"/>
          <w:sz w:val="24"/>
          <w:szCs w:val="24"/>
        </w:rPr>
      </w:pPr>
    </w:p>
    <w:p>
      <w:pPr>
        <w:spacing w:line="560" w:lineRule="exact"/>
        <w:jc w:val="center"/>
        <w:rPr>
          <w:rFonts w:ascii="楷体" w:eastAsia="楷体" w:hAnsi="楷体" w:cs="楷体" w:hint="eastAsia"/>
          <w:bCs/>
          <w:kern w:val="36"/>
          <w:sz w:val="30"/>
          <w:szCs w:val="30"/>
        </w:rPr>
      </w:pPr>
      <w:r>
        <w:rPr>
          <w:rFonts w:ascii="楷体" w:eastAsia="楷体" w:hAnsi="楷体" w:cs="楷体" w:hint="eastAsia"/>
          <w:bCs/>
          <w:kern w:val="36"/>
          <w:sz w:val="30"/>
          <w:szCs w:val="30"/>
        </w:rPr>
        <w:t>目  录</w:t>
      </w:r>
    </w:p>
    <w:p>
      <w:pPr>
        <w:spacing w:line="560" w:lineRule="exact"/>
        <w:jc w:val="center"/>
        <w:rPr>
          <w:rFonts w:ascii="楷体" w:eastAsia="楷体" w:hAnsi="楷体" w:cs="楷体" w:hint="eastAsia"/>
          <w:bCs/>
          <w:kern w:val="36"/>
          <w:sz w:val="24"/>
          <w:szCs w:val="24"/>
        </w:rPr>
      </w:pPr>
    </w:p>
    <w:p>
      <w:pPr>
        <w:spacing w:line="560" w:lineRule="exact"/>
        <w:jc w:val="center"/>
        <w:rPr>
          <w:rFonts w:ascii="楷体" w:eastAsia="楷体" w:hAnsi="楷体" w:cs="楷体" w:hint="eastAsia"/>
          <w:bCs/>
          <w:kern w:val="36"/>
          <w:sz w:val="24"/>
          <w:szCs w:val="24"/>
        </w:rPr>
      </w:pPr>
    </w:p>
    <w:p>
      <w:pPr>
        <w:numPr>
          <w:ilvl w:val="0"/>
          <w:numId w:val="1"/>
        </w:numPr>
        <w:spacing w:line="560" w:lineRule="exact"/>
        <w:rPr>
          <w:rFonts w:ascii="楷体" w:eastAsia="楷体" w:hAnsi="楷体" w:cs="楷体" w:hint="eastAsia"/>
          <w:bCs/>
          <w:kern w:val="36"/>
          <w:sz w:val="24"/>
          <w:szCs w:val="24"/>
        </w:rPr>
      </w:pPr>
      <w:r>
        <w:rPr>
          <w:rFonts w:ascii="楷体" w:eastAsia="楷体" w:hAnsi="楷体" w:cs="楷体" w:hint="eastAsia"/>
          <w:bCs/>
          <w:kern w:val="36"/>
          <w:sz w:val="24"/>
          <w:szCs w:val="24"/>
        </w:rPr>
        <w:t>工程概况..............................................................1二、编制说明...............................................................1</w:t>
      </w:r>
    </w:p>
    <w:p>
      <w:pPr>
        <w:spacing w:line="560" w:lineRule="exact"/>
        <w:rPr>
          <w:rFonts w:ascii="楷体" w:eastAsia="楷体" w:hAnsi="楷体" w:cs="楷体" w:hint="eastAsia"/>
          <w:bCs/>
          <w:kern w:val="36"/>
          <w:sz w:val="24"/>
          <w:szCs w:val="24"/>
        </w:rPr>
      </w:pPr>
      <w:r>
        <w:rPr>
          <w:rFonts w:ascii="楷体" w:eastAsia="楷体" w:hAnsi="楷体" w:cs="楷体" w:hint="eastAsia"/>
          <w:bCs/>
          <w:kern w:val="36"/>
          <w:sz w:val="24"/>
          <w:szCs w:val="24"/>
        </w:rPr>
        <w:t>三、混凝土结构自防水.......................................................2</w:t>
      </w:r>
    </w:p>
    <w:p>
      <w:pPr>
        <w:spacing w:line="560" w:lineRule="exact"/>
        <w:rPr>
          <w:rFonts w:ascii="楷体" w:eastAsia="楷体" w:hAnsi="楷体" w:cs="楷体" w:hint="eastAsia"/>
          <w:bCs/>
          <w:kern w:val="36"/>
          <w:sz w:val="24"/>
          <w:szCs w:val="24"/>
        </w:rPr>
      </w:pPr>
      <w:r>
        <w:rPr>
          <w:rFonts w:ascii="楷体" w:eastAsia="楷体" w:hAnsi="楷体" w:cs="楷体" w:hint="eastAsia"/>
          <w:bCs/>
          <w:kern w:val="36"/>
          <w:sz w:val="24"/>
          <w:szCs w:val="24"/>
        </w:rPr>
        <w:t>四、地下室结构自防水设计...................................................5</w:t>
      </w:r>
    </w:p>
    <w:p>
      <w:pPr>
        <w:spacing w:line="560" w:lineRule="exact"/>
        <w:rPr>
          <w:rFonts w:ascii="楷体" w:eastAsia="楷体" w:hAnsi="楷体" w:cs="楷体" w:hint="eastAsia"/>
          <w:bCs/>
          <w:sz w:val="24"/>
          <w:szCs w:val="24"/>
        </w:rPr>
      </w:pPr>
      <w:r>
        <w:rPr>
          <w:rFonts w:ascii="楷体" w:eastAsia="楷体" w:hAnsi="楷体" w:cs="楷体" w:hint="eastAsia"/>
          <w:bCs/>
          <w:kern w:val="36"/>
          <w:sz w:val="24"/>
          <w:szCs w:val="24"/>
        </w:rPr>
        <w:t>五、</w:t>
      </w:r>
      <w:r>
        <w:rPr>
          <w:rFonts w:ascii="楷体" w:eastAsia="楷体" w:hAnsi="楷体" w:cs="楷体" w:hint="eastAsia"/>
          <w:bCs/>
          <w:sz w:val="24"/>
          <w:szCs w:val="24"/>
        </w:rPr>
        <w:t>掺</w:t>
      </w:r>
      <w:r>
        <w:rPr>
          <w:rFonts w:ascii="楷体" w:eastAsia="楷体" w:hAnsi="楷体" w:cs="楷体" w:hint="eastAsia"/>
          <w:bCs/>
          <w:sz w:val="24"/>
          <w:szCs w:val="24"/>
          <w:shd w:val="clear" w:color="auto" w:fill="FFFFFF"/>
        </w:rPr>
        <w:t>SY-K膨胀纤维抗裂防水剂</w:t>
      </w:r>
      <w:r>
        <w:rPr>
          <w:rFonts w:ascii="楷体" w:eastAsia="楷体" w:hAnsi="楷体" w:cs="楷体" w:hint="eastAsia"/>
          <w:bCs/>
          <w:sz w:val="24"/>
          <w:szCs w:val="24"/>
        </w:rPr>
        <w:t>混凝土施工方案................................7</w:t>
      </w:r>
    </w:p>
    <w:p>
      <w:pPr>
        <w:spacing w:line="560" w:lineRule="exact"/>
        <w:rPr>
          <w:rFonts w:ascii="楷体" w:eastAsia="楷体" w:hAnsi="楷体" w:cs="楷体" w:hint="eastAsia"/>
          <w:bCs/>
          <w:sz w:val="24"/>
          <w:szCs w:val="24"/>
        </w:rPr>
      </w:pPr>
      <w:r>
        <w:rPr>
          <w:rFonts w:ascii="楷体" w:eastAsia="楷体" w:hAnsi="楷体" w:cs="楷体" w:hint="eastAsia"/>
          <w:bCs/>
          <w:sz w:val="24"/>
          <w:szCs w:val="24"/>
        </w:rPr>
        <w:t>六、掺SY-K混凝土的养护....................................................13</w:t>
      </w:r>
    </w:p>
    <w:p>
      <w:pPr>
        <w:spacing w:line="560" w:lineRule="exact"/>
        <w:rPr>
          <w:rFonts w:ascii="楷体" w:eastAsia="楷体" w:hAnsi="楷体" w:cs="楷体" w:hint="eastAsia"/>
          <w:bCs/>
          <w:sz w:val="24"/>
          <w:szCs w:val="24"/>
        </w:rPr>
      </w:pPr>
      <w:r>
        <w:rPr>
          <w:rFonts w:ascii="楷体" w:eastAsia="楷体" w:hAnsi="楷体" w:cs="楷体" w:hint="eastAsia"/>
          <w:bCs/>
          <w:sz w:val="24"/>
          <w:szCs w:val="24"/>
        </w:rPr>
        <w:t>七、质量保证措施..........................................................14</w:t>
      </w:r>
    </w:p>
    <w:p>
      <w:pPr>
        <w:spacing w:line="560" w:lineRule="exact"/>
        <w:rPr>
          <w:rFonts w:ascii="楷体" w:eastAsia="楷体" w:hAnsi="楷体" w:cs="楷体" w:hint="eastAsia"/>
          <w:bCs/>
          <w:sz w:val="24"/>
          <w:szCs w:val="24"/>
        </w:rPr>
      </w:pPr>
      <w:r>
        <w:rPr>
          <w:rFonts w:ascii="楷体" w:eastAsia="楷体" w:hAnsi="楷体" w:cs="楷体" w:hint="eastAsia"/>
          <w:bCs/>
          <w:sz w:val="24"/>
          <w:szCs w:val="24"/>
        </w:rPr>
        <w:t>八、夜间施工质量与安全保证措施............................................16</w:t>
      </w:r>
    </w:p>
    <w:p>
      <w:pPr>
        <w:spacing w:line="560" w:lineRule="exact"/>
        <w:rPr>
          <w:rFonts w:ascii="楷体" w:eastAsia="楷体" w:hAnsi="楷体" w:cs="楷体" w:hint="eastAsia"/>
          <w:bCs/>
          <w:sz w:val="24"/>
          <w:szCs w:val="24"/>
        </w:rPr>
      </w:pPr>
      <w:r>
        <w:rPr>
          <w:rFonts w:ascii="楷体" w:eastAsia="楷体" w:hAnsi="楷体" w:cs="楷体" w:hint="eastAsia"/>
          <w:bCs/>
          <w:sz w:val="24"/>
          <w:szCs w:val="24"/>
        </w:rPr>
        <w:t>附：底板浇筑工作安排任务表</w:t>
      </w:r>
    </w:p>
    <w:p>
      <w:pPr>
        <w:spacing w:line="560" w:lineRule="exact"/>
        <w:jc w:val="left"/>
        <w:rPr>
          <w:rFonts w:ascii="楷体" w:eastAsia="楷体" w:hAnsi="楷体" w:cs="楷体" w:hint="eastAsia"/>
          <w:b/>
          <w:sz w:val="24"/>
          <w:szCs w:val="24"/>
        </w:rPr>
      </w:pPr>
      <w:r>
        <w:rPr>
          <w:rFonts w:ascii="楷体" w:eastAsia="楷体" w:hAnsi="楷体" w:cs="楷体" w:hint="eastAsia"/>
          <w:b/>
          <w:sz w:val="24"/>
          <w:szCs w:val="24"/>
        </w:rPr>
        <w:t xml:space="preserve">    </w:t>
      </w:r>
      <w:r>
        <w:rPr>
          <w:rFonts w:ascii="楷体" w:eastAsia="楷体" w:hAnsi="楷体" w:cs="楷体" w:hint="eastAsia"/>
          <w:bCs/>
          <w:sz w:val="24"/>
          <w:szCs w:val="24"/>
        </w:rPr>
        <w:t>混凝土工作息时间安排</w:t>
      </w:r>
    </w:p>
    <w:p>
      <w:pPr>
        <w:spacing w:line="560" w:lineRule="exact"/>
        <w:jc w:val="left"/>
        <w:rPr>
          <w:rFonts w:ascii="楷体" w:eastAsia="楷体" w:hAnsi="楷体" w:cs="楷体" w:hint="eastAsia"/>
          <w:b/>
          <w:sz w:val="30"/>
          <w:szCs w:val="30"/>
        </w:rPr>
      </w:pPr>
    </w:p>
    <w:p>
      <w:pPr>
        <w:spacing w:line="560" w:lineRule="exact"/>
        <w:jc w:val="left"/>
        <w:rPr>
          <w:rFonts w:ascii="楷体" w:eastAsia="楷体" w:hAnsi="楷体" w:cs="楷体" w:hint="eastAsia"/>
          <w:b/>
          <w:sz w:val="30"/>
          <w:szCs w:val="30"/>
        </w:rPr>
      </w:pPr>
    </w:p>
    <w:p>
      <w:pPr>
        <w:spacing w:line="560" w:lineRule="exact"/>
        <w:jc w:val="left"/>
        <w:rPr>
          <w:rFonts w:ascii="楷体" w:eastAsia="楷体" w:hAnsi="楷体" w:cs="楷体" w:hint="eastAsia"/>
          <w:b/>
          <w:sz w:val="30"/>
          <w:szCs w:val="30"/>
        </w:rPr>
      </w:pPr>
    </w:p>
    <w:p>
      <w:pPr>
        <w:spacing w:line="560" w:lineRule="exact"/>
        <w:jc w:val="left"/>
        <w:rPr>
          <w:rFonts w:ascii="楷体" w:eastAsia="楷体" w:hAnsi="楷体" w:cs="楷体" w:hint="eastAsia"/>
          <w:b/>
          <w:sz w:val="30"/>
          <w:szCs w:val="30"/>
        </w:rPr>
      </w:pPr>
    </w:p>
    <w:p>
      <w:pPr>
        <w:spacing w:line="560" w:lineRule="exact"/>
        <w:jc w:val="left"/>
        <w:rPr>
          <w:rFonts w:ascii="楷体" w:eastAsia="楷体" w:hAnsi="楷体" w:cs="楷体" w:hint="eastAsia"/>
          <w:b/>
          <w:sz w:val="30"/>
          <w:szCs w:val="30"/>
        </w:rPr>
      </w:pPr>
    </w:p>
    <w:p>
      <w:pPr>
        <w:spacing w:line="560" w:lineRule="exact"/>
        <w:jc w:val="left"/>
        <w:rPr>
          <w:rFonts w:ascii="楷体" w:eastAsia="楷体" w:hAnsi="楷体" w:cs="楷体" w:hint="eastAsia"/>
          <w:b/>
          <w:sz w:val="30"/>
          <w:szCs w:val="30"/>
        </w:rPr>
      </w:pPr>
    </w:p>
    <w:p>
      <w:pPr>
        <w:spacing w:line="560" w:lineRule="exact"/>
        <w:jc w:val="left"/>
        <w:rPr>
          <w:rFonts w:ascii="楷体" w:eastAsia="楷体" w:hAnsi="楷体" w:cs="楷体" w:hint="eastAsia"/>
          <w:b/>
          <w:sz w:val="30"/>
          <w:szCs w:val="30"/>
        </w:rPr>
      </w:pPr>
    </w:p>
    <w:p>
      <w:pPr>
        <w:spacing w:line="560" w:lineRule="exact"/>
        <w:jc w:val="left"/>
        <w:rPr>
          <w:rFonts w:ascii="楷体" w:eastAsia="楷体" w:hAnsi="楷体" w:cs="楷体" w:hint="eastAsia"/>
          <w:b/>
          <w:sz w:val="30"/>
          <w:szCs w:val="30"/>
        </w:rPr>
      </w:pPr>
    </w:p>
    <w:p>
      <w:pPr>
        <w:spacing w:line="560" w:lineRule="exact"/>
        <w:jc w:val="left"/>
        <w:rPr>
          <w:rFonts w:ascii="楷体" w:eastAsia="楷体" w:hAnsi="楷体" w:cs="楷体" w:hint="eastAsia"/>
          <w:b/>
          <w:sz w:val="30"/>
          <w:szCs w:val="30"/>
        </w:rPr>
        <w:sectPr>
          <w:headerReference w:type="default" r:id="rId4"/>
          <w:footerReference w:type="default" r:id="rId5"/>
          <w:pgSz w:w="11906" w:h="16838"/>
          <w:pgMar w:top="1440" w:right="1134" w:bottom="1440" w:left="1701" w:header="851" w:footer="992" w:gutter="0"/>
          <w:pgNumType w:start="1"/>
          <w:cols w:space="708"/>
          <w:docGrid w:type="lines" w:linePitch="312"/>
        </w:sectPr>
      </w:pPr>
    </w:p>
    <w:p>
      <w:pPr>
        <w:spacing w:line="560" w:lineRule="exact"/>
        <w:jc w:val="left"/>
        <w:rPr>
          <w:rFonts w:ascii="楷体" w:eastAsia="楷体" w:hAnsi="楷体" w:cs="楷体" w:hint="eastAsia"/>
          <w:b/>
          <w:sz w:val="30"/>
          <w:szCs w:val="30"/>
        </w:rPr>
      </w:pPr>
    </w:p>
    <w:p>
      <w:pPr>
        <w:bidi w:val="0"/>
        <w:rPr>
          <w:rFonts w:ascii="楷体" w:eastAsia="楷体" w:hAnsi="楷体" w:cs="楷体" w:hint="eastAsia"/>
        </w:rPr>
      </w:pPr>
    </w:p>
    <w:p>
      <w:pPr>
        <w:bidi w:val="0"/>
        <w:rPr>
          <w:rFonts w:ascii="楷体" w:eastAsia="楷体" w:hAnsi="楷体" w:cs="楷体" w:hint="eastAsia"/>
        </w:rPr>
      </w:pPr>
    </w:p>
    <w:p>
      <w:pPr>
        <w:bidi w:val="0"/>
        <w:rPr>
          <w:rFonts w:ascii="楷体" w:eastAsia="楷体" w:hAnsi="楷体" w:cs="楷体" w:hint="eastAsia"/>
        </w:rPr>
      </w:pPr>
    </w:p>
    <w:p>
      <w:pPr>
        <w:tabs>
          <w:tab w:val="left" w:pos="551"/>
        </w:tabs>
        <w:bidi w:val="0"/>
        <w:jc w:val="left"/>
        <w:rPr>
          <w:rFonts w:ascii="楷体" w:eastAsia="楷体" w:hAnsi="楷体" w:cs="楷体" w:hint="eastAsia"/>
          <w:b/>
          <w:sz w:val="30"/>
          <w:szCs w:val="30"/>
        </w:rPr>
      </w:pPr>
      <w:r>
        <w:rPr>
          <w:rFonts w:ascii="楷体" w:eastAsia="楷体" w:hAnsi="楷体" w:cs="楷体" w:hint="eastAsia"/>
          <w:lang w:val="en-US" w:eastAsia="zh-CN"/>
        </w:rPr>
        <w:tab/>
      </w:r>
      <w:r>
        <w:rPr>
          <w:rFonts w:ascii="楷体" w:eastAsia="楷体" w:hAnsi="楷体" w:cs="楷体" w:hint="eastAsia"/>
          <w:b/>
          <w:sz w:val="30"/>
          <w:szCs w:val="30"/>
        </w:rPr>
        <w:t>一、工程概况</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本工程项目为</w:t>
      </w:r>
      <w:r>
        <w:rPr>
          <w:rFonts w:ascii="楷体" w:eastAsia="楷体" w:hAnsi="楷体" w:cs="楷体" w:hint="eastAsia"/>
          <w:bCs/>
          <w:kern w:val="36"/>
          <w:sz w:val="24"/>
          <w:szCs w:val="24"/>
          <w:lang w:val="en-US" w:eastAsia="zh-CN"/>
        </w:rPr>
        <w:t>××××××</w:t>
      </w:r>
      <w:r>
        <w:rPr>
          <w:rFonts w:ascii="楷体" w:eastAsia="楷体" w:hAnsi="楷体" w:cs="楷体" w:hint="eastAsia"/>
          <w:bCs/>
          <w:kern w:val="36"/>
          <w:sz w:val="24"/>
          <w:szCs w:val="24"/>
        </w:rPr>
        <w:t>国道边，由</w:t>
      </w:r>
      <w:r>
        <w:rPr>
          <w:rFonts w:ascii="楷体" w:eastAsia="楷体" w:hAnsi="楷体" w:cs="楷体" w:hint="eastAsia"/>
          <w:bCs/>
          <w:kern w:val="36"/>
          <w:sz w:val="24"/>
          <w:szCs w:val="24"/>
          <w:lang w:val="en-US" w:eastAsia="zh-CN"/>
        </w:rPr>
        <w:t>××××××</w:t>
      </w:r>
      <w:r>
        <w:rPr>
          <w:rFonts w:ascii="楷体" w:eastAsia="楷体" w:hAnsi="楷体" w:cs="楷体" w:hint="eastAsia"/>
          <w:bCs/>
          <w:kern w:val="36"/>
          <w:sz w:val="24"/>
          <w:szCs w:val="24"/>
        </w:rPr>
        <w:t>设计院设计。本工程设计使用年限50年，结构形式为框架结构、管桩基础，地下室底板厚为350mm厚（局部板厚500mm）、剪力墙厚250，地下室抗渗等级P6，混凝土强度为C30。地下室为现浇混凝土结构，且为超长无缝结构，抗裂、抗渗、防水性能要求十分严格，本项目采用抗裂防水混凝土，并采取加强带与外加剂相结合的做法，要求所有梁板的混凝土均需加外加剂，抗裂防水混凝土掺加SY-K型膨胀型抗裂防水剂，掺量均为8%，加强带及处掺量为12%。</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结构防水是以水泥混凝土为主，施工简单，成本低，防水耐久性好，可与结构寿命同步，如果发生渗漏，其渗漏处可见，且易于修补。现参照国标GB50108-2008《地下工程防水技术规范》和GB50208-2011《地下防水工程质量验收规范》中的相关规定，地下室主体应采用刚性混凝土自防水结构，以提高地下室的整体防水性能。</w:t>
      </w:r>
    </w:p>
    <w:p>
      <w:pPr>
        <w:spacing w:line="560" w:lineRule="exact"/>
        <w:ind w:firstLine="480" w:firstLineChars="200"/>
        <w:jc w:val="left"/>
        <w:rPr>
          <w:rFonts w:ascii="楷体" w:eastAsia="楷体" w:hAnsi="楷体" w:cs="楷体" w:hint="eastAsia"/>
          <w:sz w:val="24"/>
          <w:szCs w:val="24"/>
        </w:rPr>
      </w:pPr>
      <w:r>
        <w:rPr>
          <w:rFonts w:ascii="楷体" w:eastAsia="楷体" w:hAnsi="楷体" w:cs="楷体" w:hint="eastAsia"/>
          <w:sz w:val="24"/>
          <w:szCs w:val="24"/>
        </w:rPr>
        <w:t>为确保本地下室混凝土施工质量，按设计及规范要求，</w:t>
      </w:r>
      <w:r>
        <w:rPr>
          <w:rFonts w:ascii="楷体" w:eastAsia="楷体" w:hAnsi="楷体" w:cs="楷体" w:hint="eastAsia"/>
          <w:bCs/>
          <w:kern w:val="36"/>
          <w:sz w:val="24"/>
          <w:szCs w:val="24"/>
        </w:rPr>
        <w:t>结合有效的施工方法，解决混凝土底板浇筑后的塑性收缩及离析产生的微裂缝问题，为此特编制本方案。</w:t>
      </w:r>
    </w:p>
    <w:p>
      <w:pPr>
        <w:spacing w:line="560" w:lineRule="exact"/>
        <w:jc w:val="left"/>
        <w:rPr>
          <w:rFonts w:ascii="楷体" w:eastAsia="楷体" w:hAnsi="楷体" w:cs="楷体" w:hint="eastAsia"/>
          <w:b/>
          <w:sz w:val="30"/>
          <w:szCs w:val="30"/>
        </w:rPr>
      </w:pPr>
      <w:r>
        <w:rPr>
          <w:rFonts w:ascii="楷体" w:eastAsia="楷体" w:hAnsi="楷体" w:cs="楷体" w:hint="eastAsia"/>
          <w:b/>
          <w:sz w:val="30"/>
          <w:szCs w:val="30"/>
        </w:rPr>
        <w:t>二、编制说明</w:t>
      </w:r>
    </w:p>
    <w:p>
      <w:pPr>
        <w:pStyle w:val="10"/>
        <w:spacing w:line="560" w:lineRule="exact"/>
        <w:ind w:firstLine="0" w:firstLineChars="0"/>
        <w:jc w:val="left"/>
        <w:rPr>
          <w:rFonts w:ascii="楷体" w:eastAsia="楷体" w:hAnsi="楷体" w:cs="楷体" w:hint="eastAsia"/>
          <w:sz w:val="24"/>
          <w:szCs w:val="24"/>
        </w:rPr>
      </w:pPr>
      <w:r>
        <w:rPr>
          <w:rFonts w:ascii="楷体" w:eastAsia="楷体" w:hAnsi="楷体" w:cs="楷体" w:hint="eastAsia"/>
          <w:sz w:val="24"/>
          <w:szCs w:val="24"/>
        </w:rPr>
        <w:t>本方案主要依据以下资料编制：</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《补偿收缩混凝土应用技术规程》JGJ/T178-2009；</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《混凝土膨胀剂》GB23439-2009；</w:t>
      </w:r>
    </w:p>
    <w:p>
      <w:pPr>
        <w:pStyle w:val="10"/>
        <w:spacing w:line="560" w:lineRule="exact"/>
        <w:ind w:firstLine="360" w:firstLineChars="150"/>
        <w:jc w:val="left"/>
        <w:rPr>
          <w:rFonts w:ascii="楷体" w:eastAsia="楷体" w:hAnsi="楷体" w:cs="楷体" w:hint="eastAsia"/>
          <w:sz w:val="24"/>
          <w:szCs w:val="24"/>
        </w:rPr>
      </w:pPr>
      <w:r>
        <w:rPr>
          <w:rFonts w:ascii="楷体" w:eastAsia="楷体" w:hAnsi="楷体" w:cs="楷体" w:hint="eastAsia"/>
          <w:sz w:val="24"/>
          <w:szCs w:val="24"/>
        </w:rPr>
        <w:t>《通用硅酸盐水泥》GB175-2007；</w:t>
      </w:r>
    </w:p>
    <w:p>
      <w:pPr>
        <w:pStyle w:val="10"/>
        <w:spacing w:line="560" w:lineRule="exact"/>
        <w:ind w:firstLine="360" w:firstLineChars="150"/>
        <w:jc w:val="left"/>
        <w:rPr>
          <w:rFonts w:ascii="楷体" w:eastAsia="楷体" w:hAnsi="楷体" w:cs="楷体" w:hint="eastAsia"/>
          <w:sz w:val="24"/>
          <w:szCs w:val="24"/>
        </w:rPr>
      </w:pPr>
      <w:r>
        <w:rPr>
          <w:rFonts w:ascii="楷体" w:eastAsia="楷体" w:hAnsi="楷体" w:cs="楷体" w:hint="eastAsia"/>
          <w:sz w:val="24"/>
          <w:szCs w:val="24"/>
        </w:rPr>
        <w:t>《用于水泥和混凝土中的粉煤灰》GB1596 -2005；</w:t>
      </w:r>
    </w:p>
    <w:p>
      <w:pPr>
        <w:pStyle w:val="10"/>
        <w:spacing w:line="560" w:lineRule="exact"/>
        <w:ind w:firstLine="360" w:firstLineChars="150"/>
        <w:jc w:val="left"/>
        <w:rPr>
          <w:rFonts w:ascii="楷体" w:eastAsia="楷体" w:hAnsi="楷体" w:cs="楷体" w:hint="eastAsia"/>
          <w:sz w:val="24"/>
          <w:szCs w:val="24"/>
        </w:rPr>
      </w:pPr>
      <w:r>
        <w:rPr>
          <w:rFonts w:ascii="楷体" w:eastAsia="楷体" w:hAnsi="楷体" w:cs="楷体" w:hint="eastAsia"/>
          <w:sz w:val="24"/>
          <w:szCs w:val="24"/>
        </w:rPr>
        <w:t>《用于水泥和混凝土中的粒化高炉矿渣粉》GB/T18046-2008；</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《普通混凝土用砂、石质量及检验方法标准》JGJ52-2006；</w:t>
      </w:r>
    </w:p>
    <w:p>
      <w:pPr>
        <w:spacing w:line="560" w:lineRule="exact"/>
        <w:ind w:right="-23" w:firstLine="360" w:rightChars="-11" w:firstLineChars="150"/>
        <w:rPr>
          <w:rFonts w:ascii="楷体" w:eastAsia="楷体" w:hAnsi="楷体" w:cs="楷体" w:hint="eastAsia"/>
          <w:sz w:val="24"/>
          <w:szCs w:val="24"/>
        </w:rPr>
        <w:sectPr>
          <w:headerReference w:type="default" r:id="rId6"/>
          <w:footerReference w:type="default" r:id="rId7"/>
          <w:type w:val="nextPage"/>
          <w:pgSz w:w="11906" w:h="16838"/>
          <w:pgMar w:top="1440" w:right="1134" w:bottom="1440" w:left="1701" w:header="851" w:footer="992" w:gutter="0"/>
          <w:pgNumType w:start="2"/>
          <w:cols w:space="708"/>
          <w:titlePg w:val="0"/>
          <w:docGrid w:type="lines" w:linePitch="312"/>
        </w:sectPr>
      </w:pPr>
      <w:r>
        <w:rPr>
          <w:rFonts w:ascii="楷体" w:eastAsia="楷体" w:hAnsi="楷体" w:cs="楷体" w:hint="eastAsia"/>
          <w:sz w:val="24"/>
          <w:szCs w:val="24"/>
        </w:rPr>
        <w:t>《混凝土外加剂》GB8076-2008；</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《混凝土用水标准》JGJ63-2006；</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《混凝土结构试验方法标准》GB/T50152-2012；</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《混凝土外加剂应用技术规范》GB50119-2013；</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《混凝土结构设计规范》GB50010-2010；</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《混凝土泵送施工技术规程》JGJ/T10-2011；</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《混凝土质量控制标准》GB50164-2011；</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《质量管理体系要求》 ISO9001:2008；</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《地下防水工程质量验收规范》（GB 50208-2011）；</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《预拌混凝土》（GB/T 14902-2012）；</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《混凝土结构工程施工及验收规范》（GB50204-2002【2011年版】）；</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《混凝土强度检验评定标准》（GB/T50107-2010）；</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《工程结构裂缝控制》，作者王铁梦，中国建筑工业出版社，1997.8；</w:t>
      </w:r>
    </w:p>
    <w:p>
      <w:pPr>
        <w:spacing w:line="560" w:lineRule="exact"/>
        <w:ind w:right="-23" w:firstLine="360" w:rightChars="-11" w:firstLineChars="150"/>
        <w:rPr>
          <w:rFonts w:ascii="楷体" w:eastAsia="楷体" w:hAnsi="楷体" w:cs="楷体" w:hint="eastAsia"/>
          <w:sz w:val="24"/>
          <w:szCs w:val="24"/>
        </w:rPr>
      </w:pPr>
      <w:r>
        <w:rPr>
          <w:rFonts w:ascii="楷体" w:eastAsia="楷体" w:hAnsi="楷体" w:cs="楷体" w:hint="eastAsia"/>
          <w:sz w:val="24"/>
          <w:szCs w:val="24"/>
        </w:rPr>
        <w:t>《补偿收缩混凝土应用技术规程》（JGJ/T 178-2009）</w:t>
      </w:r>
    </w:p>
    <w:p>
      <w:pPr>
        <w:spacing w:line="560" w:lineRule="exact"/>
        <w:ind w:firstLine="480" w:firstLineChars="200"/>
        <w:jc w:val="left"/>
        <w:rPr>
          <w:rFonts w:ascii="楷体" w:eastAsia="楷体" w:hAnsi="楷体" w:cs="楷体" w:hint="eastAsia"/>
          <w:b/>
          <w:sz w:val="32"/>
          <w:szCs w:val="32"/>
        </w:rPr>
      </w:pPr>
      <w:r>
        <w:rPr>
          <w:rFonts w:ascii="楷体" w:eastAsia="楷体" w:hAnsi="楷体" w:cs="楷体" w:hint="eastAsia"/>
          <w:sz w:val="24"/>
          <w:szCs w:val="24"/>
        </w:rPr>
        <w:t>本方案中未尽事宜，按设计图和相关施工规范执行。</w:t>
      </w:r>
    </w:p>
    <w:p>
      <w:pPr>
        <w:spacing w:before="156" w:beforeLines="50" w:line="560" w:lineRule="exact"/>
        <w:jc w:val="left"/>
        <w:rPr>
          <w:rFonts w:ascii="楷体" w:eastAsia="楷体" w:hAnsi="楷体" w:cs="楷体" w:hint="eastAsia"/>
          <w:b/>
          <w:sz w:val="30"/>
          <w:szCs w:val="30"/>
        </w:rPr>
      </w:pPr>
      <w:r>
        <w:rPr>
          <w:rFonts w:ascii="楷体" w:eastAsia="楷体" w:hAnsi="楷体" w:cs="楷体" w:hint="eastAsia"/>
          <w:b/>
          <w:sz w:val="30"/>
          <w:szCs w:val="30"/>
        </w:rPr>
        <w:t>三、混凝土结构自防水</w:t>
      </w:r>
    </w:p>
    <w:p>
      <w:pPr>
        <w:spacing w:line="560" w:lineRule="exact"/>
        <w:jc w:val="left"/>
        <w:rPr>
          <w:rFonts w:ascii="楷体" w:eastAsia="楷体" w:hAnsi="楷体" w:cs="楷体" w:hint="eastAsia"/>
          <w:b/>
          <w:sz w:val="28"/>
          <w:szCs w:val="28"/>
        </w:rPr>
      </w:pPr>
      <w:r>
        <w:rPr>
          <w:rFonts w:ascii="楷体" w:eastAsia="楷体" w:hAnsi="楷体" w:cs="楷体" w:hint="eastAsia"/>
          <w:b/>
          <w:sz w:val="28"/>
          <w:szCs w:val="28"/>
        </w:rPr>
        <w:t>3.1 SY-K型膨胀纤维抗裂防水剂产品说明</w:t>
      </w:r>
    </w:p>
    <w:p>
      <w:pPr>
        <w:spacing w:line="560" w:lineRule="exact"/>
        <w:jc w:val="left"/>
        <w:rPr>
          <w:rFonts w:ascii="楷体" w:eastAsia="楷体" w:hAnsi="楷体" w:cs="楷体" w:hint="eastAsia"/>
          <w:bCs/>
          <w:kern w:val="36"/>
          <w:sz w:val="24"/>
          <w:szCs w:val="24"/>
        </w:rPr>
      </w:pPr>
      <w:r>
        <w:rPr>
          <w:rFonts w:ascii="楷体" w:eastAsia="楷体" w:hAnsi="楷体" w:cs="楷体" w:hint="eastAsia"/>
          <w:bCs/>
          <w:kern w:val="36"/>
          <w:sz w:val="24"/>
          <w:szCs w:val="24"/>
        </w:rPr>
        <w:t>3.1.1产品简介</w:t>
      </w:r>
    </w:p>
    <w:p>
      <w:pPr>
        <w:spacing w:line="560" w:lineRule="exact"/>
        <w:ind w:firstLine="480" w:firstLineChars="200"/>
        <w:jc w:val="left"/>
        <w:rPr>
          <w:rFonts w:ascii="楷体" w:eastAsia="楷体" w:hAnsi="楷体" w:cs="楷体" w:hint="eastAsia"/>
          <w:bCs/>
          <w:kern w:val="36"/>
          <w:sz w:val="24"/>
          <w:szCs w:val="24"/>
        </w:rPr>
        <w:sectPr>
          <w:headerReference w:type="default" r:id="rId8"/>
          <w:footerReference w:type="default" r:id="rId9"/>
          <w:type w:val="nextPage"/>
          <w:pgSz w:w="11906" w:h="16838"/>
          <w:pgMar w:top="1440" w:right="1134" w:bottom="1440" w:left="1701" w:header="851" w:footer="992" w:gutter="0"/>
          <w:pgNumType w:start="3"/>
          <w:cols w:space="708"/>
          <w:titlePg w:val="0"/>
          <w:docGrid w:type="lines" w:linePitch="312"/>
        </w:sectPr>
      </w:pPr>
      <w:r>
        <w:rPr>
          <w:rFonts w:ascii="楷体" w:eastAsia="楷体" w:hAnsi="楷体" w:cs="楷体" w:hint="eastAsia"/>
          <w:sz w:val="24"/>
          <w:szCs w:val="24"/>
          <w:shd w:val="clear" w:color="auto" w:fill="FFFFFF"/>
        </w:rPr>
        <w:t>SY-K膨胀纤维抗裂防水剂是由硫铝酸盐微膨胀剂、</w:t>
      </w:r>
      <w:hyperlink r:id="rId10" w:tgtFrame="https://baike.baidu.com/item/SY-K%E5%9E%8B%E8%86%A8%E8%83%80%E7%BA%A4%E7%BB%B4%E6%8A%97%E8%A3%82%E9%98%B2%E6%B0%B4%E5%89%82/_blank" w:history="1">
        <w:r>
          <w:rPr>
            <w:rStyle w:val="Hyperlink"/>
            <w:rFonts w:ascii="楷体" w:eastAsia="楷体" w:hAnsi="楷体" w:cs="楷体" w:hint="eastAsia"/>
            <w:color w:val="auto"/>
            <w:sz w:val="24"/>
            <w:szCs w:val="24"/>
            <w:u w:val="none"/>
            <w:shd w:val="clear" w:color="auto" w:fill="FFFFFF"/>
          </w:rPr>
          <w:t>聚丙烯纤维</w:t>
        </w:r>
      </w:hyperlink>
      <w:r>
        <w:rPr>
          <w:rFonts w:ascii="楷体" w:eastAsia="楷体" w:hAnsi="楷体" w:cs="楷体" w:hint="eastAsia"/>
          <w:sz w:val="24"/>
          <w:szCs w:val="24"/>
          <w:shd w:val="clear" w:color="auto" w:fill="FFFFFF"/>
        </w:rPr>
        <w:t>、</w:t>
      </w:r>
      <w:hyperlink r:id="rId11" w:tgtFrame="https://baike.baidu.com/item/SY-K%E5%9E%8B%E8%86%A8%E8%83%80%E7%BA%A4%E7%BB%B4%E6%8A%97%E8%A3%82%E9%98%B2%E6%B0%B4%E5%89%82/_blank" w:history="1">
        <w:r>
          <w:rPr>
            <w:rStyle w:val="Hyperlink"/>
            <w:rFonts w:ascii="楷体" w:eastAsia="楷体" w:hAnsi="楷体" w:cs="楷体" w:hint="eastAsia"/>
            <w:color w:val="auto"/>
            <w:sz w:val="24"/>
            <w:szCs w:val="24"/>
            <w:u w:val="none"/>
            <w:shd w:val="clear" w:color="auto" w:fill="FFFFFF"/>
          </w:rPr>
          <w:t>防水剂</w:t>
        </w:r>
      </w:hyperlink>
      <w:r>
        <w:rPr>
          <w:rFonts w:ascii="楷体" w:eastAsia="楷体" w:hAnsi="楷体" w:cs="楷体" w:hint="eastAsia"/>
          <w:sz w:val="24"/>
          <w:szCs w:val="24"/>
          <w:shd w:val="clear" w:color="auto" w:fill="FFFFFF"/>
        </w:rPr>
        <w:t>、</w:t>
      </w:r>
      <w:hyperlink r:id="rId12" w:tgtFrame="https://baike.baidu.com/item/SY-K%E5%9E%8B%E8%86%A8%E8%83%80%E7%BA%A4%E7%BB%B4%E6%8A%97%E8%A3%82%E9%98%B2%E6%B0%B4%E5%89%82/_blank" w:history="1">
        <w:r>
          <w:rPr>
            <w:rStyle w:val="Hyperlink"/>
            <w:rFonts w:ascii="楷体" w:eastAsia="楷体" w:hAnsi="楷体" w:cs="楷体" w:hint="eastAsia"/>
            <w:color w:val="auto"/>
            <w:sz w:val="24"/>
            <w:szCs w:val="24"/>
            <w:u w:val="none"/>
            <w:shd w:val="clear" w:color="auto" w:fill="FFFFFF"/>
          </w:rPr>
          <w:t>增强剂</w:t>
        </w:r>
      </w:hyperlink>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sz w:val="24"/>
          <w:szCs w:val="24"/>
          <w:shd w:val="clear" w:color="auto" w:fill="FFFFFF"/>
        </w:rPr>
        <w:t>等多种功能材料复合而成，产品具有微膨胀性能和阻裂纤维的共同优点、同时还具有高抗裂、高抗渗的超叠加效应。SY-K产品掺入混凝土中后，依靠纤维在混凝土中巨大数量的均匀分布，在混凝土内部构成一种均匀的乱向支撑体系，从而产生一种有效的二级加强效果，并有助于削减混凝土塑性收缩及冻融时的应力。收缩的能量被分散到每立方米上千万条具有高抗拉强度而弹性模量相对较低的纤维单丝上，从而有效增强了混凝土的韧性，抑制了微细裂缝的产生和发展。同时，无数纤维单丝的加入可有效阻碍骨料的离析，保证了混凝土早期的均匀泌水性，从而阻碍了沉降裂纹的形成。实践证明，掺入该产品的混凝土与普通混凝土相比较，其抗裂能力提高75%；</w:t>
      </w:r>
      <w:r>
        <w:rPr>
          <w:rFonts w:ascii="楷体" w:eastAsia="楷体" w:hAnsi="楷体" w:cs="楷体" w:hint="eastAsia"/>
          <w:bCs/>
          <w:kern w:val="36"/>
          <w:sz w:val="24"/>
          <w:szCs w:val="24"/>
        </w:rPr>
        <w:t>可以极为有效的控制混凝土/砂浆的塑性收缩及离析产生的微裂缝问题，大大改善混凝土/砂浆的抗裂防水等耐久性能。</w:t>
      </w:r>
    </w:p>
    <w:p>
      <w:pPr>
        <w:spacing w:line="560" w:lineRule="exact"/>
        <w:jc w:val="left"/>
        <w:rPr>
          <w:rFonts w:ascii="楷体" w:eastAsia="楷体" w:hAnsi="楷体" w:cs="楷体" w:hint="eastAsia"/>
          <w:bCs/>
          <w:kern w:val="36"/>
          <w:sz w:val="24"/>
          <w:szCs w:val="24"/>
        </w:rPr>
      </w:pPr>
      <w:r>
        <w:rPr>
          <w:rFonts w:ascii="楷体" w:eastAsia="楷体" w:hAnsi="楷体" w:cs="楷体" w:hint="eastAsia"/>
          <w:bCs/>
          <w:kern w:val="36"/>
          <w:sz w:val="24"/>
          <w:szCs w:val="24"/>
        </w:rPr>
        <w:t>3.1.2产品特点</w:t>
      </w:r>
    </w:p>
    <w:p>
      <w:pPr>
        <w:numPr>
          <w:ilvl w:val="0"/>
          <w:numId w:val="10"/>
        </w:numPr>
        <w:spacing w:line="560" w:lineRule="exact"/>
        <w:ind w:firstLine="240" w:firstLineChars="100"/>
        <w:jc w:val="left"/>
        <w:rPr>
          <w:rFonts w:ascii="楷体" w:eastAsia="楷体" w:hAnsi="楷体" w:cs="楷体" w:hint="eastAsia"/>
          <w:bCs/>
          <w:kern w:val="36"/>
          <w:sz w:val="24"/>
          <w:szCs w:val="24"/>
        </w:rPr>
      </w:pPr>
      <w:r>
        <w:rPr>
          <w:rFonts w:ascii="楷体" w:eastAsia="楷体" w:hAnsi="楷体" w:cs="楷体" w:hint="eastAsia"/>
          <w:sz w:val="24"/>
          <w:szCs w:val="24"/>
          <w:shd w:val="clear" w:color="auto" w:fill="FFFFFF"/>
        </w:rPr>
        <w:t>SY-K膨胀纤维抗裂防水剂</w:t>
      </w:r>
      <w:r>
        <w:rPr>
          <w:rFonts w:ascii="楷体" w:eastAsia="楷体" w:hAnsi="楷体" w:cs="楷体" w:hint="eastAsia"/>
          <w:bCs/>
          <w:kern w:val="36"/>
          <w:sz w:val="24"/>
          <w:szCs w:val="24"/>
        </w:rPr>
        <w:t>具有双重保护、双重功效：</w:t>
      </w:r>
      <w:r>
        <w:rPr>
          <w:rFonts w:ascii="楷体" w:eastAsia="楷体" w:hAnsi="楷体" w:cs="楷体" w:hint="eastAsia"/>
          <w:sz w:val="24"/>
          <w:szCs w:val="24"/>
          <w:shd w:val="clear" w:color="auto" w:fill="FFFFFF"/>
        </w:rPr>
        <w:t>一方面，数量众多的合成纤维产生微细配筋及网状承托的作用，抑制了混凝土的开裂进程；另一方面，膨胀组分与水泥水化产物发生化学反应并产生适度膨胀，可防止混凝土收缩开裂；</w:t>
      </w:r>
      <w:r>
        <w:rPr>
          <w:rFonts w:ascii="楷体" w:eastAsia="楷体" w:hAnsi="楷体" w:cs="楷体" w:hint="eastAsia"/>
          <w:bCs/>
          <w:kern w:val="36"/>
          <w:sz w:val="24"/>
          <w:szCs w:val="24"/>
        </w:rPr>
        <w:t>从物理和化学两方面提高混凝土的抗裂能力，为混凝土提供双重保护；</w:t>
      </w:r>
    </w:p>
    <w:p>
      <w:pPr>
        <w:numPr>
          <w:ilvl w:val="0"/>
          <w:numId w:val="10"/>
        </w:numPr>
        <w:spacing w:line="560" w:lineRule="exact"/>
        <w:ind w:firstLine="240" w:firstLineChars="100"/>
        <w:jc w:val="left"/>
        <w:rPr>
          <w:rFonts w:ascii="楷体" w:eastAsia="楷体" w:hAnsi="楷体" w:cs="楷体" w:hint="eastAsia"/>
          <w:bCs/>
          <w:kern w:val="36"/>
          <w:sz w:val="24"/>
          <w:szCs w:val="24"/>
        </w:rPr>
      </w:pPr>
      <w:r>
        <w:rPr>
          <w:rFonts w:ascii="楷体" w:eastAsia="楷体" w:hAnsi="楷体" w:cs="楷体" w:hint="eastAsia"/>
          <w:sz w:val="24"/>
          <w:szCs w:val="24"/>
          <w:shd w:val="clear" w:color="auto" w:fill="FFFFFF"/>
        </w:rPr>
        <w:t>SY-K膨胀纤维抗裂防水剂</w:t>
      </w:r>
      <w:r>
        <w:rPr>
          <w:rFonts w:ascii="楷体" w:eastAsia="楷体" w:hAnsi="楷体" w:cs="楷体" w:hint="eastAsia"/>
          <w:bCs/>
          <w:kern w:val="36"/>
          <w:sz w:val="24"/>
          <w:szCs w:val="24"/>
        </w:rPr>
        <w:t>具有阶段抗裂、层次抗裂的效能：</w:t>
      </w:r>
      <w:r>
        <w:rPr>
          <w:rFonts w:ascii="楷体" w:eastAsia="楷体" w:hAnsi="楷体" w:cs="楷体" w:hint="eastAsia"/>
          <w:sz w:val="24"/>
          <w:szCs w:val="24"/>
          <w:shd w:val="clear" w:color="auto" w:fill="FFFFFF"/>
        </w:rPr>
        <w:t>微膨胀剂主要在混凝土硬化过程发生作用，而聚丙烯纤维则主要在混凝土塑性阶段发挥作用。SY-K膨胀纤维抗裂防水剂将二者复合体现了</w:t>
      </w:r>
      <w:r>
        <w:rPr>
          <w:rFonts w:ascii="楷体" w:eastAsia="楷体" w:hAnsi="楷体" w:cs="楷体" w:hint="eastAsia"/>
          <w:sz w:val="24"/>
          <w:szCs w:val="24"/>
          <w:shd w:val="clear" w:color="auto" w:fill="FFFFFF"/>
        </w:rPr>
        <w:t>“</w:t>
      </w:r>
      <w:r>
        <w:rPr>
          <w:rFonts w:ascii="楷体" w:eastAsia="楷体" w:hAnsi="楷体" w:cs="楷体" w:hint="eastAsia"/>
          <w:sz w:val="24"/>
          <w:szCs w:val="24"/>
          <w:shd w:val="clear" w:color="auto" w:fill="FFFFFF"/>
        </w:rPr>
        <w:t>阶段抗裂、层次抗裂</w:t>
      </w:r>
      <w:r>
        <w:rPr>
          <w:rFonts w:ascii="楷体" w:eastAsia="楷体" w:hAnsi="楷体" w:cs="楷体" w:hint="eastAsia"/>
          <w:sz w:val="24"/>
          <w:szCs w:val="24"/>
          <w:shd w:val="clear" w:color="auto" w:fill="FFFFFF"/>
        </w:rPr>
        <w:t>”</w:t>
      </w:r>
      <w:r>
        <w:rPr>
          <w:rFonts w:ascii="楷体" w:eastAsia="楷体" w:hAnsi="楷体" w:cs="楷体" w:hint="eastAsia"/>
          <w:sz w:val="24"/>
          <w:szCs w:val="24"/>
          <w:shd w:val="clear" w:color="auto" w:fill="FFFFFF"/>
        </w:rPr>
        <w:t>科学理念，可达到全程抗裂的目的，它们从不同层面，以不同方式，在不同时段对混凝土作出最有效的贡献；</w:t>
      </w:r>
    </w:p>
    <w:p>
      <w:pPr>
        <w:numPr>
          <w:ilvl w:val="0"/>
          <w:numId w:val="10"/>
        </w:numPr>
        <w:spacing w:line="560" w:lineRule="exact"/>
        <w:ind w:firstLine="240" w:firstLineChars="100"/>
        <w:jc w:val="left"/>
        <w:rPr>
          <w:rFonts w:ascii="楷体" w:eastAsia="楷体" w:hAnsi="楷体" w:cs="楷体" w:hint="eastAsia"/>
          <w:bCs/>
          <w:kern w:val="36"/>
          <w:sz w:val="24"/>
          <w:szCs w:val="24"/>
        </w:rPr>
      </w:pPr>
      <w:r>
        <w:rPr>
          <w:rFonts w:ascii="楷体" w:eastAsia="楷体" w:hAnsi="楷体" w:cs="楷体" w:hint="eastAsia"/>
          <w:sz w:val="24"/>
          <w:szCs w:val="24"/>
          <w:shd w:val="clear" w:color="auto" w:fill="FFFFFF"/>
        </w:rPr>
        <w:t>SY-K膨胀纤维抗裂防水剂</w:t>
      </w:r>
      <w:r>
        <w:rPr>
          <w:rFonts w:ascii="楷体" w:eastAsia="楷体" w:hAnsi="楷体" w:cs="楷体" w:hint="eastAsia"/>
          <w:bCs/>
          <w:kern w:val="36"/>
          <w:sz w:val="24"/>
          <w:szCs w:val="24"/>
        </w:rPr>
        <w:t>具备三重防水机理：</w:t>
      </w:r>
      <w:r>
        <w:rPr>
          <w:rFonts w:ascii="楷体" w:eastAsia="楷体" w:hAnsi="楷体" w:cs="楷体" w:hint="eastAsia"/>
          <w:sz w:val="24"/>
          <w:szCs w:val="24"/>
          <w:shd w:val="clear" w:color="auto" w:fill="FFFFFF"/>
        </w:rPr>
        <w:t>混凝土结构自防水即依靠混凝土本体来实现建筑防水，已被证明为最根本的建筑防水技术，广泛采用的结构自防水措施主要包括补偿收缩，增强密实及抗裂防水三种类型。由多种功能材料复合而成的SY-K同时具备以上三种防水机理，故而比单一的组分具有更高的抗渗防水能力；</w:t>
      </w:r>
    </w:p>
    <w:p>
      <w:pPr>
        <w:spacing w:line="560" w:lineRule="exact"/>
        <w:ind w:left="210" w:leftChars="100"/>
        <w:jc w:val="left"/>
        <w:rPr>
          <w:rFonts w:ascii="楷体" w:eastAsia="楷体" w:hAnsi="楷体" w:cs="楷体" w:hint="eastAsia"/>
          <w:bCs/>
          <w:kern w:val="36"/>
          <w:sz w:val="24"/>
          <w:szCs w:val="24"/>
        </w:rPr>
      </w:pPr>
      <w:r>
        <w:rPr>
          <w:rFonts w:ascii="楷体" w:eastAsia="楷体" w:hAnsi="楷体" w:cs="楷体" w:hint="eastAsia"/>
          <w:bCs/>
          <w:kern w:val="36"/>
          <w:sz w:val="24"/>
          <w:szCs w:val="24"/>
        </w:rPr>
        <w:t>（4）</w:t>
      </w:r>
      <w:r>
        <w:rPr>
          <w:rFonts w:ascii="楷体" w:eastAsia="楷体" w:hAnsi="楷体" w:cs="楷体" w:hint="eastAsia"/>
          <w:sz w:val="24"/>
          <w:szCs w:val="24"/>
          <w:shd w:val="clear" w:color="auto" w:fill="FFFFFF"/>
        </w:rPr>
        <w:t>SY-K膨胀纤维抗裂防水剂</w:t>
      </w:r>
      <w:r>
        <w:rPr>
          <w:rFonts w:ascii="楷体" w:eastAsia="楷体" w:hAnsi="楷体" w:cs="楷体" w:hint="eastAsia"/>
          <w:bCs/>
          <w:kern w:val="36"/>
          <w:sz w:val="24"/>
          <w:szCs w:val="24"/>
        </w:rPr>
        <w:t>可提高混凝土的抗裂防水性能：掺入大量微细纤维可以有效地抑制混凝土早期干缩微裂及离析裂纹的产生及发展，尤其是有效抑制了连通裂缝的产生；均匀分布在混凝土中的纤维起了</w:t>
      </w:r>
      <w:r>
        <w:rPr>
          <w:rFonts w:ascii="楷体" w:eastAsia="楷体" w:hAnsi="楷体" w:cs="楷体" w:hint="eastAsia"/>
          <w:bCs/>
          <w:kern w:val="36"/>
          <w:sz w:val="24"/>
          <w:szCs w:val="24"/>
        </w:rPr>
        <w:t>“</w:t>
      </w:r>
      <w:r>
        <w:rPr>
          <w:rFonts w:ascii="楷体" w:eastAsia="楷体" w:hAnsi="楷体" w:cs="楷体" w:hint="eastAsia"/>
          <w:bCs/>
          <w:kern w:val="36"/>
          <w:sz w:val="24"/>
          <w:szCs w:val="24"/>
        </w:rPr>
        <w:t>承托</w:t>
      </w:r>
      <w:r>
        <w:rPr>
          <w:rFonts w:ascii="楷体" w:eastAsia="楷体" w:hAnsi="楷体" w:cs="楷体" w:hint="eastAsia"/>
          <w:bCs/>
          <w:kern w:val="36"/>
          <w:sz w:val="24"/>
          <w:szCs w:val="24"/>
        </w:rPr>
        <w:t>”</w:t>
      </w:r>
      <w:r>
        <w:rPr>
          <w:rFonts w:ascii="楷体" w:eastAsia="楷体" w:hAnsi="楷体" w:cs="楷体" w:hint="eastAsia"/>
          <w:bCs/>
          <w:kern w:val="36"/>
          <w:sz w:val="24"/>
          <w:szCs w:val="24"/>
        </w:rPr>
        <w:t>骨料的作用，有效降低了混凝土的泌水和离析，可以极大地提高抗渗能力。</w:t>
      </w:r>
    </w:p>
    <w:p>
      <w:pPr>
        <w:spacing w:line="560" w:lineRule="exact"/>
        <w:jc w:val="left"/>
        <w:rPr>
          <w:rFonts w:ascii="楷体" w:eastAsia="楷体" w:hAnsi="楷体" w:cs="楷体" w:hint="eastAsia"/>
          <w:b/>
          <w:sz w:val="28"/>
          <w:szCs w:val="28"/>
        </w:rPr>
      </w:pPr>
      <w:r>
        <w:rPr>
          <w:rFonts w:ascii="楷体" w:eastAsia="楷体" w:hAnsi="楷体" w:cs="楷体" w:hint="eastAsia"/>
          <w:b/>
          <w:sz w:val="28"/>
          <w:szCs w:val="28"/>
        </w:rPr>
        <w:t>3.2、</w:t>
      </w:r>
      <w:bookmarkStart w:id="0" w:name="_Toc359232790"/>
      <w:r>
        <w:rPr>
          <w:rFonts w:ascii="楷体" w:eastAsia="楷体" w:hAnsi="楷体" w:cs="楷体" w:hint="eastAsia"/>
          <w:b/>
          <w:sz w:val="28"/>
          <w:szCs w:val="28"/>
        </w:rPr>
        <w:t>SY-K型膨胀纤维抗裂防水剂的作用原理</w:t>
      </w:r>
      <w:bookmarkEnd w:id="0"/>
    </w:p>
    <w:p>
      <w:pPr>
        <w:spacing w:line="560" w:lineRule="exact"/>
        <w:ind w:firstLine="480" w:firstLineChars="200"/>
        <w:jc w:val="left"/>
        <w:rPr>
          <w:rFonts w:ascii="楷体" w:eastAsia="楷体" w:hAnsi="楷体" w:cs="楷体" w:hint="eastAsia"/>
          <w:bCs/>
          <w:kern w:val="36"/>
          <w:sz w:val="24"/>
          <w:szCs w:val="24"/>
        </w:rPr>
        <w:sectPr>
          <w:headerReference w:type="default" r:id="rId13"/>
          <w:footerReference w:type="default" r:id="rId14"/>
          <w:type w:val="nextPage"/>
          <w:pgSz w:w="11906" w:h="16838"/>
          <w:pgMar w:top="1440" w:right="1134" w:bottom="1440" w:left="1701" w:header="851" w:footer="992" w:gutter="0"/>
          <w:pgNumType w:start="4"/>
          <w:cols w:space="708"/>
          <w:titlePg w:val="0"/>
          <w:docGrid w:type="lines" w:linePitch="312"/>
        </w:sectPr>
      </w:pPr>
      <w:r>
        <w:rPr>
          <w:rFonts w:ascii="楷体" w:eastAsia="楷体" w:hAnsi="楷体" w:cs="楷体" w:hint="eastAsia"/>
          <w:bCs/>
          <w:kern w:val="36"/>
          <w:sz w:val="24"/>
          <w:szCs w:val="24"/>
        </w:rPr>
        <w:t>钢筋混凝土结构产生裂缝的原因复杂，就材料而言，混凝土水化硬化过程中产生的干缩、冷缩、化学减缩、塑性收缩等是主要原因。为了减少混凝土的有害裂缝，在混凝土中掺入能达到补偿其收缩的</w:t>
      </w:r>
      <w:r>
        <w:rPr>
          <w:rFonts w:ascii="楷体" w:eastAsia="楷体" w:hAnsi="楷体" w:cs="楷体" w:hint="eastAsia"/>
          <w:sz w:val="24"/>
          <w:szCs w:val="24"/>
          <w:shd w:val="clear" w:color="auto" w:fill="FFFFFF"/>
        </w:rPr>
        <w:t>SY-K膨胀纤维抗裂防水剂</w:t>
      </w:r>
      <w:r>
        <w:rPr>
          <w:rFonts w:ascii="楷体" w:eastAsia="楷体" w:hAnsi="楷体" w:cs="楷体" w:hint="eastAsia"/>
          <w:bCs/>
          <w:kern w:val="36"/>
          <w:sz w:val="24"/>
          <w:szCs w:val="24"/>
        </w:rPr>
        <w:t>，是较为理想的办法。</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sz w:val="24"/>
          <w:szCs w:val="24"/>
          <w:shd w:val="clear" w:color="auto" w:fill="FFFFFF"/>
        </w:rPr>
        <w:t>SY-K膨胀纤维抗裂防水剂</w:t>
      </w:r>
      <w:r>
        <w:rPr>
          <w:rFonts w:ascii="楷体" w:eastAsia="楷体" w:hAnsi="楷体" w:cs="楷体" w:hint="eastAsia"/>
          <w:bCs/>
          <w:kern w:val="36"/>
          <w:sz w:val="24"/>
          <w:szCs w:val="24"/>
        </w:rPr>
        <w:t>加入到普通混凝土中，加水搅拌后生成大量的膨胀性结晶水化物即，使混凝土产生适度膨胀，在钢筋和邻位的约束下，改变了混凝土内部的应力结构，在混凝土结构中建立0.2MPa～0.7MPa的预压应力，这一预压应力可大致抵消混凝土在硬化过程中产生的收缩拉应力从而防止或减少混凝土收缩开裂；而且生成的膨胀性结晶体，起到填充和堵塞毛细孔缝的作用，使大孔变小孔，降低总的孔隙率，使混凝土更加致密，大大提高了混凝土结构的抗裂防渗性能。</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补偿收缩混凝土的工作原理：当混凝土膨胀时，混凝土中的钢筋对它的膨胀产生限制作用，钢筋本身也因与混凝土一起膨胀而产生拉应力</w:t>
      </w:r>
      <w:r>
        <w:rPr>
          <w:rFonts w:ascii="楷体" w:eastAsia="楷体" w:hAnsi="楷体" w:cs="楷体" w:hint="eastAsia"/>
          <w:bCs/>
          <w:kern w:val="36"/>
          <w:sz w:val="24"/>
          <w:szCs w:val="24"/>
        </w:rPr>
        <w:t>δ</w:t>
      </w:r>
      <w:r>
        <w:rPr>
          <w:rFonts w:ascii="楷体" w:eastAsia="楷体" w:hAnsi="楷体" w:cs="楷体" w:hint="eastAsia"/>
          <w:bCs/>
          <w:kern w:val="36"/>
          <w:sz w:val="24"/>
          <w:szCs w:val="24"/>
        </w:rPr>
        <w:t>s，同时混凝土中产生相应的压应力</w:t>
      </w:r>
      <w:r>
        <w:rPr>
          <w:rFonts w:ascii="楷体" w:eastAsia="楷体" w:hAnsi="楷体" w:cs="楷体" w:hint="eastAsia"/>
          <w:bCs/>
          <w:kern w:val="36"/>
          <w:sz w:val="24"/>
          <w:szCs w:val="24"/>
        </w:rPr>
        <w:t>δ</w:t>
      </w:r>
      <w:r>
        <w:rPr>
          <w:rFonts w:ascii="楷体" w:eastAsia="楷体" w:hAnsi="楷体" w:cs="楷体" w:hint="eastAsia"/>
          <w:bCs/>
          <w:kern w:val="36"/>
          <w:sz w:val="24"/>
          <w:szCs w:val="24"/>
        </w:rPr>
        <w:t xml:space="preserve">c。  </w:t>
      </w:r>
    </w:p>
    <w:p>
      <w:pPr>
        <w:spacing w:line="560" w:lineRule="exact"/>
        <w:jc w:val="left"/>
        <w:rPr>
          <w:rFonts w:ascii="楷体" w:eastAsia="楷体" w:hAnsi="楷体" w:cs="楷体" w:hint="eastAsia"/>
          <w:bCs/>
          <w:kern w:val="36"/>
          <w:sz w:val="28"/>
          <w:szCs w:val="28"/>
        </w:rPr>
      </w:pPr>
    </w:p>
    <w:p>
      <w:pPr>
        <w:spacing w:line="560" w:lineRule="exact"/>
        <w:jc w:val="center"/>
        <w:rPr>
          <w:rFonts w:ascii="楷体" w:eastAsia="楷体" w:hAnsi="楷体" w:cs="楷体" w:hint="eastAsia"/>
          <w:bCs/>
          <w:kern w:val="36"/>
          <w:sz w:val="24"/>
          <w:szCs w:val="24"/>
        </w:rPr>
      </w:pPr>
      <w:bookmarkStart w:id="1" w:name="_GoBack"/>
      <w:bookmarkEnd w:id="1"/>
      <w:r>
        <w:rPr>
          <w:rFonts w:ascii="楷体" w:eastAsia="楷体" w:hAnsi="楷体" w:cs="楷体" w:hint="eastAsia"/>
          <w:bCs/>
          <w:kern w:val="36"/>
          <w:sz w:val="24"/>
          <w:szCs w:val="24"/>
        </w:rPr>
        <w:t>混凝土</w:t>
      </w:r>
    </w:p>
    <w:p>
      <w:pPr>
        <w:spacing w:line="560" w:lineRule="exact"/>
        <w:ind w:firstLine="360" w:firstLineChars="150"/>
        <w:jc w:val="center"/>
        <w:rPr>
          <w:rFonts w:ascii="楷体" w:eastAsia="楷体" w:hAnsi="楷体" w:cs="楷体" w:hint="eastAsia"/>
          <w:bCs/>
          <w:kern w:val="36"/>
          <w:sz w:val="24"/>
          <w:szCs w:val="24"/>
        </w:rPr>
      </w:pPr>
      <w:r>
        <w:rPr>
          <w:rFonts w:ascii="楷体" w:eastAsia="楷体" w:hAnsi="楷体" w:cs="楷体" w:hint="eastAsia"/>
          <w:bCs/>
          <w:kern w:val="36"/>
          <w:sz w:val="24"/>
          <w:szCs w:val="24"/>
        </w:rPr>
        <w:pict>
          <v:group id="画布 10" o:spid="_x0000_s1025" editas="canvas" style="width:396pt;height:109.25pt;margin-top:4.05pt;margin-left:-200.45pt;mso-position-horizontal-relative:char;mso-position-vertical-relative:line;position:absolute;z-index:251658240" coordorigin="0,0" coordsize="50292,13874">
            <o:lock v:ext="edit" aspectratio="t"/>
            <o:diagram v:ext="edit" dgmstyle="0" dgmscalex="0" dgmscaley="0" revers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editas="canvas" style="width:50292;height:13874;mso-position-horizontal-relative:char;mso-position-vertical-relative:line;mso-wrap-style:square;position:absolute" o:preferrelative="t" filled="f" stroked="f">
              <v:fill o:detectmouseclick="t"/>
              <v:stroke linestyle="single"/>
              <o:lock v:ext="edit" aspectratio="t"/>
              <o:diagram v:ext="edit" dgmstyle="0" dgmscalex="0" dgmscaley="0" reverse="f"/>
            </v:shape>
            <v:rect id="Rectangle 4" o:spid="_x0000_s1027" alt="10%" style="width:29713;height:5942;left:10289;mso-wrap-style:square;position:absolute;top:3959" fillcolor="black">
              <v:fill r:id="rId15" o:title="" type="pattern"/>
              <v:stroke linestyle="single"/>
            </v:rect>
            <v:line id="Line 5" o:spid="_x0000_s1028" style="mso-wrap-style:square;position:absolute" from="4571,6933" to="45720,6941" o:connectortype="straight">
              <v:stroke linestyle="single" startarrow="block" endarrow="block"/>
            </v:line>
            <v:rect id="Rectangle 7" o:spid="_x0000_s1029" style="width:4857;height:2479;left:45435;mso-wrap-style:square;position:absolute;top:5497" stroked="f">
              <v:stroke linestyle="single"/>
              <v:textbox>
                <w:txbxContent>
                  <w:p>
                    <w:r>
                      <w:rPr>
                        <w:rFonts w:ascii="宋体" w:hAnsi="宋体" w:cs="宋体" w:hint="eastAsia"/>
                        <w:szCs w:val="21"/>
                      </w:rPr>
                      <w:t>δ</w:t>
                    </w:r>
                    <w:r>
                      <w:rPr>
                        <w:rFonts w:ascii="宋体" w:hAnsi="宋体" w:cs="宋体" w:hint="eastAsia"/>
                        <w:szCs w:val="21"/>
                      </w:rPr>
                      <w:t>s</w:t>
                    </w:r>
                  </w:p>
                </w:txbxContent>
              </v:textbox>
            </v:rect>
            <v:rect id="Rectangle 8" o:spid="_x0000_s1030" style="width:4571;height:2479;left:1431;mso-wrap-style:square;position:absolute;top:5497" stroked="f">
              <v:stroke linestyle="single"/>
              <v:textbox>
                <w:txbxContent>
                  <w:p>
                    <w:r>
                      <w:rPr>
                        <w:rFonts w:ascii="宋体" w:hAnsi="宋体" w:cs="宋体" w:hint="eastAsia"/>
                        <w:szCs w:val="21"/>
                      </w:rPr>
                      <w:t>δ</w:t>
                    </w:r>
                    <w:r>
                      <w:rPr>
                        <w:rFonts w:ascii="宋体" w:hAnsi="宋体" w:cs="宋体" w:hint="eastAsia"/>
                        <w:szCs w:val="21"/>
                      </w:rPr>
                      <w:t>s</w:t>
                    </w:r>
                  </w:p>
                </w:txbxContent>
              </v:textbox>
            </v:rect>
            <v:rect id="Rectangle 9" o:spid="_x0000_s1031" style="width:4593;height:2974;left:22856;mso-wrap-style:square;position:absolute;top:10900" stroked="f">
              <v:stroke linestyle="single"/>
              <v:textbox>
                <w:txbxContent>
                  <w:p>
                    <w:pPr>
                      <w:jc w:val="center"/>
                    </w:pPr>
                    <w:r>
                      <w:rPr>
                        <w:rFonts w:ascii="宋体" w:hAnsi="宋体" w:cs="宋体" w:hint="eastAsia"/>
                        <w:szCs w:val="21"/>
                      </w:rPr>
                      <w:t>δ</w:t>
                    </w:r>
                    <w:r>
                      <w:rPr>
                        <w:rFonts w:ascii="宋体" w:hAnsi="宋体" w:cs="宋体" w:hint="eastAsia"/>
                        <w:szCs w:val="21"/>
                      </w:rPr>
                      <w:t>c</w:t>
                    </w:r>
                  </w:p>
                </w:txbxContent>
              </v:textbox>
            </v:rect>
            <v:line id="Line 10" o:spid="_x0000_s1032" style="mso-wrap-style:square;position:absolute" from="17146,11884" to="23995,11891" o:connectortype="straight">
              <v:stroke linestyle="single" endarrow="block"/>
            </v:line>
            <v:line id="Line 11" o:spid="_x0000_s1033" style="flip:x;mso-wrap-style:square;position:absolute" from="27435,11884" to="34248,11891" o:connectortype="straight">
              <v:stroke linestyle="single" endarrow="block"/>
            </v:line>
          </v:group>
        </w:pict>
      </w:r>
    </w:p>
    <w:p>
      <w:pPr>
        <w:spacing w:line="560" w:lineRule="exact"/>
        <w:ind w:firstLine="360" w:firstLineChars="150"/>
        <w:jc w:val="center"/>
        <w:rPr>
          <w:rFonts w:ascii="楷体" w:eastAsia="楷体" w:hAnsi="楷体" w:cs="楷体" w:hint="eastAsia"/>
          <w:bCs/>
          <w:kern w:val="36"/>
          <w:sz w:val="24"/>
          <w:szCs w:val="24"/>
        </w:rPr>
      </w:pPr>
    </w:p>
    <w:p>
      <w:pPr>
        <w:spacing w:line="560" w:lineRule="exact"/>
        <w:ind w:firstLine="360" w:firstLineChars="150"/>
        <w:jc w:val="center"/>
        <w:rPr>
          <w:rFonts w:ascii="楷体" w:eastAsia="楷体" w:hAnsi="楷体" w:cs="楷体" w:hint="eastAsia"/>
          <w:bCs/>
          <w:kern w:val="36"/>
          <w:sz w:val="24"/>
          <w:szCs w:val="24"/>
        </w:rPr>
      </w:pPr>
    </w:p>
    <w:p>
      <w:pPr>
        <w:spacing w:line="560" w:lineRule="exact"/>
        <w:ind w:firstLine="360" w:firstLineChars="150"/>
        <w:jc w:val="center"/>
        <w:rPr>
          <w:rFonts w:ascii="楷体" w:eastAsia="楷体" w:hAnsi="楷体" w:cs="楷体" w:hint="eastAsia"/>
          <w:bCs/>
          <w:kern w:val="36"/>
          <w:sz w:val="24"/>
          <w:szCs w:val="24"/>
        </w:rPr>
      </w:pPr>
    </w:p>
    <w:p>
      <w:pPr>
        <w:spacing w:line="560" w:lineRule="exact"/>
        <w:ind w:firstLine="360" w:firstLineChars="150"/>
        <w:jc w:val="center"/>
        <w:rPr>
          <w:rFonts w:ascii="楷体" w:eastAsia="楷体" w:hAnsi="楷体" w:cs="楷体" w:hint="eastAsia"/>
          <w:bCs/>
          <w:kern w:val="36"/>
          <w:sz w:val="24"/>
          <w:szCs w:val="24"/>
        </w:rPr>
      </w:pPr>
    </w:p>
    <w:p>
      <w:pPr>
        <w:spacing w:line="560" w:lineRule="exact"/>
        <w:ind w:firstLine="360" w:firstLineChars="150"/>
        <w:jc w:val="center"/>
        <w:rPr>
          <w:rFonts w:ascii="楷体" w:eastAsia="楷体" w:hAnsi="楷体" w:cs="楷体" w:hint="eastAsia"/>
          <w:bCs/>
          <w:kern w:val="36"/>
          <w:sz w:val="24"/>
          <w:szCs w:val="24"/>
        </w:rPr>
      </w:pPr>
      <w:r>
        <w:rPr>
          <w:rFonts w:ascii="楷体" w:eastAsia="楷体" w:hAnsi="楷体" w:cs="楷体" w:hint="eastAsia"/>
          <w:bCs/>
          <w:kern w:val="36"/>
          <w:sz w:val="24"/>
          <w:szCs w:val="24"/>
        </w:rPr>
        <w:t>膨胀混凝土自应力产生示意图</w:t>
      </w:r>
    </w:p>
    <w:p>
      <w:pPr>
        <w:spacing w:line="560" w:lineRule="exact"/>
        <w:ind w:firstLine="360" w:firstLineChars="150"/>
        <w:jc w:val="center"/>
        <w:rPr>
          <w:rFonts w:ascii="楷体" w:eastAsia="楷体" w:hAnsi="楷体" w:cs="楷体" w:hint="eastAsia"/>
          <w:bCs/>
          <w:kern w:val="36"/>
          <w:sz w:val="24"/>
          <w:szCs w:val="24"/>
        </w:rPr>
      </w:pPr>
    </w:p>
    <w:p>
      <w:pPr>
        <w:spacing w:line="560" w:lineRule="exact"/>
        <w:ind w:firstLine="360" w:firstLineChars="150"/>
        <w:jc w:val="center"/>
        <w:rPr>
          <w:rFonts w:ascii="楷体" w:eastAsia="楷体" w:hAnsi="楷体" w:cs="楷体" w:hint="eastAsia"/>
          <w:bCs/>
          <w:kern w:val="36"/>
          <w:sz w:val="24"/>
          <w:szCs w:val="24"/>
        </w:rPr>
      </w:pPr>
      <w:r>
        <w:rPr>
          <w:rFonts w:ascii="楷体" w:eastAsia="楷体" w:hAnsi="楷体" w:cs="楷体" w:hint="eastAsia"/>
          <w:bCs/>
          <w:kern w:val="36"/>
          <w:sz w:val="24"/>
          <w:szCs w:val="24"/>
        </w:rPr>
        <w:t>当钢筋拉应力和混凝土压应力平衡时，则有：</w:t>
      </w:r>
    </w:p>
    <w:p>
      <w:pPr>
        <w:spacing w:line="560" w:lineRule="exact"/>
        <w:ind w:firstLine="480" w:firstLineChars="200"/>
        <w:jc w:val="center"/>
        <w:rPr>
          <w:rFonts w:ascii="楷体" w:eastAsia="楷体" w:hAnsi="楷体" w:cs="楷体" w:hint="eastAsia"/>
          <w:bCs/>
          <w:kern w:val="36"/>
          <w:sz w:val="24"/>
          <w:szCs w:val="24"/>
        </w:rPr>
      </w:pPr>
      <w:r>
        <w:rPr>
          <w:rFonts w:ascii="楷体" w:eastAsia="楷体" w:hAnsi="楷体" w:cs="楷体" w:hint="eastAsia"/>
          <w:bCs/>
          <w:kern w:val="36"/>
          <w:sz w:val="24"/>
          <w:szCs w:val="24"/>
        </w:rPr>
        <w:t>Ac</w:t>
      </w:r>
      <w:r>
        <w:rPr>
          <w:rFonts w:ascii="楷体" w:eastAsia="楷体" w:hAnsi="楷体" w:cs="楷体" w:hint="eastAsia"/>
          <w:bCs/>
          <w:kern w:val="36"/>
          <w:sz w:val="24"/>
          <w:szCs w:val="24"/>
        </w:rPr>
        <w:t>·δ</w:t>
      </w:r>
      <w:r>
        <w:rPr>
          <w:rFonts w:ascii="楷体" w:eastAsia="楷体" w:hAnsi="楷体" w:cs="楷体" w:hint="eastAsia"/>
          <w:bCs/>
          <w:kern w:val="36"/>
          <w:sz w:val="24"/>
          <w:szCs w:val="24"/>
        </w:rPr>
        <w:t>c=As</w:t>
      </w:r>
      <w:r>
        <w:rPr>
          <w:rFonts w:ascii="楷体" w:eastAsia="楷体" w:hAnsi="楷体" w:cs="楷体" w:hint="eastAsia"/>
          <w:bCs/>
          <w:kern w:val="36"/>
          <w:sz w:val="24"/>
          <w:szCs w:val="24"/>
        </w:rPr>
        <w:t>·δ</w:t>
      </w:r>
      <w:r>
        <w:rPr>
          <w:rFonts w:ascii="楷体" w:eastAsia="楷体" w:hAnsi="楷体" w:cs="楷体" w:hint="eastAsia"/>
          <w:bCs/>
          <w:kern w:val="36"/>
          <w:sz w:val="24"/>
          <w:szCs w:val="24"/>
        </w:rPr>
        <w:t>s</w:t>
      </w:r>
    </w:p>
    <w:p>
      <w:pPr>
        <w:spacing w:line="560" w:lineRule="exact"/>
        <w:ind w:firstLine="480" w:firstLineChars="200"/>
        <w:jc w:val="center"/>
        <w:rPr>
          <w:rFonts w:ascii="楷体" w:eastAsia="楷体" w:hAnsi="楷体" w:cs="楷体" w:hint="eastAsia"/>
          <w:bCs/>
          <w:kern w:val="36"/>
          <w:sz w:val="24"/>
          <w:szCs w:val="24"/>
        </w:rPr>
      </w:pPr>
      <w:r>
        <w:rPr>
          <w:rFonts w:ascii="楷体" w:eastAsia="楷体" w:hAnsi="楷体" w:cs="楷体" w:hint="eastAsia"/>
          <w:bCs/>
          <w:kern w:val="36"/>
          <w:sz w:val="24"/>
          <w:szCs w:val="24"/>
        </w:rPr>
        <w:t>δ</w:t>
      </w:r>
      <w:r>
        <w:rPr>
          <w:rFonts w:ascii="楷体" w:eastAsia="楷体" w:hAnsi="楷体" w:cs="楷体" w:hint="eastAsia"/>
          <w:bCs/>
          <w:kern w:val="36"/>
          <w:sz w:val="24"/>
          <w:szCs w:val="24"/>
        </w:rPr>
        <w:t>s=Es</w:t>
      </w:r>
      <w:r>
        <w:rPr>
          <w:rFonts w:ascii="楷体" w:eastAsia="楷体" w:hAnsi="楷体" w:cs="楷体" w:hint="eastAsia"/>
          <w:bCs/>
          <w:kern w:val="36"/>
          <w:sz w:val="24"/>
          <w:szCs w:val="24"/>
        </w:rPr>
        <w:t>·ε</w:t>
      </w:r>
      <w:r>
        <w:rPr>
          <w:rFonts w:ascii="楷体" w:eastAsia="楷体" w:hAnsi="楷体" w:cs="楷体" w:hint="eastAsia"/>
          <w:bCs/>
          <w:kern w:val="36"/>
          <w:sz w:val="24"/>
          <w:szCs w:val="24"/>
          <w:vertAlign w:val="subscript"/>
        </w:rPr>
        <w:t>2</w:t>
      </w:r>
    </w:p>
    <w:p>
      <w:pPr>
        <w:spacing w:line="560" w:lineRule="exact"/>
        <w:ind w:firstLine="480" w:firstLineChars="200"/>
        <w:jc w:val="center"/>
        <w:rPr>
          <w:rFonts w:ascii="楷体" w:eastAsia="楷体" w:hAnsi="楷体" w:cs="楷体" w:hint="eastAsia"/>
          <w:bCs/>
          <w:kern w:val="36"/>
          <w:sz w:val="24"/>
          <w:szCs w:val="24"/>
        </w:rPr>
      </w:pPr>
      <w:r>
        <w:rPr>
          <w:rFonts w:ascii="楷体" w:eastAsia="楷体" w:hAnsi="楷体" w:cs="楷体" w:hint="eastAsia"/>
          <w:bCs/>
          <w:kern w:val="36"/>
          <w:sz w:val="24"/>
          <w:szCs w:val="24"/>
        </w:rPr>
        <w:t>则Ac</w:t>
      </w:r>
      <w:r>
        <w:rPr>
          <w:rFonts w:ascii="楷体" w:eastAsia="楷体" w:hAnsi="楷体" w:cs="楷体" w:hint="eastAsia"/>
          <w:bCs/>
          <w:kern w:val="36"/>
          <w:sz w:val="24"/>
          <w:szCs w:val="24"/>
        </w:rPr>
        <w:t>·δ</w:t>
      </w:r>
      <w:r>
        <w:rPr>
          <w:rFonts w:ascii="楷体" w:eastAsia="楷体" w:hAnsi="楷体" w:cs="楷体" w:hint="eastAsia"/>
          <w:bCs/>
          <w:kern w:val="36"/>
          <w:sz w:val="24"/>
          <w:szCs w:val="24"/>
        </w:rPr>
        <w:t>c=As</w:t>
      </w:r>
      <w:r>
        <w:rPr>
          <w:rFonts w:ascii="楷体" w:eastAsia="楷体" w:hAnsi="楷体" w:cs="楷体" w:hint="eastAsia"/>
          <w:bCs/>
          <w:kern w:val="36"/>
          <w:sz w:val="24"/>
          <w:szCs w:val="24"/>
        </w:rPr>
        <w:t>·</w:t>
      </w:r>
      <w:r>
        <w:rPr>
          <w:rFonts w:ascii="楷体" w:eastAsia="楷体" w:hAnsi="楷体" w:cs="楷体" w:hint="eastAsia"/>
          <w:bCs/>
          <w:kern w:val="36"/>
          <w:sz w:val="24"/>
          <w:szCs w:val="24"/>
        </w:rPr>
        <w:t>Es</w:t>
      </w:r>
      <w:r>
        <w:rPr>
          <w:rFonts w:ascii="楷体" w:eastAsia="楷体" w:hAnsi="楷体" w:cs="楷体" w:hint="eastAsia"/>
          <w:bCs/>
          <w:kern w:val="36"/>
          <w:sz w:val="24"/>
          <w:szCs w:val="24"/>
        </w:rPr>
        <w:t>·ε</w:t>
      </w:r>
      <w:r>
        <w:rPr>
          <w:rFonts w:ascii="楷体" w:eastAsia="楷体" w:hAnsi="楷体" w:cs="楷体" w:hint="eastAsia"/>
          <w:bCs/>
          <w:kern w:val="36"/>
          <w:sz w:val="24"/>
          <w:szCs w:val="24"/>
          <w:vertAlign w:val="subscript"/>
        </w:rPr>
        <w:t>2</w:t>
      </w:r>
    </w:p>
    <w:p>
      <w:pPr>
        <w:spacing w:line="560" w:lineRule="exact"/>
        <w:ind w:firstLine="480" w:firstLineChars="200"/>
        <w:jc w:val="center"/>
        <w:rPr>
          <w:rFonts w:ascii="楷体" w:eastAsia="楷体" w:hAnsi="楷体" w:cs="楷体" w:hint="eastAsia"/>
          <w:bCs/>
          <w:kern w:val="36"/>
          <w:sz w:val="24"/>
          <w:szCs w:val="24"/>
        </w:rPr>
      </w:pPr>
      <w:r>
        <w:rPr>
          <w:rFonts w:ascii="楷体" w:eastAsia="楷体" w:hAnsi="楷体" w:cs="楷体" w:hint="eastAsia"/>
          <w:bCs/>
          <w:kern w:val="36"/>
          <w:sz w:val="24"/>
          <w:szCs w:val="24"/>
        </w:rPr>
        <w:t>δ</w:t>
      </w:r>
      <w:r>
        <w:rPr>
          <w:rFonts w:ascii="楷体" w:eastAsia="楷体" w:hAnsi="楷体" w:cs="楷体" w:hint="eastAsia"/>
          <w:bCs/>
          <w:kern w:val="36"/>
          <w:sz w:val="24"/>
          <w:szCs w:val="24"/>
        </w:rPr>
        <w:t>c = As/Ac</w:t>
      </w:r>
      <w:r>
        <w:rPr>
          <w:rFonts w:ascii="楷体" w:eastAsia="楷体" w:hAnsi="楷体" w:cs="楷体" w:hint="eastAsia"/>
          <w:bCs/>
          <w:kern w:val="36"/>
          <w:sz w:val="24"/>
          <w:szCs w:val="24"/>
        </w:rPr>
        <w:t>·</w:t>
      </w:r>
      <w:r>
        <w:rPr>
          <w:rFonts w:ascii="楷体" w:eastAsia="楷体" w:hAnsi="楷体" w:cs="楷体" w:hint="eastAsia"/>
          <w:bCs/>
          <w:kern w:val="36"/>
          <w:sz w:val="24"/>
          <w:szCs w:val="24"/>
        </w:rPr>
        <w:t>Es</w:t>
      </w:r>
      <w:r>
        <w:rPr>
          <w:rFonts w:ascii="楷体" w:eastAsia="楷体" w:hAnsi="楷体" w:cs="楷体" w:hint="eastAsia"/>
          <w:bCs/>
          <w:kern w:val="36"/>
          <w:sz w:val="24"/>
          <w:szCs w:val="24"/>
        </w:rPr>
        <w:t>·ε</w:t>
      </w:r>
      <w:r>
        <w:rPr>
          <w:rFonts w:ascii="楷体" w:eastAsia="楷体" w:hAnsi="楷体" w:cs="楷体" w:hint="eastAsia"/>
          <w:bCs/>
          <w:kern w:val="36"/>
          <w:sz w:val="24"/>
          <w:szCs w:val="24"/>
          <w:vertAlign w:val="subscript"/>
        </w:rPr>
        <w:t>2</w:t>
      </w:r>
    </w:p>
    <w:p>
      <w:pPr>
        <w:spacing w:line="560" w:lineRule="exact"/>
        <w:ind w:firstLine="480" w:firstLineChars="200"/>
        <w:jc w:val="center"/>
        <w:rPr>
          <w:rFonts w:ascii="楷体" w:eastAsia="楷体" w:hAnsi="楷体" w:cs="楷体" w:hint="eastAsia"/>
          <w:bCs/>
          <w:kern w:val="36"/>
          <w:sz w:val="24"/>
          <w:szCs w:val="24"/>
        </w:rPr>
        <w:sectPr>
          <w:headerReference w:type="default" r:id="rId16"/>
          <w:footerReference w:type="default" r:id="rId17"/>
          <w:type w:val="nextPage"/>
          <w:pgSz w:w="11906" w:h="16838"/>
          <w:pgMar w:top="1440" w:right="1134" w:bottom="1440" w:left="1701" w:header="851" w:footer="992" w:gutter="0"/>
          <w:pgNumType w:start="5"/>
          <w:cols w:space="708"/>
          <w:titlePg w:val="0"/>
          <w:docGrid w:type="lines" w:linePitch="312"/>
        </w:sectPr>
      </w:pPr>
      <w:r>
        <w:rPr>
          <w:rFonts w:ascii="楷体" w:eastAsia="楷体" w:hAnsi="楷体" w:cs="楷体" w:hint="eastAsia"/>
          <w:bCs/>
          <w:kern w:val="36"/>
          <w:sz w:val="24"/>
          <w:szCs w:val="24"/>
        </w:rPr>
        <w:t>设</w:t>
      </w:r>
      <w:r>
        <w:rPr>
          <w:rFonts w:ascii="楷体" w:eastAsia="楷体" w:hAnsi="楷体" w:cs="楷体" w:hint="eastAsia"/>
          <w:bCs/>
          <w:kern w:val="36"/>
          <w:sz w:val="24"/>
          <w:szCs w:val="24"/>
        </w:rPr>
        <w:t>μ</w:t>
      </w:r>
      <w:r>
        <w:rPr>
          <w:rFonts w:ascii="楷体" w:eastAsia="楷体" w:hAnsi="楷体" w:cs="楷体" w:hint="eastAsia"/>
          <w:bCs/>
          <w:kern w:val="36"/>
          <w:sz w:val="24"/>
          <w:szCs w:val="24"/>
        </w:rPr>
        <w:t>=As/Ac</w:t>
      </w:r>
    </w:p>
    <w:p>
      <w:pPr>
        <w:spacing w:line="560" w:lineRule="exact"/>
        <w:ind w:firstLine="480" w:firstLineChars="200"/>
        <w:jc w:val="center"/>
        <w:rPr>
          <w:rFonts w:ascii="楷体" w:eastAsia="楷体" w:hAnsi="楷体" w:cs="楷体" w:hint="eastAsia"/>
          <w:bCs/>
          <w:kern w:val="36"/>
          <w:sz w:val="24"/>
          <w:szCs w:val="24"/>
        </w:rPr>
      </w:pPr>
      <w:r>
        <w:rPr>
          <w:rFonts w:ascii="楷体" w:eastAsia="楷体" w:hAnsi="楷体" w:cs="楷体" w:hint="eastAsia"/>
          <w:bCs/>
          <w:kern w:val="36"/>
          <w:sz w:val="24"/>
          <w:szCs w:val="24"/>
        </w:rPr>
        <w:t>则</w:t>
      </w:r>
      <w:r>
        <w:rPr>
          <w:rFonts w:ascii="楷体" w:eastAsia="楷体" w:hAnsi="楷体" w:cs="楷体" w:hint="eastAsia"/>
          <w:bCs/>
          <w:kern w:val="36"/>
          <w:sz w:val="24"/>
          <w:szCs w:val="24"/>
        </w:rPr>
        <w:t>δ</w:t>
      </w:r>
      <w:r>
        <w:rPr>
          <w:rFonts w:ascii="楷体" w:eastAsia="楷体" w:hAnsi="楷体" w:cs="楷体" w:hint="eastAsia"/>
          <w:bCs/>
          <w:kern w:val="36"/>
          <w:sz w:val="24"/>
          <w:szCs w:val="24"/>
        </w:rPr>
        <w:t>c=</w:t>
      </w:r>
      <w:r>
        <w:rPr>
          <w:rFonts w:ascii="楷体" w:eastAsia="楷体" w:hAnsi="楷体" w:cs="楷体" w:hint="eastAsia"/>
          <w:bCs/>
          <w:kern w:val="36"/>
          <w:sz w:val="24"/>
          <w:szCs w:val="24"/>
        </w:rPr>
        <w:t>μ·</w:t>
      </w:r>
      <w:r>
        <w:rPr>
          <w:rFonts w:ascii="楷体" w:eastAsia="楷体" w:hAnsi="楷体" w:cs="楷体" w:hint="eastAsia"/>
          <w:bCs/>
          <w:kern w:val="36"/>
          <w:sz w:val="24"/>
          <w:szCs w:val="24"/>
        </w:rPr>
        <w:t>Es</w:t>
      </w:r>
      <w:r>
        <w:rPr>
          <w:rFonts w:ascii="楷体" w:eastAsia="楷体" w:hAnsi="楷体" w:cs="楷体" w:hint="eastAsia"/>
          <w:bCs/>
          <w:kern w:val="36"/>
          <w:sz w:val="24"/>
          <w:szCs w:val="24"/>
        </w:rPr>
        <w:t>·ε</w:t>
      </w:r>
      <w:r>
        <w:rPr>
          <w:rFonts w:ascii="楷体" w:eastAsia="楷体" w:hAnsi="楷体" w:cs="楷体" w:hint="eastAsia"/>
          <w:bCs/>
          <w:kern w:val="36"/>
          <w:sz w:val="24"/>
          <w:szCs w:val="24"/>
          <w:vertAlign w:val="subscript"/>
        </w:rPr>
        <w:t>2</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式中：</w:t>
      </w:r>
      <w:r>
        <w:rPr>
          <w:rFonts w:ascii="楷体" w:eastAsia="楷体" w:hAnsi="楷体" w:cs="楷体" w:hint="eastAsia"/>
          <w:bCs/>
          <w:kern w:val="36"/>
          <w:sz w:val="24"/>
          <w:szCs w:val="24"/>
        </w:rPr>
        <w:t>δ</w:t>
      </w:r>
      <w:r>
        <w:rPr>
          <w:rFonts w:ascii="楷体" w:eastAsia="楷体" w:hAnsi="楷体" w:cs="楷体" w:hint="eastAsia"/>
          <w:bCs/>
          <w:kern w:val="36"/>
          <w:sz w:val="24"/>
          <w:szCs w:val="24"/>
        </w:rPr>
        <w:t>c-混凝土压应力MPa</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Ac-混凝土截面积</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δ</w:t>
      </w:r>
      <w:r>
        <w:rPr>
          <w:rFonts w:ascii="楷体" w:eastAsia="楷体" w:hAnsi="楷体" w:cs="楷体" w:hint="eastAsia"/>
          <w:bCs/>
          <w:kern w:val="36"/>
          <w:sz w:val="24"/>
          <w:szCs w:val="24"/>
        </w:rPr>
        <w:t>s-钢筋拉应力MPa</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As-钢筋截面积</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Es-钢筋弹性模量MPa</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μ</w:t>
      </w:r>
      <w:r>
        <w:rPr>
          <w:rFonts w:ascii="楷体" w:eastAsia="楷体" w:hAnsi="楷体" w:cs="楷体" w:hint="eastAsia"/>
          <w:bCs/>
          <w:kern w:val="36"/>
          <w:sz w:val="24"/>
          <w:szCs w:val="24"/>
        </w:rPr>
        <w:t>-配筋率%</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ε</w:t>
      </w:r>
      <w:r>
        <w:rPr>
          <w:rFonts w:ascii="楷体" w:eastAsia="楷体" w:hAnsi="楷体" w:cs="楷体" w:hint="eastAsia"/>
          <w:bCs/>
          <w:kern w:val="36"/>
          <w:sz w:val="24"/>
          <w:szCs w:val="24"/>
          <w:vertAlign w:val="subscript"/>
        </w:rPr>
        <w:t>2</w:t>
      </w:r>
      <w:r>
        <w:rPr>
          <w:rFonts w:ascii="楷体" w:eastAsia="楷体" w:hAnsi="楷体" w:cs="楷体" w:hint="eastAsia"/>
          <w:bCs/>
          <w:kern w:val="36"/>
          <w:sz w:val="24"/>
          <w:szCs w:val="24"/>
        </w:rPr>
        <w:t>-混凝土的限制膨胀率%</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由上式可见，</w:t>
      </w:r>
      <w:r>
        <w:rPr>
          <w:rFonts w:ascii="楷体" w:eastAsia="楷体" w:hAnsi="楷体" w:cs="楷体" w:hint="eastAsia"/>
          <w:bCs/>
          <w:kern w:val="36"/>
          <w:sz w:val="24"/>
          <w:szCs w:val="24"/>
        </w:rPr>
        <w:t>δ</w:t>
      </w:r>
      <w:r>
        <w:rPr>
          <w:rFonts w:ascii="楷体" w:eastAsia="楷体" w:hAnsi="楷体" w:cs="楷体" w:hint="eastAsia"/>
          <w:bCs/>
          <w:kern w:val="36"/>
          <w:sz w:val="24"/>
          <w:szCs w:val="24"/>
        </w:rPr>
        <w:t>c与</w:t>
      </w:r>
      <w:r>
        <w:rPr>
          <w:rFonts w:ascii="楷体" w:eastAsia="楷体" w:hAnsi="楷体" w:cs="楷体" w:hint="eastAsia"/>
          <w:bCs/>
          <w:kern w:val="36"/>
          <w:sz w:val="24"/>
          <w:szCs w:val="24"/>
        </w:rPr>
        <w:t>ε</w:t>
      </w:r>
      <w:r>
        <w:rPr>
          <w:rFonts w:ascii="楷体" w:eastAsia="楷体" w:hAnsi="楷体" w:cs="楷体" w:hint="eastAsia"/>
          <w:bCs/>
          <w:kern w:val="36"/>
          <w:sz w:val="24"/>
          <w:szCs w:val="24"/>
          <w:vertAlign w:val="subscript"/>
        </w:rPr>
        <w:t>2</w:t>
      </w:r>
      <w:r>
        <w:rPr>
          <w:rFonts w:ascii="楷体" w:eastAsia="楷体" w:hAnsi="楷体" w:cs="楷体" w:hint="eastAsia"/>
          <w:bCs/>
          <w:kern w:val="36"/>
          <w:sz w:val="24"/>
          <w:szCs w:val="24"/>
        </w:rPr>
        <w:t>成正比例关系，而限制膨胀率随膨胀剂的掺量增加而增加，所以，可以通过调整</w:t>
      </w:r>
      <w:r>
        <w:rPr>
          <w:rFonts w:ascii="楷体" w:eastAsia="楷体" w:hAnsi="楷体" w:cs="楷体" w:hint="eastAsia"/>
          <w:sz w:val="24"/>
          <w:szCs w:val="24"/>
          <w:shd w:val="clear" w:color="auto" w:fill="FFFFFF"/>
        </w:rPr>
        <w:t>SY-K膨胀纤维抗裂防水剂</w:t>
      </w:r>
      <w:r>
        <w:rPr>
          <w:rFonts w:ascii="楷体" w:eastAsia="楷体" w:hAnsi="楷体" w:cs="楷体" w:hint="eastAsia"/>
          <w:bCs/>
          <w:kern w:val="36"/>
          <w:sz w:val="24"/>
          <w:szCs w:val="24"/>
        </w:rPr>
        <w:t>掺量，使混凝土获得不同的预压应力，从而有效的补偿、抵消混凝土收缩应力，实现抗裂防渗的防水效果。</w:t>
      </w:r>
    </w:p>
    <w:p>
      <w:pPr>
        <w:spacing w:line="560" w:lineRule="exact"/>
        <w:jc w:val="left"/>
        <w:rPr>
          <w:rFonts w:ascii="楷体" w:eastAsia="楷体" w:hAnsi="楷体" w:cs="楷体" w:hint="eastAsia"/>
          <w:b/>
          <w:sz w:val="30"/>
          <w:szCs w:val="30"/>
        </w:rPr>
      </w:pPr>
      <w:r>
        <w:rPr>
          <w:rFonts w:ascii="楷体" w:eastAsia="楷体" w:hAnsi="楷体" w:cs="楷体" w:hint="eastAsia"/>
          <w:b/>
          <w:sz w:val="30"/>
          <w:szCs w:val="30"/>
        </w:rPr>
        <w:t>四、地下室结构自防水设计</w:t>
      </w:r>
    </w:p>
    <w:p>
      <w:pPr>
        <w:spacing w:line="560" w:lineRule="exact"/>
        <w:jc w:val="left"/>
        <w:rPr>
          <w:rFonts w:ascii="楷体" w:eastAsia="楷体" w:hAnsi="楷体" w:cs="楷体" w:hint="eastAsia"/>
          <w:b/>
          <w:sz w:val="24"/>
          <w:szCs w:val="24"/>
        </w:rPr>
      </w:pPr>
      <w:r>
        <w:rPr>
          <w:rFonts w:ascii="楷体" w:eastAsia="楷体" w:hAnsi="楷体" w:cs="楷体" w:hint="eastAsia"/>
          <w:b/>
          <w:sz w:val="24"/>
          <w:szCs w:val="24"/>
        </w:rPr>
        <w:t>4.1  需要解决的问题</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4.1.1 由于该工程尺寸长，长为124.3m，宽为80m，共9944m2,混凝土强度为C30基础承台及底板，P6防水等级，总混凝土量约6000m3 ，浇注后的混凝土极易产生收缩裂缝，影响整个结构的耐久性及实际使用。若按传统做法须在结构上设置多条后浇带，把整体结构分割成若干块，分别浇注混凝土，需待混凝土收缩完成后再来填充，结构的整体质量很难保证。</w:t>
      </w:r>
    </w:p>
    <w:p>
      <w:pPr>
        <w:spacing w:line="560" w:lineRule="exact"/>
        <w:jc w:val="left"/>
        <w:rPr>
          <w:rFonts w:ascii="楷体" w:eastAsia="楷体" w:hAnsi="楷体" w:cs="楷体" w:hint="eastAsia"/>
          <w:b/>
          <w:sz w:val="24"/>
          <w:szCs w:val="24"/>
        </w:rPr>
      </w:pPr>
      <w:r>
        <w:rPr>
          <w:rFonts w:ascii="楷体" w:eastAsia="楷体" w:hAnsi="楷体" w:cs="楷体" w:hint="eastAsia"/>
          <w:b/>
          <w:sz w:val="24"/>
          <w:szCs w:val="24"/>
        </w:rPr>
        <w:t>4.2、解决问题办法</w:t>
      </w:r>
    </w:p>
    <w:p>
      <w:pPr>
        <w:spacing w:line="560" w:lineRule="exact"/>
        <w:ind w:firstLine="480" w:firstLineChars="200"/>
        <w:rPr>
          <w:rFonts w:ascii="楷体" w:eastAsia="楷体" w:hAnsi="楷体" w:cs="楷体" w:hint="eastAsia"/>
          <w:b/>
          <w:sz w:val="24"/>
          <w:szCs w:val="24"/>
        </w:rPr>
      </w:pPr>
      <w:r>
        <w:rPr>
          <w:rFonts w:ascii="楷体" w:eastAsia="楷体" w:hAnsi="楷体" w:cs="楷体" w:hint="eastAsia"/>
          <w:sz w:val="24"/>
        </w:rPr>
        <w:t>本建筑为超长的钢筋混凝土结构，</w:t>
      </w:r>
      <w:r>
        <w:rPr>
          <w:rFonts w:ascii="楷体" w:eastAsia="楷体" w:hAnsi="楷体" w:cs="楷体" w:hint="eastAsia"/>
          <w:bCs/>
          <w:sz w:val="24"/>
        </w:rPr>
        <w:t>按传统做法须在结构上设置多条后浇带，现按设计把整体结构分成6区（见基础层板结构图）用加强带措施考虑（针对本项目采用连续式膨胀加强带，加强带处掺入</w:t>
      </w:r>
      <w:r>
        <w:rPr>
          <w:rFonts w:ascii="楷体" w:eastAsia="楷体" w:hAnsi="楷体" w:cs="楷体" w:hint="eastAsia"/>
          <w:sz w:val="24"/>
          <w:szCs w:val="24"/>
          <w:shd w:val="clear" w:color="auto" w:fill="FFFFFF"/>
        </w:rPr>
        <w:t>SY-K膨胀纤维抗裂防水剂的掺量为12%</w:t>
      </w:r>
      <w:r>
        <w:rPr>
          <w:rFonts w:ascii="楷体" w:eastAsia="楷体" w:hAnsi="楷体" w:cs="楷体" w:hint="eastAsia"/>
          <w:bCs/>
          <w:sz w:val="24"/>
        </w:rPr>
        <w:t>）。</w:t>
      </w:r>
    </w:p>
    <w:p>
      <w:pPr>
        <w:spacing w:line="560" w:lineRule="exact"/>
        <w:ind w:firstLine="480" w:firstLineChars="200"/>
        <w:jc w:val="left"/>
        <w:rPr>
          <w:rFonts w:ascii="楷体" w:eastAsia="楷体" w:hAnsi="楷体" w:cs="楷体" w:hint="eastAsia"/>
          <w:bCs/>
          <w:kern w:val="36"/>
          <w:sz w:val="24"/>
          <w:szCs w:val="24"/>
        </w:rPr>
        <w:sectPr>
          <w:headerReference w:type="default" r:id="rId18"/>
          <w:footerReference w:type="default" r:id="rId19"/>
          <w:type w:val="nextPage"/>
          <w:pgSz w:w="11906" w:h="16838"/>
          <w:pgMar w:top="1440" w:right="1134" w:bottom="1440" w:left="1701" w:header="851" w:footer="992" w:gutter="0"/>
          <w:pgNumType w:start="6"/>
          <w:cols w:space="708"/>
          <w:titlePg w:val="0"/>
          <w:docGrid w:type="lines" w:linePitch="312"/>
        </w:sectPr>
      </w:pPr>
      <w:r>
        <w:rPr>
          <w:rFonts w:ascii="楷体" w:eastAsia="楷体" w:hAnsi="楷体" w:cs="楷体" w:hint="eastAsia"/>
          <w:bCs/>
          <w:kern w:val="36"/>
          <w:sz w:val="24"/>
          <w:szCs w:val="24"/>
        </w:rPr>
        <w:t>根据本工程的具体情况，设计是采用</w:t>
      </w:r>
      <w:r>
        <w:rPr>
          <w:rFonts w:ascii="楷体" w:eastAsia="楷体" w:hAnsi="楷体" w:cs="楷体" w:hint="eastAsia"/>
          <w:sz w:val="24"/>
          <w:szCs w:val="24"/>
          <w:shd w:val="clear" w:color="auto" w:fill="FFFFFF"/>
        </w:rPr>
        <w:t>SY-K膨胀纤维抗裂防水剂</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作为防水抗裂材料，配制补偿收缩混凝土，在该工程中进行结构自防水施工。采取适合的加强带技术措施。这样，即可以提高工程整体结构的耐久性，从根本上摆脱了普通混凝土易产生收缩的缺陷，提高了结构的整体防水功能，同时加快施工速度，使总体综合费用大大降低。</w:t>
      </w:r>
    </w:p>
    <w:p>
      <w:pPr>
        <w:spacing w:line="560" w:lineRule="exact"/>
        <w:jc w:val="left"/>
        <w:rPr>
          <w:rFonts w:ascii="楷体" w:eastAsia="楷体" w:hAnsi="楷体" w:cs="楷体" w:hint="eastAsia"/>
          <w:b/>
          <w:sz w:val="24"/>
          <w:szCs w:val="24"/>
        </w:rPr>
      </w:pPr>
      <w:r>
        <w:rPr>
          <w:rFonts w:ascii="楷体" w:eastAsia="楷体" w:hAnsi="楷体" w:cs="楷体" w:hint="eastAsia"/>
          <w:b/>
          <w:sz w:val="24"/>
          <w:szCs w:val="24"/>
        </w:rPr>
        <w:t>4.3 补偿收缩混凝土防水抗裂原理</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补偿收缩混凝土是在水化硬化过程中生成膨胀结晶钙矾石或氢氧化钙，使混凝土产生适度体积膨胀，在钢筋或邻位约束下产生预压或自应力约为0.2Mpa～0.7Mpa的混凝土。针对本工程的结构自防水提出</w:t>
      </w:r>
      <w:r>
        <w:rPr>
          <w:rFonts w:ascii="楷体" w:eastAsia="楷体" w:hAnsi="楷体" w:cs="楷体" w:hint="eastAsia"/>
          <w:bCs/>
          <w:kern w:val="36"/>
          <w:sz w:val="24"/>
          <w:szCs w:val="24"/>
        </w:rPr>
        <w:t>“</w:t>
      </w:r>
      <w:r>
        <w:rPr>
          <w:rFonts w:ascii="楷体" w:eastAsia="楷体" w:hAnsi="楷体" w:cs="楷体" w:hint="eastAsia"/>
          <w:bCs/>
          <w:kern w:val="36"/>
          <w:sz w:val="24"/>
          <w:szCs w:val="24"/>
        </w:rPr>
        <w:t>抗</w:t>
      </w:r>
      <w:r>
        <w:rPr>
          <w:rFonts w:ascii="楷体" w:eastAsia="楷体" w:hAnsi="楷体" w:cs="楷体" w:hint="eastAsia"/>
          <w:bCs/>
          <w:kern w:val="36"/>
          <w:sz w:val="24"/>
          <w:szCs w:val="24"/>
        </w:rPr>
        <w:t>”</w:t>
      </w:r>
      <w:r>
        <w:rPr>
          <w:rFonts w:ascii="楷体" w:eastAsia="楷体" w:hAnsi="楷体" w:cs="楷体" w:hint="eastAsia"/>
          <w:bCs/>
          <w:kern w:val="36"/>
          <w:sz w:val="24"/>
          <w:szCs w:val="24"/>
        </w:rPr>
        <w:t>、</w:t>
      </w:r>
      <w:r>
        <w:rPr>
          <w:rFonts w:ascii="楷体" w:eastAsia="楷体" w:hAnsi="楷体" w:cs="楷体" w:hint="eastAsia"/>
          <w:bCs/>
          <w:kern w:val="36"/>
          <w:sz w:val="24"/>
          <w:szCs w:val="24"/>
        </w:rPr>
        <w:t>“</w:t>
      </w:r>
      <w:r>
        <w:rPr>
          <w:rFonts w:ascii="楷体" w:eastAsia="楷体" w:hAnsi="楷体" w:cs="楷体" w:hint="eastAsia"/>
          <w:bCs/>
          <w:kern w:val="36"/>
          <w:sz w:val="24"/>
          <w:szCs w:val="24"/>
        </w:rPr>
        <w:t>放</w:t>
      </w:r>
      <w:r>
        <w:rPr>
          <w:rFonts w:ascii="楷体" w:eastAsia="楷体" w:hAnsi="楷体" w:cs="楷体" w:hint="eastAsia"/>
          <w:bCs/>
          <w:kern w:val="36"/>
          <w:sz w:val="24"/>
          <w:szCs w:val="24"/>
        </w:rPr>
        <w:t>”</w:t>
      </w:r>
      <w:r>
        <w:rPr>
          <w:rFonts w:ascii="楷体" w:eastAsia="楷体" w:hAnsi="楷体" w:cs="楷体" w:hint="eastAsia"/>
          <w:bCs/>
          <w:kern w:val="36"/>
          <w:sz w:val="24"/>
          <w:szCs w:val="24"/>
        </w:rPr>
        <w:t>、</w:t>
      </w:r>
      <w:r>
        <w:rPr>
          <w:rFonts w:ascii="楷体" w:eastAsia="楷体" w:hAnsi="楷体" w:cs="楷体" w:hint="eastAsia"/>
          <w:bCs/>
          <w:kern w:val="36"/>
          <w:sz w:val="24"/>
          <w:szCs w:val="24"/>
        </w:rPr>
        <w:t>“</w:t>
      </w:r>
      <w:r>
        <w:rPr>
          <w:rFonts w:ascii="楷体" w:eastAsia="楷体" w:hAnsi="楷体" w:cs="楷体" w:hint="eastAsia"/>
          <w:bCs/>
          <w:kern w:val="36"/>
          <w:sz w:val="24"/>
          <w:szCs w:val="24"/>
        </w:rPr>
        <w:t>防</w:t>
      </w:r>
      <w:r>
        <w:rPr>
          <w:rFonts w:ascii="楷体" w:eastAsia="楷体" w:hAnsi="楷体" w:cs="楷体" w:hint="eastAsia"/>
          <w:bCs/>
          <w:kern w:val="36"/>
          <w:sz w:val="24"/>
          <w:szCs w:val="24"/>
        </w:rPr>
        <w:t>”</w:t>
      </w:r>
      <w:r>
        <w:rPr>
          <w:rFonts w:ascii="楷体" w:eastAsia="楷体" w:hAnsi="楷体" w:cs="楷体" w:hint="eastAsia"/>
          <w:bCs/>
          <w:kern w:val="36"/>
          <w:sz w:val="24"/>
          <w:szCs w:val="24"/>
        </w:rPr>
        <w:t>的三个原则。</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w:t>
      </w:r>
      <w:r>
        <w:rPr>
          <w:rFonts w:ascii="楷体" w:eastAsia="楷体" w:hAnsi="楷体" w:cs="楷体" w:hint="eastAsia"/>
          <w:bCs/>
          <w:kern w:val="36"/>
          <w:sz w:val="24"/>
          <w:szCs w:val="24"/>
        </w:rPr>
        <w:t>抗</w:t>
      </w:r>
      <w:r>
        <w:rPr>
          <w:rFonts w:ascii="楷体" w:eastAsia="楷体" w:hAnsi="楷体" w:cs="楷体" w:hint="eastAsia"/>
          <w:bCs/>
          <w:kern w:val="36"/>
          <w:sz w:val="24"/>
          <w:szCs w:val="24"/>
        </w:rPr>
        <w:t>”</w:t>
      </w:r>
      <w:r>
        <w:rPr>
          <w:rFonts w:ascii="楷体" w:eastAsia="楷体" w:hAnsi="楷体" w:cs="楷体" w:hint="eastAsia"/>
          <w:bCs/>
          <w:kern w:val="36"/>
          <w:sz w:val="24"/>
          <w:szCs w:val="24"/>
        </w:rPr>
        <w:t>:是指增加构筑物其允许拉应力变化的能力，以减少形变，即用提高混凝土结构的极限拉伸值的方法来抵抗温度收缩应力和形变，如合理布置钢筋、在不同的结构部位增加温度钢筋等措施；</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w:t>
      </w:r>
      <w:r>
        <w:rPr>
          <w:rFonts w:ascii="楷体" w:eastAsia="楷体" w:hAnsi="楷体" w:cs="楷体" w:hint="eastAsia"/>
          <w:bCs/>
          <w:kern w:val="36"/>
          <w:sz w:val="24"/>
          <w:szCs w:val="24"/>
        </w:rPr>
        <w:t>放</w:t>
      </w:r>
      <w:r>
        <w:rPr>
          <w:rFonts w:ascii="楷体" w:eastAsia="楷体" w:hAnsi="楷体" w:cs="楷体" w:hint="eastAsia"/>
          <w:bCs/>
          <w:kern w:val="36"/>
          <w:sz w:val="24"/>
          <w:szCs w:val="24"/>
        </w:rPr>
        <w:t>”</w:t>
      </w:r>
      <w:r>
        <w:rPr>
          <w:rFonts w:ascii="楷体" w:eastAsia="楷体" w:hAnsi="楷体" w:cs="楷体" w:hint="eastAsia"/>
          <w:bCs/>
          <w:kern w:val="36"/>
          <w:sz w:val="24"/>
          <w:szCs w:val="24"/>
        </w:rPr>
        <w:t>：是指尽量使混凝土建筑物处于比较自由的状态，增加其允许收缩形变的能力，如减少地基的约束、预留后浇带(后浇膨胀加强带)、降低混凝土的水化热等措施；</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w:t>
      </w:r>
      <w:r>
        <w:rPr>
          <w:rFonts w:ascii="楷体" w:eastAsia="楷体" w:hAnsi="楷体" w:cs="楷体" w:hint="eastAsia"/>
          <w:bCs/>
          <w:kern w:val="36"/>
          <w:sz w:val="24"/>
          <w:szCs w:val="24"/>
        </w:rPr>
        <w:t>防</w:t>
      </w:r>
      <w:r>
        <w:rPr>
          <w:rFonts w:ascii="楷体" w:eastAsia="楷体" w:hAnsi="楷体" w:cs="楷体" w:hint="eastAsia"/>
          <w:bCs/>
          <w:kern w:val="36"/>
          <w:sz w:val="24"/>
          <w:szCs w:val="24"/>
        </w:rPr>
        <w:t>”</w:t>
      </w:r>
      <w:r>
        <w:rPr>
          <w:rFonts w:ascii="楷体" w:eastAsia="楷体" w:hAnsi="楷体" w:cs="楷体" w:hint="eastAsia"/>
          <w:bCs/>
          <w:kern w:val="36"/>
          <w:sz w:val="24"/>
          <w:szCs w:val="24"/>
        </w:rPr>
        <w:t>：是采用在混凝土中掺入不同用量的膨胀剂配制成补偿收缩混凝土，使混凝土产生一定量的限制膨胀率，并在混凝土结构中建立一定量的预压应力和自应力、优化商品混凝土配合比设计、加强混凝土施工过程中的管理等措施。</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掺</w:t>
      </w:r>
      <w:r>
        <w:rPr>
          <w:rFonts w:ascii="楷体" w:eastAsia="楷体" w:hAnsi="楷体" w:cs="楷体" w:hint="eastAsia"/>
          <w:bCs/>
          <w:sz w:val="24"/>
          <w:szCs w:val="24"/>
        </w:rPr>
        <w:t>SY-K型膨胀纤维抗裂防水剂防水</w:t>
      </w:r>
      <w:r>
        <w:rPr>
          <w:rFonts w:ascii="楷体" w:eastAsia="楷体" w:hAnsi="楷体" w:cs="楷体" w:hint="eastAsia"/>
          <w:bCs/>
          <w:kern w:val="36"/>
          <w:sz w:val="24"/>
          <w:szCs w:val="24"/>
        </w:rPr>
        <w:t>混凝土另一重要特性是具有良好的抗裂性能。在养护期间可产生（2.0～4.0）</w:t>
      </w:r>
      <w:r>
        <w:rPr>
          <w:rFonts w:ascii="楷体" w:eastAsia="楷体" w:hAnsi="楷体" w:cs="楷体" w:hint="eastAsia"/>
          <w:bCs/>
          <w:kern w:val="36"/>
          <w:sz w:val="24"/>
          <w:szCs w:val="24"/>
        </w:rPr>
        <w:t>×</w:t>
      </w:r>
      <w:r>
        <w:rPr>
          <w:rFonts w:ascii="楷体" w:eastAsia="楷体" w:hAnsi="楷体" w:cs="楷体" w:hint="eastAsia"/>
          <w:bCs/>
          <w:kern w:val="36"/>
          <w:sz w:val="24"/>
          <w:szCs w:val="24"/>
        </w:rPr>
        <w:t>10</w:t>
      </w:r>
      <w:r>
        <w:rPr>
          <w:rFonts w:ascii="楷体" w:eastAsia="楷体" w:hAnsi="楷体" w:cs="楷体" w:hint="eastAsia"/>
          <w:bCs/>
          <w:kern w:val="36"/>
          <w:sz w:val="24"/>
          <w:szCs w:val="24"/>
          <w:vertAlign w:val="superscript"/>
        </w:rPr>
        <w:t>－4</w:t>
      </w:r>
      <w:r>
        <w:rPr>
          <w:rFonts w:ascii="楷体" w:eastAsia="楷体" w:hAnsi="楷体" w:cs="楷体" w:hint="eastAsia"/>
          <w:bCs/>
          <w:kern w:val="36"/>
          <w:sz w:val="24"/>
          <w:szCs w:val="24"/>
        </w:rPr>
        <w:t>限制膨胀率</w:t>
      </w:r>
      <w:r>
        <w:rPr>
          <w:rFonts w:ascii="楷体" w:eastAsia="楷体" w:hAnsi="楷体" w:cs="楷体" w:hint="eastAsia"/>
          <w:bCs/>
          <w:kern w:val="36"/>
          <w:sz w:val="24"/>
          <w:szCs w:val="24"/>
        </w:rPr>
        <w:t>ε</w:t>
      </w:r>
      <w:r>
        <w:rPr>
          <w:rFonts w:ascii="楷体" w:eastAsia="楷体" w:hAnsi="楷体" w:cs="楷体" w:hint="eastAsia"/>
          <w:bCs/>
          <w:kern w:val="36"/>
          <w:sz w:val="24"/>
          <w:szCs w:val="24"/>
          <w:vertAlign w:val="subscript"/>
        </w:rPr>
        <w:t>2</w:t>
      </w:r>
      <w:r>
        <w:rPr>
          <w:rFonts w:ascii="楷体" w:eastAsia="楷体" w:hAnsi="楷体" w:cs="楷体" w:hint="eastAsia"/>
          <w:bCs/>
          <w:kern w:val="36"/>
          <w:sz w:val="24"/>
          <w:szCs w:val="24"/>
        </w:rPr>
        <w:t>，普通防水混凝土不具有膨胀性能，在空气中产生的总收缩Sm一般为（3.0～4.0）</w:t>
      </w:r>
      <w:r>
        <w:rPr>
          <w:rFonts w:ascii="楷体" w:eastAsia="楷体" w:hAnsi="楷体" w:cs="楷体" w:hint="eastAsia"/>
          <w:bCs/>
          <w:kern w:val="36"/>
          <w:sz w:val="24"/>
          <w:szCs w:val="24"/>
        </w:rPr>
        <w:t>×</w:t>
      </w:r>
      <w:r>
        <w:rPr>
          <w:rFonts w:ascii="楷体" w:eastAsia="楷体" w:hAnsi="楷体" w:cs="楷体" w:hint="eastAsia"/>
          <w:bCs/>
          <w:kern w:val="36"/>
          <w:sz w:val="24"/>
          <w:szCs w:val="24"/>
        </w:rPr>
        <w:t>10</w:t>
      </w:r>
      <w:r>
        <w:rPr>
          <w:rFonts w:ascii="楷体" w:eastAsia="楷体" w:hAnsi="楷体" w:cs="楷体" w:hint="eastAsia"/>
          <w:bCs/>
          <w:kern w:val="36"/>
          <w:sz w:val="24"/>
          <w:szCs w:val="24"/>
          <w:vertAlign w:val="superscript"/>
        </w:rPr>
        <w:t>－4</w:t>
      </w:r>
      <w:r>
        <w:rPr>
          <w:rFonts w:ascii="楷体" w:eastAsia="楷体" w:hAnsi="楷体" w:cs="楷体" w:hint="eastAsia"/>
          <w:bCs/>
          <w:kern w:val="36"/>
          <w:sz w:val="24"/>
          <w:szCs w:val="24"/>
        </w:rPr>
        <w:t>，而混凝土的极限拉伸值S</w:t>
      </w:r>
      <w:r>
        <w:rPr>
          <w:rFonts w:ascii="楷体" w:eastAsia="楷体" w:hAnsi="楷体" w:cs="楷体" w:hint="eastAsia"/>
          <w:bCs/>
          <w:kern w:val="36"/>
          <w:sz w:val="24"/>
          <w:szCs w:val="24"/>
          <w:vertAlign w:val="subscript"/>
        </w:rPr>
        <w:t>K</w:t>
      </w:r>
      <w:r>
        <w:rPr>
          <w:rFonts w:ascii="楷体" w:eastAsia="楷体" w:hAnsi="楷体" w:cs="楷体" w:hint="eastAsia"/>
          <w:bCs/>
          <w:kern w:val="36"/>
          <w:sz w:val="24"/>
          <w:szCs w:val="24"/>
        </w:rPr>
        <w:t>为（1～2）</w:t>
      </w:r>
      <w:r>
        <w:rPr>
          <w:rFonts w:ascii="楷体" w:eastAsia="楷体" w:hAnsi="楷体" w:cs="楷体" w:hint="eastAsia"/>
          <w:bCs/>
          <w:kern w:val="36"/>
          <w:sz w:val="24"/>
          <w:szCs w:val="24"/>
        </w:rPr>
        <w:t>×</w:t>
      </w:r>
      <w:r>
        <w:rPr>
          <w:rFonts w:ascii="楷体" w:eastAsia="楷体" w:hAnsi="楷体" w:cs="楷体" w:hint="eastAsia"/>
          <w:bCs/>
          <w:kern w:val="36"/>
          <w:sz w:val="24"/>
          <w:szCs w:val="24"/>
        </w:rPr>
        <w:t>10</w:t>
      </w:r>
      <w:r>
        <w:rPr>
          <w:rFonts w:ascii="楷体" w:eastAsia="楷体" w:hAnsi="楷体" w:cs="楷体" w:hint="eastAsia"/>
          <w:bCs/>
          <w:kern w:val="36"/>
          <w:sz w:val="24"/>
          <w:szCs w:val="24"/>
          <w:vertAlign w:val="superscript"/>
        </w:rPr>
        <w:t>－4</w:t>
      </w:r>
      <w:r>
        <w:rPr>
          <w:rFonts w:ascii="楷体" w:eastAsia="楷体" w:hAnsi="楷体" w:cs="楷体" w:hint="eastAsia"/>
          <w:bCs/>
          <w:kern w:val="36"/>
          <w:sz w:val="24"/>
          <w:szCs w:val="24"/>
        </w:rPr>
        <w:t>，当Sm大于S</w:t>
      </w:r>
      <w:r>
        <w:rPr>
          <w:rFonts w:ascii="楷体" w:eastAsia="楷体" w:hAnsi="楷体" w:cs="楷体" w:hint="eastAsia"/>
          <w:bCs/>
          <w:kern w:val="36"/>
          <w:sz w:val="24"/>
          <w:szCs w:val="24"/>
          <w:vertAlign w:val="subscript"/>
        </w:rPr>
        <w:t>K</w:t>
      </w:r>
      <w:r>
        <w:rPr>
          <w:rFonts w:ascii="楷体" w:eastAsia="楷体" w:hAnsi="楷体" w:cs="楷体" w:hint="eastAsia"/>
          <w:bCs/>
          <w:kern w:val="36"/>
          <w:sz w:val="24"/>
          <w:szCs w:val="24"/>
        </w:rPr>
        <w:t>时，混凝土结构就会开裂。而掺</w:t>
      </w:r>
      <w:r>
        <w:rPr>
          <w:rFonts w:ascii="楷体" w:eastAsia="楷体" w:hAnsi="楷体" w:cs="楷体" w:hint="eastAsia"/>
          <w:bCs/>
          <w:sz w:val="24"/>
          <w:szCs w:val="24"/>
        </w:rPr>
        <w:t>SY-K型膨胀纤维抗裂防水剂</w:t>
      </w:r>
      <w:r>
        <w:rPr>
          <w:rFonts w:ascii="楷体" w:eastAsia="楷体" w:hAnsi="楷体" w:cs="楷体" w:hint="eastAsia"/>
          <w:bCs/>
          <w:kern w:val="36"/>
          <w:sz w:val="24"/>
          <w:szCs w:val="24"/>
        </w:rPr>
        <w:t>抗裂条件是：S</w:t>
      </w:r>
      <w:r>
        <w:rPr>
          <w:rFonts w:ascii="楷体" w:eastAsia="楷体" w:hAnsi="楷体" w:cs="楷体" w:hint="eastAsia"/>
          <w:bCs/>
          <w:kern w:val="36"/>
          <w:sz w:val="24"/>
          <w:szCs w:val="24"/>
          <w:vertAlign w:val="subscript"/>
        </w:rPr>
        <w:t>K</w:t>
      </w:r>
      <w:r>
        <w:rPr>
          <w:rFonts w:ascii="楷体" w:eastAsia="楷体" w:hAnsi="楷体" w:cs="楷体" w:hint="eastAsia"/>
          <w:bCs/>
          <w:kern w:val="36"/>
          <w:sz w:val="24"/>
          <w:szCs w:val="24"/>
        </w:rPr>
        <w:t>≤ε</w:t>
      </w:r>
      <w:r>
        <w:rPr>
          <w:rFonts w:ascii="楷体" w:eastAsia="楷体" w:hAnsi="楷体" w:cs="楷体" w:hint="eastAsia"/>
          <w:bCs/>
          <w:kern w:val="36"/>
          <w:sz w:val="24"/>
          <w:szCs w:val="24"/>
          <w:vertAlign w:val="subscript"/>
        </w:rPr>
        <w:t>2</w:t>
      </w:r>
      <w:r>
        <w:rPr>
          <w:rFonts w:ascii="楷体" w:eastAsia="楷体" w:hAnsi="楷体" w:cs="楷体" w:hint="eastAsia"/>
          <w:bCs/>
          <w:kern w:val="36"/>
          <w:sz w:val="24"/>
          <w:szCs w:val="24"/>
        </w:rPr>
        <w:t>－Sm，另一条件是限制程度。混凝土自由收缩不会开裂，而在限制膨胀条件下也不会开裂。混凝土产生的膨胀应力使钢筋受拉，与此同时，钢筋给与混凝土压应力。</w:t>
      </w:r>
    </w:p>
    <w:p>
      <w:pPr>
        <w:spacing w:line="560" w:lineRule="exact"/>
        <w:ind w:firstLine="480" w:firstLineChars="200"/>
        <w:jc w:val="left"/>
        <w:rPr>
          <w:rFonts w:ascii="楷体" w:eastAsia="楷体" w:hAnsi="楷体" w:cs="楷体" w:hint="eastAsia"/>
          <w:bCs/>
          <w:kern w:val="36"/>
          <w:sz w:val="24"/>
          <w:szCs w:val="24"/>
        </w:rPr>
        <w:sectPr>
          <w:headerReference w:type="default" r:id="rId20"/>
          <w:footerReference w:type="default" r:id="rId21"/>
          <w:type w:val="nextPage"/>
          <w:pgSz w:w="11906" w:h="16838"/>
          <w:pgMar w:top="1440" w:right="1134" w:bottom="1440" w:left="1701" w:header="851" w:footer="992" w:gutter="0"/>
          <w:pgNumType w:start="7"/>
          <w:cols w:space="708"/>
          <w:titlePg w:val="0"/>
          <w:docGrid w:type="lines" w:linePitch="312"/>
        </w:sectPr>
      </w:pPr>
      <w:r>
        <w:rPr>
          <w:rFonts w:ascii="楷体" w:eastAsia="楷体" w:hAnsi="楷体" w:cs="楷体" w:hint="eastAsia"/>
          <w:bCs/>
          <w:kern w:val="36"/>
          <w:sz w:val="24"/>
          <w:szCs w:val="24"/>
        </w:rPr>
        <w:t>湿养期间可在结构中建立自应力值</w:t>
      </w:r>
      <w:r>
        <w:rPr>
          <w:rFonts w:ascii="楷体" w:eastAsia="楷体" w:hAnsi="楷体" w:cs="楷体" w:hint="eastAsia"/>
          <w:bCs/>
          <w:kern w:val="36"/>
          <w:sz w:val="24"/>
          <w:szCs w:val="24"/>
        </w:rPr>
        <w:t>δ</w:t>
      </w:r>
      <w:r>
        <w:rPr>
          <w:rFonts w:ascii="楷体" w:eastAsia="楷体" w:hAnsi="楷体" w:cs="楷体" w:hint="eastAsia"/>
          <w:bCs/>
          <w:kern w:val="36"/>
          <w:sz w:val="24"/>
          <w:szCs w:val="24"/>
        </w:rPr>
        <w:t>=0.2～0.7MPa,以限制膨胀来补偿混凝土的限制收缩,抵消钢筋混凝土结构在收缩过程中产生的全部或大部分的拉应力,从而使结构不裂或把裂缝控制在无害裂缝(有防水要求,缝宽小于0.2mm)的范围内。</w:t>
      </w:r>
    </w:p>
    <w:p>
      <w:pPr>
        <w:spacing w:line="560" w:lineRule="exact"/>
        <w:jc w:val="left"/>
        <w:rPr>
          <w:rFonts w:ascii="楷体" w:eastAsia="楷体" w:hAnsi="楷体" w:cs="楷体" w:hint="eastAsia"/>
          <w:b/>
          <w:sz w:val="24"/>
          <w:szCs w:val="24"/>
        </w:rPr>
      </w:pPr>
      <w:r>
        <w:rPr>
          <w:rFonts w:ascii="楷体" w:eastAsia="楷体" w:hAnsi="楷体" w:cs="楷体" w:hint="eastAsia"/>
          <w:b/>
          <w:sz w:val="24"/>
          <w:szCs w:val="24"/>
        </w:rPr>
        <w:t>4.4 施工技术说明</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采用掺</w:t>
      </w:r>
      <w:r>
        <w:rPr>
          <w:rFonts w:ascii="楷体" w:eastAsia="楷体" w:hAnsi="楷体" w:cs="楷体" w:hint="eastAsia"/>
          <w:sz w:val="24"/>
          <w:szCs w:val="24"/>
          <w:shd w:val="clear" w:color="auto" w:fill="FFFFFF"/>
        </w:rPr>
        <w:t>SY-K膨胀纤维抗裂防水剂</w:t>
      </w:r>
      <w:r>
        <w:rPr>
          <w:rFonts w:ascii="楷体" w:eastAsia="楷体" w:hAnsi="楷体" w:cs="楷体" w:hint="eastAsia"/>
          <w:bCs/>
          <w:kern w:val="36"/>
          <w:sz w:val="24"/>
          <w:szCs w:val="24"/>
        </w:rPr>
        <w:t>做结构自防水，施工简便、工期短、与柔性防水材料相比，耐久性好、与结构物同寿命、不污染环境。</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《补偿收缩混凝土应用技术规程》JGJ/T178-2009规定，用于后浇带、膨胀加强带的混凝土设计强度等级应比两侧混凝土提高一个等级，并应在其两侧用密孔钢丝网将带内混凝土与带外混凝土分开。本项目加强带</w:t>
      </w:r>
      <w:r>
        <w:rPr>
          <w:rFonts w:ascii="楷体" w:eastAsia="楷体" w:hAnsi="楷体" w:cs="楷体" w:hint="eastAsia"/>
          <w:sz w:val="24"/>
          <w:szCs w:val="24"/>
          <w:shd w:val="clear" w:color="auto" w:fill="FFFFFF"/>
        </w:rPr>
        <w:t>SY-K膨胀纤维抗裂防水剂为</w:t>
      </w:r>
      <w:r>
        <w:rPr>
          <w:rFonts w:ascii="楷体" w:eastAsia="楷体" w:hAnsi="楷体" w:cs="楷体" w:hint="eastAsia"/>
          <w:bCs/>
          <w:kern w:val="36"/>
          <w:sz w:val="24"/>
          <w:szCs w:val="24"/>
        </w:rPr>
        <w:t>12%，</w:t>
      </w:r>
      <w:r>
        <w:rPr>
          <w:rFonts w:ascii="楷体" w:eastAsia="楷体" w:hAnsi="楷体" w:cs="楷体" w:hint="eastAsia"/>
          <w:sz w:val="24"/>
          <w:szCs w:val="24"/>
          <w:shd w:val="clear" w:color="auto" w:fill="FFFFFF"/>
        </w:rPr>
        <w:t>SY-K</w:t>
      </w:r>
      <w:r>
        <w:rPr>
          <w:rFonts w:ascii="楷体" w:eastAsia="楷体" w:hAnsi="楷体" w:cs="楷体" w:hint="eastAsia"/>
          <w:bCs/>
          <w:kern w:val="36"/>
          <w:sz w:val="24"/>
          <w:szCs w:val="24"/>
        </w:rPr>
        <w:t>具体掺量宜通过试配确定。</w:t>
      </w:r>
    </w:p>
    <w:p>
      <w:pPr>
        <w:spacing w:before="156" w:beforeLines="50" w:line="560" w:lineRule="exact"/>
        <w:jc w:val="left"/>
        <w:rPr>
          <w:rFonts w:ascii="楷体" w:eastAsia="楷体" w:hAnsi="楷体" w:cs="楷体" w:hint="eastAsia"/>
          <w:b/>
          <w:sz w:val="32"/>
          <w:szCs w:val="32"/>
        </w:rPr>
      </w:pPr>
      <w:r>
        <w:rPr>
          <w:rFonts w:ascii="楷体" w:eastAsia="楷体" w:hAnsi="楷体" w:cs="楷体" w:hint="eastAsia"/>
          <w:b/>
          <w:sz w:val="32"/>
          <w:szCs w:val="32"/>
        </w:rPr>
        <w:t>五、掺</w:t>
      </w:r>
      <w:r>
        <w:rPr>
          <w:rFonts w:ascii="楷体" w:eastAsia="楷体" w:hAnsi="楷体" w:cs="楷体" w:hint="eastAsia"/>
          <w:b/>
          <w:bCs/>
          <w:sz w:val="32"/>
          <w:szCs w:val="32"/>
          <w:shd w:val="clear" w:color="auto" w:fill="FFFFFF"/>
        </w:rPr>
        <w:t>SY-K膨胀纤维抗裂防水剂</w:t>
      </w:r>
      <w:r>
        <w:rPr>
          <w:rFonts w:ascii="楷体" w:eastAsia="楷体" w:hAnsi="楷体" w:cs="楷体" w:hint="eastAsia"/>
          <w:b/>
          <w:sz w:val="32"/>
          <w:szCs w:val="32"/>
        </w:rPr>
        <w:t>混凝土施工方案</w:t>
      </w:r>
    </w:p>
    <w:p>
      <w:pPr>
        <w:spacing w:line="560" w:lineRule="exact"/>
        <w:jc w:val="left"/>
        <w:rPr>
          <w:rFonts w:ascii="楷体" w:eastAsia="楷体" w:hAnsi="楷体" w:cs="楷体" w:hint="eastAsia"/>
          <w:b/>
          <w:sz w:val="28"/>
          <w:szCs w:val="28"/>
        </w:rPr>
      </w:pPr>
      <w:r>
        <w:rPr>
          <w:rFonts w:ascii="楷体" w:eastAsia="楷体" w:hAnsi="楷体" w:cs="楷体" w:hint="eastAsia"/>
          <w:b/>
          <w:sz w:val="28"/>
          <w:szCs w:val="28"/>
        </w:rPr>
        <w:t>5.1 膨胀加强带</w:t>
      </w:r>
    </w:p>
    <w:p>
      <w:pPr>
        <w:adjustRightInd w:val="0"/>
        <w:spacing w:line="560" w:lineRule="exact"/>
        <w:jc w:val="left"/>
        <w:rPr>
          <w:rFonts w:ascii="楷体" w:eastAsia="楷体" w:hAnsi="楷体" w:cs="楷体" w:hint="eastAsia"/>
          <w:sz w:val="24"/>
          <w:szCs w:val="24"/>
        </w:rPr>
      </w:pPr>
      <w:r>
        <w:rPr>
          <w:rFonts w:ascii="楷体" w:eastAsia="楷体" w:hAnsi="楷体" w:cs="楷体" w:hint="eastAsia"/>
          <w:sz w:val="24"/>
          <w:szCs w:val="24"/>
        </w:rPr>
        <w:t>5.1.1膨胀加强带的设计</w:t>
      </w:r>
    </w:p>
    <w:p>
      <w:pPr>
        <w:adjustRightInd w:val="0"/>
        <w:spacing w:line="560" w:lineRule="exact"/>
        <w:ind w:firstLine="480" w:firstLineChars="200"/>
        <w:jc w:val="left"/>
        <w:rPr>
          <w:rFonts w:ascii="楷体" w:eastAsia="楷体" w:hAnsi="楷体" w:cs="楷体" w:hint="eastAsia"/>
          <w:sz w:val="24"/>
          <w:szCs w:val="24"/>
        </w:rPr>
      </w:pPr>
      <w:r>
        <w:rPr>
          <w:rFonts w:ascii="楷体" w:eastAsia="楷体" w:hAnsi="楷体" w:cs="楷体" w:hint="eastAsia"/>
          <w:sz w:val="24"/>
          <w:szCs w:val="24"/>
          <w:shd w:val="clear" w:color="auto" w:fill="FFFFFF"/>
        </w:rPr>
        <w:t>采用膨胀加强带，可以取消或尽早灌充后浇带混凝土，将基本上克服这些诸多困难，给施工带来很多便利。采用以膨胀混凝土加强带取代后浇带的连续浇筑无缝施工技术，不仅消除了这些问题，还增加混凝土的密实度，提高了混凝土的强度及抗裂、防渗性能。同时可以缩短工期，效果较为显著。</w:t>
      </w:r>
    </w:p>
    <w:p>
      <w:pPr>
        <w:spacing w:line="560" w:lineRule="exact"/>
        <w:ind w:right="-23" w:firstLine="480" w:rightChars="-11" w:firstLineChars="200"/>
        <w:rPr>
          <w:rFonts w:ascii="楷体" w:eastAsia="楷体" w:hAnsi="楷体" w:cs="楷体" w:hint="eastAsia"/>
          <w:sz w:val="24"/>
        </w:rPr>
      </w:pPr>
      <w:r>
        <w:rPr>
          <w:rFonts w:ascii="楷体" w:eastAsia="楷体" w:hAnsi="楷体" w:cs="楷体" w:hint="eastAsia"/>
          <w:bCs/>
          <w:kern w:val="36"/>
          <w:sz w:val="24"/>
          <w:szCs w:val="24"/>
        </w:rPr>
        <w:t>根据本工程实际情况和设计要求，底板的伸缩后浇带用膨胀加强带来代替，膨胀加强带按设计图纸底板结构图。《</w:t>
      </w:r>
      <w:r>
        <w:rPr>
          <w:rFonts w:ascii="楷体" w:eastAsia="楷体" w:hAnsi="楷体" w:cs="楷体" w:hint="eastAsia"/>
          <w:sz w:val="24"/>
        </w:rPr>
        <w:t>补偿收缩混凝土应用技术规程》JGJ/T178-2009规定：膨胀加强带浇筑方式宜按下表进行选择（具体可参照下图进行）：</w:t>
      </w:r>
    </w:p>
    <w:tbl>
      <w:tblPr>
        <w:tblStyle w:val="TableNormal"/>
        <w:tblW w:w="9059" w:type="dxa"/>
        <w:jc w:val="center"/>
        <w:tblBorders>
          <w:top w:val="double" w:sz="4" w:space="0" w:color="auto"/>
          <w:left w:val="none" w:sz="0" w:space="0" w:color="auto"/>
          <w:bottom w:val="doub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88"/>
        <w:gridCol w:w="1800"/>
        <w:gridCol w:w="1739"/>
        <w:gridCol w:w="1155"/>
        <w:gridCol w:w="3177"/>
      </w:tblGrid>
      <w:tr>
        <w:tblPrEx>
          <w:tblW w:w="9059" w:type="dxa"/>
          <w:jc w:val="center"/>
          <w:tblBorders>
            <w:top w:val="double" w:sz="4" w:space="0" w:color="auto"/>
            <w:left w:val="none" w:sz="0" w:space="0" w:color="auto"/>
            <w:bottom w:val="doub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188" w:type="dxa"/>
            <w:vAlign w:val="center"/>
          </w:tcPr>
          <w:p>
            <w:pPr>
              <w:spacing w:line="560" w:lineRule="exact"/>
              <w:ind w:right="-23" w:rightChars="-11"/>
              <w:rPr>
                <w:rFonts w:ascii="楷体" w:eastAsia="楷体" w:hAnsi="楷体" w:cs="楷体" w:hint="eastAsia"/>
                <w:bCs/>
                <w:kern w:val="36"/>
                <w:sz w:val="24"/>
                <w:szCs w:val="24"/>
              </w:rPr>
            </w:pPr>
            <w:r>
              <w:rPr>
                <w:rFonts w:ascii="楷体" w:eastAsia="楷体" w:hAnsi="楷体" w:cs="楷体" w:hint="eastAsia"/>
                <w:bCs/>
                <w:kern w:val="36"/>
                <w:sz w:val="24"/>
                <w:szCs w:val="24"/>
              </w:rPr>
              <w:t>结构类别</w:t>
            </w:r>
          </w:p>
        </w:tc>
        <w:tc>
          <w:tcPr>
            <w:tcW w:w="1800" w:type="dxa"/>
            <w:vAlign w:val="center"/>
          </w:tcPr>
          <w:p>
            <w:pPr>
              <w:spacing w:line="560" w:lineRule="exact"/>
              <w:ind w:right="-23" w:rightChars="-11"/>
              <w:jc w:val="center"/>
              <w:rPr>
                <w:rFonts w:ascii="楷体" w:eastAsia="楷体" w:hAnsi="楷体" w:cs="楷体" w:hint="eastAsia"/>
                <w:bCs/>
                <w:kern w:val="36"/>
                <w:sz w:val="24"/>
                <w:szCs w:val="24"/>
              </w:rPr>
            </w:pPr>
            <w:r>
              <w:rPr>
                <w:rFonts w:ascii="楷体" w:eastAsia="楷体" w:hAnsi="楷体" w:cs="楷体" w:hint="eastAsia"/>
                <w:bCs/>
                <w:kern w:val="36"/>
                <w:sz w:val="24"/>
                <w:szCs w:val="24"/>
              </w:rPr>
              <w:t>结构长度L(m)</w:t>
            </w:r>
          </w:p>
        </w:tc>
        <w:tc>
          <w:tcPr>
            <w:tcW w:w="1739" w:type="dxa"/>
            <w:vAlign w:val="center"/>
          </w:tcPr>
          <w:p>
            <w:pPr>
              <w:spacing w:line="560" w:lineRule="exact"/>
              <w:ind w:right="-23" w:rightChars="-11"/>
              <w:jc w:val="center"/>
              <w:rPr>
                <w:rFonts w:ascii="楷体" w:eastAsia="楷体" w:hAnsi="楷体" w:cs="楷体" w:hint="eastAsia"/>
                <w:bCs/>
                <w:kern w:val="36"/>
                <w:sz w:val="24"/>
                <w:szCs w:val="24"/>
              </w:rPr>
            </w:pPr>
            <w:r>
              <w:rPr>
                <w:rFonts w:ascii="楷体" w:eastAsia="楷体" w:hAnsi="楷体" w:cs="楷体" w:hint="eastAsia"/>
                <w:bCs/>
                <w:kern w:val="36"/>
                <w:sz w:val="24"/>
                <w:szCs w:val="24"/>
              </w:rPr>
              <w:t>结构厚度H(m)</w:t>
            </w:r>
          </w:p>
        </w:tc>
        <w:tc>
          <w:tcPr>
            <w:tcW w:w="1155" w:type="dxa"/>
            <w:vAlign w:val="center"/>
          </w:tcPr>
          <w:p>
            <w:pPr>
              <w:spacing w:line="560" w:lineRule="exact"/>
              <w:ind w:right="-23" w:rightChars="-11"/>
              <w:jc w:val="center"/>
              <w:rPr>
                <w:rFonts w:ascii="楷体" w:eastAsia="楷体" w:hAnsi="楷体" w:cs="楷体" w:hint="eastAsia"/>
                <w:bCs/>
                <w:kern w:val="36"/>
                <w:sz w:val="24"/>
                <w:szCs w:val="24"/>
              </w:rPr>
            </w:pPr>
            <w:r>
              <w:rPr>
                <w:rFonts w:ascii="楷体" w:eastAsia="楷体" w:hAnsi="楷体" w:cs="楷体" w:hint="eastAsia"/>
                <w:bCs/>
                <w:kern w:val="36"/>
                <w:sz w:val="24"/>
                <w:szCs w:val="24"/>
              </w:rPr>
              <w:t>浇筑方式</w:t>
            </w:r>
          </w:p>
        </w:tc>
        <w:tc>
          <w:tcPr>
            <w:tcW w:w="3177" w:type="dxa"/>
            <w:vAlign w:val="center"/>
          </w:tcPr>
          <w:p>
            <w:pPr>
              <w:spacing w:line="560" w:lineRule="exact"/>
              <w:ind w:right="-23" w:firstLine="480" w:rightChars="-11" w:firstLineChars="200"/>
              <w:jc w:val="center"/>
              <w:rPr>
                <w:rFonts w:ascii="楷体" w:eastAsia="楷体" w:hAnsi="楷体" w:cs="楷体" w:hint="eastAsia"/>
                <w:bCs/>
                <w:kern w:val="36"/>
                <w:sz w:val="24"/>
                <w:szCs w:val="24"/>
              </w:rPr>
            </w:pPr>
            <w:r>
              <w:rPr>
                <w:rFonts w:ascii="楷体" w:eastAsia="楷体" w:hAnsi="楷体" w:cs="楷体" w:hint="eastAsia"/>
                <w:bCs/>
                <w:kern w:val="36"/>
                <w:sz w:val="24"/>
                <w:szCs w:val="24"/>
              </w:rPr>
              <w:t>构造形式</w:t>
            </w:r>
          </w:p>
        </w:tc>
      </w:tr>
      <w:tr>
        <w:tblPrEx>
          <w:tblW w:w="9059" w:type="dxa"/>
          <w:jc w:val="center"/>
          <w:tblLayout w:type="fixed"/>
          <w:tblCellMar>
            <w:top w:w="0" w:type="dxa"/>
            <w:left w:w="108" w:type="dxa"/>
            <w:bottom w:w="0" w:type="dxa"/>
            <w:right w:w="108" w:type="dxa"/>
          </w:tblCellMar>
          <w:tblLook w:val="0000"/>
        </w:tblPrEx>
        <w:trPr>
          <w:trHeight w:val="549"/>
          <w:jc w:val="center"/>
        </w:trPr>
        <w:tc>
          <w:tcPr>
            <w:tcW w:w="1188" w:type="dxa"/>
            <w:vMerge w:val="restart"/>
            <w:vAlign w:val="center"/>
          </w:tcPr>
          <w:p>
            <w:pPr>
              <w:spacing w:line="560" w:lineRule="exact"/>
              <w:ind w:right="-23" w:firstLine="240" w:rightChars="-11" w:firstLineChars="100"/>
              <w:rPr>
                <w:rFonts w:ascii="楷体" w:eastAsia="楷体" w:hAnsi="楷体" w:cs="楷体" w:hint="eastAsia"/>
                <w:bCs/>
                <w:kern w:val="36"/>
                <w:sz w:val="24"/>
                <w:szCs w:val="24"/>
              </w:rPr>
            </w:pPr>
            <w:r>
              <w:rPr>
                <w:rFonts w:ascii="楷体" w:eastAsia="楷体" w:hAnsi="楷体" w:cs="楷体" w:hint="eastAsia"/>
                <w:bCs/>
                <w:kern w:val="36"/>
                <w:sz w:val="24"/>
                <w:szCs w:val="24"/>
              </w:rPr>
              <w:t>墙体</w:t>
            </w:r>
          </w:p>
        </w:tc>
        <w:tc>
          <w:tcPr>
            <w:tcW w:w="1800" w:type="dxa"/>
            <w:vAlign w:val="center"/>
          </w:tcPr>
          <w:p>
            <w:pPr>
              <w:spacing w:line="560" w:lineRule="exact"/>
              <w:ind w:right="-23" w:firstLine="480" w:rightChars="-11" w:firstLineChars="200"/>
              <w:jc w:val="center"/>
              <w:rPr>
                <w:rFonts w:ascii="楷体" w:eastAsia="楷体" w:hAnsi="楷体" w:cs="楷体" w:hint="eastAsia"/>
                <w:bCs/>
                <w:kern w:val="36"/>
                <w:sz w:val="24"/>
                <w:szCs w:val="24"/>
              </w:rPr>
            </w:pPr>
            <w:r>
              <w:rPr>
                <w:rFonts w:ascii="楷体" w:eastAsia="楷体" w:hAnsi="楷体" w:cs="楷体" w:hint="eastAsia"/>
                <w:bCs/>
                <w:kern w:val="36"/>
                <w:sz w:val="24"/>
                <w:szCs w:val="24"/>
              </w:rPr>
              <w:t>L</w:t>
            </w:r>
            <w:r>
              <w:rPr>
                <w:rFonts w:ascii="楷体" w:eastAsia="楷体" w:hAnsi="楷体" w:cs="楷体" w:hint="eastAsia"/>
                <w:bCs/>
                <w:kern w:val="36"/>
                <w:sz w:val="24"/>
                <w:szCs w:val="24"/>
              </w:rPr>
              <w:t>≤</w:t>
            </w:r>
            <w:r>
              <w:rPr>
                <w:rFonts w:ascii="楷体" w:eastAsia="楷体" w:hAnsi="楷体" w:cs="楷体" w:hint="eastAsia"/>
                <w:bCs/>
                <w:kern w:val="36"/>
                <w:sz w:val="24"/>
                <w:szCs w:val="24"/>
              </w:rPr>
              <w:t>60</w:t>
            </w:r>
          </w:p>
        </w:tc>
        <w:tc>
          <w:tcPr>
            <w:tcW w:w="1739" w:type="dxa"/>
            <w:vAlign w:val="center"/>
          </w:tcPr>
          <w:p>
            <w:pPr>
              <w:spacing w:line="560" w:lineRule="exact"/>
              <w:ind w:right="-23" w:firstLine="720" w:rightChars="-11" w:firstLineChars="300"/>
              <w:rPr>
                <w:rFonts w:ascii="楷体" w:eastAsia="楷体" w:hAnsi="楷体" w:cs="楷体" w:hint="eastAsia"/>
                <w:bCs/>
                <w:kern w:val="36"/>
                <w:sz w:val="24"/>
                <w:szCs w:val="24"/>
              </w:rPr>
            </w:pPr>
            <w:r>
              <w:rPr>
                <w:rFonts w:ascii="楷体" w:eastAsia="楷体" w:hAnsi="楷体" w:cs="楷体" w:hint="eastAsia"/>
                <w:bCs/>
                <w:kern w:val="36"/>
                <w:sz w:val="24"/>
                <w:szCs w:val="24"/>
              </w:rPr>
              <w:t>-</w:t>
            </w:r>
          </w:p>
        </w:tc>
        <w:tc>
          <w:tcPr>
            <w:tcW w:w="1155" w:type="dxa"/>
            <w:vAlign w:val="center"/>
          </w:tcPr>
          <w:p>
            <w:pPr>
              <w:spacing w:line="560" w:lineRule="exact"/>
              <w:ind w:right="-23" w:rightChars="-11"/>
              <w:jc w:val="center"/>
              <w:rPr>
                <w:rFonts w:ascii="楷体" w:eastAsia="楷体" w:hAnsi="楷体" w:cs="楷体" w:hint="eastAsia"/>
                <w:bCs/>
                <w:kern w:val="36"/>
                <w:sz w:val="24"/>
                <w:szCs w:val="24"/>
              </w:rPr>
            </w:pPr>
            <w:r>
              <w:rPr>
                <w:rFonts w:ascii="楷体" w:eastAsia="楷体" w:hAnsi="楷体" w:cs="楷体" w:hint="eastAsia"/>
                <w:bCs/>
                <w:kern w:val="36"/>
                <w:sz w:val="24"/>
                <w:szCs w:val="24"/>
              </w:rPr>
              <w:t>连续浇筑</w:t>
            </w:r>
          </w:p>
        </w:tc>
        <w:tc>
          <w:tcPr>
            <w:tcW w:w="3177" w:type="dxa"/>
            <w:vAlign w:val="center"/>
          </w:tcPr>
          <w:p>
            <w:pPr>
              <w:spacing w:line="560" w:lineRule="exact"/>
              <w:ind w:right="-23" w:rightChars="-11"/>
              <w:rPr>
                <w:rFonts w:ascii="楷体" w:eastAsia="楷体" w:hAnsi="楷体" w:cs="楷体" w:hint="eastAsia"/>
                <w:bCs/>
                <w:kern w:val="36"/>
                <w:sz w:val="24"/>
                <w:szCs w:val="24"/>
              </w:rPr>
            </w:pPr>
            <w:r>
              <w:rPr>
                <w:rFonts w:ascii="楷体" w:eastAsia="楷体" w:hAnsi="楷体" w:cs="楷体" w:hint="eastAsia"/>
                <w:bCs/>
                <w:kern w:val="36"/>
                <w:sz w:val="24"/>
                <w:szCs w:val="24"/>
              </w:rPr>
              <w:t>连续式膨胀加强带</w:t>
            </w:r>
          </w:p>
        </w:tc>
      </w:tr>
      <w:tr>
        <w:tblPrEx>
          <w:tblW w:w="9059" w:type="dxa"/>
          <w:jc w:val="center"/>
          <w:tblLayout w:type="fixed"/>
          <w:tblCellMar>
            <w:top w:w="0" w:type="dxa"/>
            <w:left w:w="108" w:type="dxa"/>
            <w:bottom w:w="0" w:type="dxa"/>
            <w:right w:w="108" w:type="dxa"/>
          </w:tblCellMar>
          <w:tblLook w:val="0000"/>
        </w:tblPrEx>
        <w:trPr>
          <w:trHeight w:val="546"/>
          <w:jc w:val="center"/>
        </w:trPr>
        <w:tc>
          <w:tcPr>
            <w:tcW w:w="1188" w:type="dxa"/>
            <w:vMerge/>
            <w:vAlign w:val="center"/>
          </w:tcPr>
          <w:p>
            <w:pPr>
              <w:spacing w:line="560" w:lineRule="exact"/>
              <w:ind w:right="-23" w:firstLine="480" w:rightChars="-11" w:firstLineChars="200"/>
              <w:jc w:val="center"/>
              <w:rPr>
                <w:rFonts w:ascii="楷体" w:eastAsia="楷体" w:hAnsi="楷体" w:cs="楷体" w:hint="eastAsia"/>
                <w:bCs/>
                <w:kern w:val="36"/>
                <w:sz w:val="24"/>
                <w:szCs w:val="24"/>
              </w:rPr>
            </w:pPr>
          </w:p>
        </w:tc>
        <w:tc>
          <w:tcPr>
            <w:tcW w:w="1800" w:type="dxa"/>
            <w:vAlign w:val="center"/>
          </w:tcPr>
          <w:p>
            <w:pPr>
              <w:spacing w:line="560" w:lineRule="exact"/>
              <w:ind w:right="-23" w:firstLine="480" w:rightChars="-11" w:firstLineChars="200"/>
              <w:jc w:val="center"/>
              <w:rPr>
                <w:rFonts w:ascii="楷体" w:eastAsia="楷体" w:hAnsi="楷体" w:cs="楷体" w:hint="eastAsia"/>
                <w:bCs/>
                <w:kern w:val="36"/>
                <w:sz w:val="24"/>
                <w:szCs w:val="24"/>
              </w:rPr>
            </w:pPr>
            <w:r>
              <w:rPr>
                <w:rFonts w:ascii="楷体" w:eastAsia="楷体" w:hAnsi="楷体" w:cs="楷体" w:hint="eastAsia"/>
                <w:bCs/>
                <w:kern w:val="36"/>
                <w:sz w:val="24"/>
                <w:szCs w:val="24"/>
              </w:rPr>
              <w:t>L＞60</w:t>
            </w:r>
          </w:p>
        </w:tc>
        <w:tc>
          <w:tcPr>
            <w:tcW w:w="1739" w:type="dxa"/>
            <w:vAlign w:val="center"/>
          </w:tcPr>
          <w:p>
            <w:pPr>
              <w:spacing w:line="560" w:lineRule="exact"/>
              <w:ind w:right="-23" w:firstLine="720" w:rightChars="-11" w:firstLineChars="300"/>
              <w:rPr>
                <w:rFonts w:ascii="楷体" w:eastAsia="楷体" w:hAnsi="楷体" w:cs="楷体" w:hint="eastAsia"/>
                <w:bCs/>
                <w:kern w:val="36"/>
                <w:sz w:val="24"/>
                <w:szCs w:val="24"/>
              </w:rPr>
            </w:pPr>
            <w:r>
              <w:rPr>
                <w:rFonts w:ascii="楷体" w:eastAsia="楷体" w:hAnsi="楷体" w:cs="楷体" w:hint="eastAsia"/>
                <w:bCs/>
                <w:kern w:val="36"/>
                <w:sz w:val="24"/>
                <w:szCs w:val="24"/>
              </w:rPr>
              <w:t>-</w:t>
            </w:r>
          </w:p>
        </w:tc>
        <w:tc>
          <w:tcPr>
            <w:tcW w:w="1155" w:type="dxa"/>
            <w:vAlign w:val="center"/>
          </w:tcPr>
          <w:p>
            <w:pPr>
              <w:spacing w:line="560" w:lineRule="exact"/>
              <w:ind w:right="-23" w:rightChars="-11"/>
              <w:jc w:val="center"/>
              <w:rPr>
                <w:rFonts w:ascii="楷体" w:eastAsia="楷体" w:hAnsi="楷体" w:cs="楷体" w:hint="eastAsia"/>
                <w:bCs/>
                <w:kern w:val="36"/>
                <w:sz w:val="24"/>
                <w:szCs w:val="24"/>
              </w:rPr>
            </w:pPr>
            <w:r>
              <w:rPr>
                <w:rFonts w:ascii="楷体" w:eastAsia="楷体" w:hAnsi="楷体" w:cs="楷体" w:hint="eastAsia"/>
                <w:bCs/>
                <w:kern w:val="36"/>
                <w:sz w:val="24"/>
                <w:szCs w:val="24"/>
              </w:rPr>
              <w:t>分段浇筑</w:t>
            </w:r>
          </w:p>
        </w:tc>
        <w:tc>
          <w:tcPr>
            <w:tcW w:w="3177" w:type="dxa"/>
            <w:vAlign w:val="center"/>
          </w:tcPr>
          <w:p>
            <w:pPr>
              <w:spacing w:line="560" w:lineRule="exact"/>
              <w:ind w:right="-23" w:rightChars="-11"/>
              <w:rPr>
                <w:rFonts w:ascii="楷体" w:eastAsia="楷体" w:hAnsi="楷体" w:cs="楷体" w:hint="eastAsia"/>
                <w:bCs/>
                <w:kern w:val="36"/>
                <w:sz w:val="24"/>
                <w:szCs w:val="24"/>
              </w:rPr>
            </w:pPr>
            <w:r>
              <w:rPr>
                <w:rFonts w:ascii="楷体" w:eastAsia="楷体" w:hAnsi="楷体" w:cs="楷体" w:hint="eastAsia"/>
                <w:bCs/>
                <w:kern w:val="36"/>
                <w:sz w:val="24"/>
                <w:szCs w:val="24"/>
              </w:rPr>
              <w:t>后浇式膨胀加强带</w:t>
            </w:r>
          </w:p>
        </w:tc>
      </w:tr>
      <w:tr>
        <w:tblPrEx>
          <w:tblW w:w="9059" w:type="dxa"/>
          <w:jc w:val="center"/>
          <w:tblLayout w:type="fixed"/>
          <w:tblCellMar>
            <w:top w:w="0" w:type="dxa"/>
            <w:left w:w="108" w:type="dxa"/>
            <w:bottom w:w="0" w:type="dxa"/>
            <w:right w:w="108" w:type="dxa"/>
          </w:tblCellMar>
          <w:tblLook w:val="0000"/>
        </w:tblPrEx>
        <w:trPr>
          <w:trHeight w:val="554"/>
          <w:jc w:val="center"/>
        </w:trPr>
        <w:tc>
          <w:tcPr>
            <w:tcW w:w="1188" w:type="dxa"/>
            <w:vMerge w:val="restart"/>
            <w:vAlign w:val="center"/>
          </w:tcPr>
          <w:p>
            <w:pPr>
              <w:spacing w:line="560" w:lineRule="exact"/>
              <w:ind w:right="-23" w:rightChars="-11"/>
              <w:rPr>
                <w:rFonts w:ascii="楷体" w:eastAsia="楷体" w:hAnsi="楷体" w:cs="楷体" w:hint="eastAsia"/>
                <w:bCs/>
                <w:kern w:val="36"/>
                <w:sz w:val="24"/>
                <w:szCs w:val="24"/>
              </w:rPr>
            </w:pPr>
            <w:r>
              <w:rPr>
                <w:rFonts w:ascii="楷体" w:eastAsia="楷体" w:hAnsi="楷体" w:cs="楷体" w:hint="eastAsia"/>
                <w:bCs/>
                <w:kern w:val="36"/>
                <w:sz w:val="24"/>
                <w:szCs w:val="24"/>
              </w:rPr>
              <w:t>板式结构</w:t>
            </w:r>
          </w:p>
        </w:tc>
        <w:tc>
          <w:tcPr>
            <w:tcW w:w="1800" w:type="dxa"/>
            <w:vAlign w:val="center"/>
          </w:tcPr>
          <w:p>
            <w:pPr>
              <w:spacing w:line="560" w:lineRule="exact"/>
              <w:ind w:right="-23" w:firstLine="480" w:rightChars="-11" w:firstLineChars="200"/>
              <w:jc w:val="center"/>
              <w:rPr>
                <w:rFonts w:ascii="楷体" w:eastAsia="楷体" w:hAnsi="楷体" w:cs="楷体" w:hint="eastAsia"/>
                <w:bCs/>
                <w:kern w:val="36"/>
                <w:sz w:val="24"/>
                <w:szCs w:val="24"/>
              </w:rPr>
            </w:pPr>
            <w:r>
              <w:rPr>
                <w:rFonts w:ascii="楷体" w:eastAsia="楷体" w:hAnsi="楷体" w:cs="楷体" w:hint="eastAsia"/>
                <w:bCs/>
                <w:kern w:val="36"/>
                <w:sz w:val="24"/>
                <w:szCs w:val="24"/>
              </w:rPr>
              <w:t>L</w:t>
            </w:r>
            <w:r>
              <w:rPr>
                <w:rFonts w:ascii="楷体" w:eastAsia="楷体" w:hAnsi="楷体" w:cs="楷体" w:hint="eastAsia"/>
                <w:bCs/>
                <w:kern w:val="36"/>
                <w:sz w:val="24"/>
                <w:szCs w:val="24"/>
              </w:rPr>
              <w:t>≤</w:t>
            </w:r>
            <w:r>
              <w:rPr>
                <w:rFonts w:ascii="楷体" w:eastAsia="楷体" w:hAnsi="楷体" w:cs="楷体" w:hint="eastAsia"/>
                <w:bCs/>
                <w:kern w:val="36"/>
                <w:sz w:val="24"/>
                <w:szCs w:val="24"/>
              </w:rPr>
              <w:t>60</w:t>
            </w:r>
          </w:p>
        </w:tc>
        <w:tc>
          <w:tcPr>
            <w:tcW w:w="1739" w:type="dxa"/>
            <w:vAlign w:val="center"/>
          </w:tcPr>
          <w:p>
            <w:pPr>
              <w:spacing w:line="560" w:lineRule="exact"/>
              <w:ind w:right="-23" w:firstLine="720" w:rightChars="-11" w:firstLineChars="300"/>
              <w:rPr>
                <w:rFonts w:ascii="楷体" w:eastAsia="楷体" w:hAnsi="楷体" w:cs="楷体" w:hint="eastAsia"/>
                <w:bCs/>
                <w:kern w:val="36"/>
                <w:sz w:val="24"/>
                <w:szCs w:val="24"/>
              </w:rPr>
            </w:pPr>
            <w:r>
              <w:rPr>
                <w:rFonts w:ascii="楷体" w:eastAsia="楷体" w:hAnsi="楷体" w:cs="楷体" w:hint="eastAsia"/>
                <w:bCs/>
                <w:kern w:val="36"/>
                <w:sz w:val="24"/>
                <w:szCs w:val="24"/>
              </w:rPr>
              <w:t>-</w:t>
            </w:r>
          </w:p>
        </w:tc>
        <w:tc>
          <w:tcPr>
            <w:tcW w:w="1155" w:type="dxa"/>
            <w:vAlign w:val="center"/>
          </w:tcPr>
          <w:p>
            <w:pPr>
              <w:spacing w:line="560" w:lineRule="exact"/>
              <w:ind w:right="-23" w:rightChars="-11"/>
              <w:jc w:val="center"/>
              <w:rPr>
                <w:rFonts w:ascii="楷体" w:eastAsia="楷体" w:hAnsi="楷体" w:cs="楷体" w:hint="eastAsia"/>
                <w:bCs/>
                <w:kern w:val="36"/>
                <w:sz w:val="24"/>
                <w:szCs w:val="24"/>
              </w:rPr>
            </w:pPr>
            <w:r>
              <w:rPr>
                <w:rFonts w:ascii="楷体" w:eastAsia="楷体" w:hAnsi="楷体" w:cs="楷体" w:hint="eastAsia"/>
                <w:bCs/>
                <w:kern w:val="36"/>
                <w:sz w:val="24"/>
                <w:szCs w:val="24"/>
              </w:rPr>
              <w:t>连续浇筑</w:t>
            </w:r>
          </w:p>
        </w:tc>
        <w:tc>
          <w:tcPr>
            <w:tcW w:w="3177" w:type="dxa"/>
            <w:vAlign w:val="center"/>
          </w:tcPr>
          <w:p>
            <w:pPr>
              <w:spacing w:line="560" w:lineRule="exact"/>
              <w:ind w:right="-23" w:firstLine="960" w:rightChars="-11" w:firstLineChars="400"/>
              <w:rPr>
                <w:rFonts w:ascii="楷体" w:eastAsia="楷体" w:hAnsi="楷体" w:cs="楷体" w:hint="eastAsia"/>
                <w:bCs/>
                <w:kern w:val="36"/>
                <w:sz w:val="24"/>
                <w:szCs w:val="24"/>
              </w:rPr>
            </w:pPr>
            <w:r>
              <w:rPr>
                <w:rFonts w:ascii="楷体" w:eastAsia="楷体" w:hAnsi="楷体" w:cs="楷体" w:hint="eastAsia"/>
                <w:bCs/>
                <w:kern w:val="36"/>
                <w:sz w:val="24"/>
                <w:szCs w:val="24"/>
              </w:rPr>
              <w:t>-</w:t>
            </w:r>
          </w:p>
        </w:tc>
      </w:tr>
      <w:tr>
        <w:tblPrEx>
          <w:tblW w:w="9059" w:type="dxa"/>
          <w:jc w:val="center"/>
          <w:tblLayout w:type="fixed"/>
          <w:tblCellMar>
            <w:top w:w="0" w:type="dxa"/>
            <w:left w:w="108" w:type="dxa"/>
            <w:bottom w:w="0" w:type="dxa"/>
            <w:right w:w="108" w:type="dxa"/>
          </w:tblCellMar>
          <w:tblLook w:val="0000"/>
        </w:tblPrEx>
        <w:trPr>
          <w:trHeight w:val="546"/>
          <w:jc w:val="center"/>
        </w:trPr>
        <w:tc>
          <w:tcPr>
            <w:tcW w:w="1188" w:type="dxa"/>
            <w:vMerge/>
            <w:vAlign w:val="center"/>
          </w:tcPr>
          <w:p>
            <w:pPr>
              <w:spacing w:line="560" w:lineRule="exact"/>
              <w:ind w:right="-23" w:firstLine="480" w:rightChars="-11" w:firstLineChars="200"/>
              <w:jc w:val="center"/>
              <w:rPr>
                <w:rFonts w:ascii="楷体" w:eastAsia="楷体" w:hAnsi="楷体" w:cs="楷体" w:hint="eastAsia"/>
                <w:bCs/>
                <w:kern w:val="36"/>
                <w:sz w:val="24"/>
                <w:szCs w:val="24"/>
              </w:rPr>
            </w:pPr>
          </w:p>
        </w:tc>
        <w:tc>
          <w:tcPr>
            <w:tcW w:w="1800" w:type="dxa"/>
            <w:vAlign w:val="center"/>
          </w:tcPr>
          <w:p>
            <w:pPr>
              <w:spacing w:line="560" w:lineRule="exact"/>
              <w:ind w:right="-23" w:rightChars="-11"/>
              <w:jc w:val="center"/>
              <w:rPr>
                <w:rFonts w:ascii="楷体" w:eastAsia="楷体" w:hAnsi="楷体" w:cs="楷体" w:hint="eastAsia"/>
                <w:bCs/>
                <w:kern w:val="36"/>
                <w:sz w:val="24"/>
                <w:szCs w:val="24"/>
              </w:rPr>
            </w:pPr>
            <w:r>
              <w:rPr>
                <w:rFonts w:ascii="楷体" w:eastAsia="楷体" w:hAnsi="楷体" w:cs="楷体" w:hint="eastAsia"/>
                <w:bCs/>
                <w:kern w:val="36"/>
                <w:sz w:val="24"/>
                <w:szCs w:val="24"/>
              </w:rPr>
              <w:t>60＜L</w:t>
            </w:r>
            <w:r>
              <w:rPr>
                <w:rFonts w:ascii="楷体" w:eastAsia="楷体" w:hAnsi="楷体" w:cs="楷体" w:hint="eastAsia"/>
                <w:bCs/>
                <w:kern w:val="36"/>
                <w:sz w:val="24"/>
                <w:szCs w:val="24"/>
              </w:rPr>
              <w:t>≤</w:t>
            </w:r>
            <w:r>
              <w:rPr>
                <w:rFonts w:ascii="楷体" w:eastAsia="楷体" w:hAnsi="楷体" w:cs="楷体" w:hint="eastAsia"/>
                <w:bCs/>
                <w:kern w:val="36"/>
                <w:sz w:val="24"/>
                <w:szCs w:val="24"/>
              </w:rPr>
              <w:t>120</w:t>
            </w:r>
          </w:p>
        </w:tc>
        <w:tc>
          <w:tcPr>
            <w:tcW w:w="1739" w:type="dxa"/>
            <w:vAlign w:val="center"/>
          </w:tcPr>
          <w:p>
            <w:pPr>
              <w:spacing w:line="560" w:lineRule="exact"/>
              <w:ind w:right="-23" w:firstLine="360" w:rightChars="-11" w:firstLineChars="150"/>
              <w:rPr>
                <w:rFonts w:ascii="楷体" w:eastAsia="楷体" w:hAnsi="楷体" w:cs="楷体" w:hint="eastAsia"/>
                <w:bCs/>
                <w:kern w:val="36"/>
                <w:sz w:val="24"/>
                <w:szCs w:val="24"/>
              </w:rPr>
            </w:pPr>
            <w:r>
              <w:rPr>
                <w:rFonts w:ascii="楷体" w:eastAsia="楷体" w:hAnsi="楷体" w:cs="楷体" w:hint="eastAsia"/>
                <w:bCs/>
                <w:kern w:val="36"/>
                <w:sz w:val="24"/>
                <w:szCs w:val="24"/>
              </w:rPr>
              <w:t>H</w:t>
            </w:r>
            <w:r>
              <w:rPr>
                <w:rFonts w:ascii="楷体" w:eastAsia="楷体" w:hAnsi="楷体" w:cs="楷体" w:hint="eastAsia"/>
                <w:bCs/>
                <w:kern w:val="36"/>
                <w:sz w:val="24"/>
                <w:szCs w:val="24"/>
              </w:rPr>
              <w:t>≤</w:t>
            </w:r>
            <w:r>
              <w:rPr>
                <w:rFonts w:ascii="楷体" w:eastAsia="楷体" w:hAnsi="楷体" w:cs="楷体" w:hint="eastAsia"/>
                <w:bCs/>
                <w:kern w:val="36"/>
                <w:sz w:val="24"/>
                <w:szCs w:val="24"/>
              </w:rPr>
              <w:t>1.5</w:t>
            </w:r>
          </w:p>
        </w:tc>
        <w:tc>
          <w:tcPr>
            <w:tcW w:w="1155" w:type="dxa"/>
            <w:vAlign w:val="center"/>
          </w:tcPr>
          <w:p>
            <w:pPr>
              <w:spacing w:line="560" w:lineRule="exact"/>
              <w:ind w:right="-23" w:rightChars="-11"/>
              <w:rPr>
                <w:rFonts w:ascii="楷体" w:eastAsia="楷体" w:hAnsi="楷体" w:cs="楷体" w:hint="eastAsia"/>
                <w:bCs/>
                <w:kern w:val="36"/>
                <w:sz w:val="24"/>
                <w:szCs w:val="24"/>
              </w:rPr>
            </w:pPr>
            <w:r>
              <w:rPr>
                <w:rFonts w:ascii="楷体" w:eastAsia="楷体" w:hAnsi="楷体" w:cs="楷体" w:hint="eastAsia"/>
                <w:bCs/>
                <w:kern w:val="36"/>
                <w:sz w:val="24"/>
                <w:szCs w:val="24"/>
              </w:rPr>
              <w:t>连续浇筑</w:t>
            </w:r>
          </w:p>
        </w:tc>
        <w:tc>
          <w:tcPr>
            <w:tcW w:w="3177" w:type="dxa"/>
            <w:vAlign w:val="center"/>
          </w:tcPr>
          <w:p>
            <w:pPr>
              <w:spacing w:line="560" w:lineRule="exact"/>
              <w:ind w:right="-23" w:rightChars="-11"/>
              <w:rPr>
                <w:rFonts w:ascii="楷体" w:eastAsia="楷体" w:hAnsi="楷体" w:cs="楷体" w:hint="eastAsia"/>
                <w:bCs/>
                <w:kern w:val="36"/>
                <w:sz w:val="24"/>
                <w:szCs w:val="24"/>
              </w:rPr>
            </w:pPr>
            <w:r>
              <w:rPr>
                <w:rFonts w:ascii="楷体" w:eastAsia="楷体" w:hAnsi="楷体" w:cs="楷体" w:hint="eastAsia"/>
                <w:bCs/>
                <w:kern w:val="36"/>
                <w:sz w:val="24"/>
                <w:szCs w:val="24"/>
              </w:rPr>
              <w:t>连续式膨胀加强带</w:t>
            </w:r>
          </w:p>
        </w:tc>
      </w:tr>
      <w:tr>
        <w:tblPrEx>
          <w:tblW w:w="9059" w:type="dxa"/>
          <w:jc w:val="center"/>
          <w:tblLayout w:type="fixed"/>
          <w:tblCellMar>
            <w:top w:w="0" w:type="dxa"/>
            <w:left w:w="108" w:type="dxa"/>
            <w:bottom w:w="0" w:type="dxa"/>
            <w:right w:w="108" w:type="dxa"/>
          </w:tblCellMar>
          <w:tblLook w:val="0000"/>
        </w:tblPrEx>
        <w:trPr>
          <w:trHeight w:val="416"/>
          <w:jc w:val="center"/>
        </w:trPr>
        <w:tc>
          <w:tcPr>
            <w:tcW w:w="1188" w:type="dxa"/>
            <w:vMerge/>
            <w:vAlign w:val="center"/>
          </w:tcPr>
          <w:p>
            <w:pPr>
              <w:spacing w:line="560" w:lineRule="exact"/>
              <w:ind w:right="-23" w:firstLine="480" w:rightChars="-11" w:firstLineChars="200"/>
              <w:jc w:val="center"/>
              <w:rPr>
                <w:rFonts w:ascii="楷体" w:eastAsia="楷体" w:hAnsi="楷体" w:cs="楷体" w:hint="eastAsia"/>
                <w:bCs/>
                <w:kern w:val="36"/>
                <w:sz w:val="24"/>
                <w:szCs w:val="24"/>
              </w:rPr>
            </w:pPr>
          </w:p>
        </w:tc>
        <w:tc>
          <w:tcPr>
            <w:tcW w:w="1800" w:type="dxa"/>
            <w:vAlign w:val="center"/>
          </w:tcPr>
          <w:p>
            <w:pPr>
              <w:spacing w:line="560" w:lineRule="exact"/>
              <w:ind w:right="-23" w:rightChars="-11"/>
              <w:jc w:val="center"/>
              <w:rPr>
                <w:rFonts w:ascii="楷体" w:eastAsia="楷体" w:hAnsi="楷体" w:cs="楷体" w:hint="eastAsia"/>
                <w:bCs/>
                <w:kern w:val="36"/>
                <w:sz w:val="24"/>
                <w:szCs w:val="24"/>
              </w:rPr>
            </w:pPr>
            <w:r>
              <w:rPr>
                <w:rFonts w:ascii="楷体" w:eastAsia="楷体" w:hAnsi="楷体" w:cs="楷体" w:hint="eastAsia"/>
                <w:bCs/>
                <w:kern w:val="36"/>
                <w:sz w:val="24"/>
                <w:szCs w:val="24"/>
              </w:rPr>
              <w:t>60＜L</w:t>
            </w:r>
            <w:r>
              <w:rPr>
                <w:rFonts w:ascii="楷体" w:eastAsia="楷体" w:hAnsi="楷体" w:cs="楷体" w:hint="eastAsia"/>
                <w:bCs/>
                <w:kern w:val="36"/>
                <w:sz w:val="24"/>
                <w:szCs w:val="24"/>
              </w:rPr>
              <w:t>≤</w:t>
            </w:r>
            <w:r>
              <w:rPr>
                <w:rFonts w:ascii="楷体" w:eastAsia="楷体" w:hAnsi="楷体" w:cs="楷体" w:hint="eastAsia"/>
                <w:bCs/>
                <w:kern w:val="36"/>
                <w:sz w:val="24"/>
                <w:szCs w:val="24"/>
              </w:rPr>
              <w:t>120</w:t>
            </w:r>
          </w:p>
        </w:tc>
        <w:tc>
          <w:tcPr>
            <w:tcW w:w="1739" w:type="dxa"/>
            <w:vAlign w:val="center"/>
          </w:tcPr>
          <w:p>
            <w:pPr>
              <w:spacing w:line="560" w:lineRule="exact"/>
              <w:ind w:right="-23" w:firstLine="360" w:rightChars="-11" w:firstLineChars="150"/>
              <w:rPr>
                <w:rFonts w:ascii="楷体" w:eastAsia="楷体" w:hAnsi="楷体" w:cs="楷体" w:hint="eastAsia"/>
                <w:bCs/>
                <w:kern w:val="36"/>
                <w:sz w:val="24"/>
                <w:szCs w:val="24"/>
              </w:rPr>
            </w:pPr>
            <w:r>
              <w:rPr>
                <w:rFonts w:ascii="楷体" w:eastAsia="楷体" w:hAnsi="楷体" w:cs="楷体" w:hint="eastAsia"/>
                <w:bCs/>
                <w:kern w:val="36"/>
                <w:sz w:val="24"/>
                <w:szCs w:val="24"/>
              </w:rPr>
              <w:t>H＞1.5</w:t>
            </w:r>
          </w:p>
        </w:tc>
        <w:tc>
          <w:tcPr>
            <w:tcW w:w="1155" w:type="dxa"/>
            <w:vAlign w:val="center"/>
          </w:tcPr>
          <w:p>
            <w:pPr>
              <w:spacing w:line="560" w:lineRule="exact"/>
              <w:ind w:right="-23" w:rightChars="-11"/>
              <w:jc w:val="center"/>
              <w:rPr>
                <w:rFonts w:ascii="楷体" w:eastAsia="楷体" w:hAnsi="楷体" w:cs="楷体" w:hint="eastAsia"/>
                <w:bCs/>
                <w:kern w:val="36"/>
                <w:sz w:val="24"/>
                <w:szCs w:val="24"/>
              </w:rPr>
            </w:pPr>
            <w:r>
              <w:rPr>
                <w:rFonts w:ascii="楷体" w:eastAsia="楷体" w:hAnsi="楷体" w:cs="楷体" w:hint="eastAsia"/>
                <w:bCs/>
                <w:kern w:val="36"/>
                <w:sz w:val="24"/>
                <w:szCs w:val="24"/>
              </w:rPr>
              <w:t>分段浇筑</w:t>
            </w:r>
          </w:p>
        </w:tc>
        <w:tc>
          <w:tcPr>
            <w:tcW w:w="3177" w:type="dxa"/>
            <w:vAlign w:val="center"/>
          </w:tcPr>
          <w:p>
            <w:pPr>
              <w:spacing w:line="560" w:lineRule="exact"/>
              <w:ind w:right="-23" w:rightChars="-11"/>
              <w:rPr>
                <w:rFonts w:ascii="楷体" w:eastAsia="楷体" w:hAnsi="楷体" w:cs="楷体" w:hint="eastAsia"/>
                <w:bCs/>
                <w:kern w:val="36"/>
                <w:sz w:val="24"/>
                <w:szCs w:val="24"/>
              </w:rPr>
            </w:pPr>
            <w:r>
              <w:rPr>
                <w:rFonts w:ascii="楷体" w:eastAsia="楷体" w:hAnsi="楷体" w:cs="楷体" w:hint="eastAsia"/>
                <w:bCs/>
                <w:kern w:val="36"/>
                <w:sz w:val="24"/>
                <w:szCs w:val="24"/>
              </w:rPr>
              <w:t>后浇式、间歇式膨胀加强带</w:t>
            </w:r>
          </w:p>
        </w:tc>
      </w:tr>
      <w:tr>
        <w:tblPrEx>
          <w:tblW w:w="9059" w:type="dxa"/>
          <w:jc w:val="center"/>
          <w:tblLayout w:type="fixed"/>
          <w:tblCellMar>
            <w:top w:w="0" w:type="dxa"/>
            <w:left w:w="108" w:type="dxa"/>
            <w:bottom w:w="0" w:type="dxa"/>
            <w:right w:w="108" w:type="dxa"/>
          </w:tblCellMar>
          <w:tblLook w:val="0000"/>
        </w:tblPrEx>
        <w:trPr>
          <w:trHeight w:val="467"/>
          <w:jc w:val="center"/>
        </w:trPr>
        <w:tc>
          <w:tcPr>
            <w:tcW w:w="1188" w:type="dxa"/>
            <w:vMerge/>
            <w:vAlign w:val="center"/>
          </w:tcPr>
          <w:p>
            <w:pPr>
              <w:spacing w:line="560" w:lineRule="exact"/>
              <w:ind w:right="-23" w:firstLine="480" w:rightChars="-11" w:firstLineChars="200"/>
              <w:jc w:val="center"/>
              <w:rPr>
                <w:rFonts w:ascii="楷体" w:eastAsia="楷体" w:hAnsi="楷体" w:cs="楷体" w:hint="eastAsia"/>
                <w:bCs/>
                <w:kern w:val="36"/>
                <w:sz w:val="24"/>
                <w:szCs w:val="24"/>
              </w:rPr>
            </w:pPr>
          </w:p>
        </w:tc>
        <w:tc>
          <w:tcPr>
            <w:tcW w:w="1800" w:type="dxa"/>
            <w:vAlign w:val="center"/>
          </w:tcPr>
          <w:p>
            <w:pPr>
              <w:spacing w:line="560" w:lineRule="exact"/>
              <w:ind w:right="-23" w:firstLine="480" w:rightChars="-11" w:firstLineChars="200"/>
              <w:jc w:val="center"/>
              <w:rPr>
                <w:rFonts w:ascii="楷体" w:eastAsia="楷体" w:hAnsi="楷体" w:cs="楷体" w:hint="eastAsia"/>
                <w:bCs/>
                <w:kern w:val="36"/>
                <w:sz w:val="24"/>
                <w:szCs w:val="24"/>
              </w:rPr>
            </w:pPr>
            <w:r>
              <w:rPr>
                <w:rFonts w:ascii="楷体" w:eastAsia="楷体" w:hAnsi="楷体" w:cs="楷体" w:hint="eastAsia"/>
                <w:bCs/>
                <w:kern w:val="36"/>
                <w:sz w:val="24"/>
                <w:szCs w:val="24"/>
              </w:rPr>
              <w:t>L＞120</w:t>
            </w:r>
          </w:p>
        </w:tc>
        <w:tc>
          <w:tcPr>
            <w:tcW w:w="1739" w:type="dxa"/>
            <w:vAlign w:val="center"/>
          </w:tcPr>
          <w:p>
            <w:pPr>
              <w:spacing w:line="560" w:lineRule="exact"/>
              <w:ind w:right="-23" w:firstLine="720" w:rightChars="-11" w:firstLineChars="300"/>
              <w:rPr>
                <w:rFonts w:ascii="楷体" w:eastAsia="楷体" w:hAnsi="楷体" w:cs="楷体" w:hint="eastAsia"/>
                <w:bCs/>
                <w:kern w:val="36"/>
                <w:sz w:val="24"/>
                <w:szCs w:val="24"/>
              </w:rPr>
            </w:pPr>
            <w:r>
              <w:rPr>
                <w:rFonts w:ascii="楷体" w:eastAsia="楷体" w:hAnsi="楷体" w:cs="楷体" w:hint="eastAsia"/>
                <w:bCs/>
                <w:kern w:val="36"/>
                <w:sz w:val="24"/>
                <w:szCs w:val="24"/>
              </w:rPr>
              <w:t>-</w:t>
            </w:r>
          </w:p>
        </w:tc>
        <w:tc>
          <w:tcPr>
            <w:tcW w:w="1155" w:type="dxa"/>
            <w:vAlign w:val="center"/>
          </w:tcPr>
          <w:p>
            <w:pPr>
              <w:spacing w:line="560" w:lineRule="exact"/>
              <w:ind w:right="-23" w:rightChars="-11"/>
              <w:jc w:val="center"/>
              <w:rPr>
                <w:rFonts w:ascii="楷体" w:eastAsia="楷体" w:hAnsi="楷体" w:cs="楷体" w:hint="eastAsia"/>
                <w:bCs/>
                <w:kern w:val="36"/>
                <w:sz w:val="24"/>
                <w:szCs w:val="24"/>
              </w:rPr>
            </w:pPr>
            <w:r>
              <w:rPr>
                <w:rFonts w:ascii="楷体" w:eastAsia="楷体" w:hAnsi="楷体" w:cs="楷体" w:hint="eastAsia"/>
                <w:bCs/>
                <w:kern w:val="36"/>
                <w:sz w:val="24"/>
                <w:szCs w:val="24"/>
              </w:rPr>
              <w:t>分段浇筑</w:t>
            </w:r>
          </w:p>
        </w:tc>
        <w:tc>
          <w:tcPr>
            <w:tcW w:w="3177" w:type="dxa"/>
            <w:vAlign w:val="center"/>
          </w:tcPr>
          <w:p>
            <w:pPr>
              <w:spacing w:line="560" w:lineRule="exact"/>
              <w:ind w:right="-23" w:rightChars="-11"/>
              <w:rPr>
                <w:rFonts w:ascii="楷体" w:eastAsia="楷体" w:hAnsi="楷体" w:cs="楷体" w:hint="eastAsia"/>
                <w:bCs/>
                <w:kern w:val="36"/>
                <w:sz w:val="24"/>
                <w:szCs w:val="24"/>
              </w:rPr>
            </w:pPr>
            <w:r>
              <w:rPr>
                <w:rFonts w:ascii="楷体" w:eastAsia="楷体" w:hAnsi="楷体" w:cs="楷体" w:hint="eastAsia"/>
                <w:bCs/>
                <w:kern w:val="36"/>
                <w:sz w:val="24"/>
                <w:szCs w:val="24"/>
              </w:rPr>
              <w:t>后浇式、间歇式膨胀加强带</w:t>
            </w:r>
          </w:p>
        </w:tc>
      </w:tr>
    </w:tbl>
    <w:p>
      <w:pPr>
        <w:sectPr>
          <w:headerReference w:type="default" r:id="rId22"/>
          <w:footerReference w:type="default" r:id="rId23"/>
          <w:type w:val="nextPage"/>
          <w:pgSz w:w="11906" w:h="16838"/>
          <w:pgMar w:top="1440" w:right="1134" w:bottom="1440" w:left="1701" w:header="851" w:footer="992" w:gutter="0"/>
          <w:pgNumType w:start="8"/>
          <w:cols w:space="708"/>
          <w:titlePg w:val="0"/>
          <w:docGrid w:type="lines" w:linePitch="312"/>
        </w:sectPr>
      </w:pPr>
    </w:p>
    <w:p>
      <w:pPr>
        <w:spacing w:line="560" w:lineRule="exact"/>
        <w:jc w:val="left"/>
        <w:rPr>
          <w:rFonts w:ascii="楷体" w:eastAsia="楷体" w:hAnsi="楷体" w:cs="楷体" w:hint="eastAsia"/>
          <w:bCs/>
          <w:kern w:val="36"/>
          <w:sz w:val="24"/>
          <w:szCs w:val="24"/>
        </w:rPr>
      </w:pPr>
    </w:p>
    <w:p>
      <w:pPr>
        <w:spacing w:line="560" w:lineRule="exact"/>
        <w:ind w:firstLine="480" w:firstLineChars="200"/>
        <w:jc w:val="left"/>
        <w:rPr>
          <w:rFonts w:ascii="楷体" w:eastAsia="楷体" w:hAnsi="楷体" w:cs="楷体" w:hint="eastAsia"/>
          <w:b/>
          <w:bCs/>
          <w:kern w:val="36"/>
          <w:sz w:val="28"/>
          <w:szCs w:val="28"/>
        </w:rPr>
      </w:pPr>
      <w:r>
        <w:rPr>
          <w:rFonts w:ascii="楷体" w:eastAsia="楷体" w:hAnsi="楷体" w:cs="楷体" w:hint="eastAsia"/>
          <w:bCs/>
          <w:kern w:val="36"/>
          <w:sz w:val="24"/>
          <w:szCs w:val="24"/>
        </w:rPr>
        <w:t xml:space="preserve"> 按照JGJ/T178-2009《补偿收缩混凝土应用技术规程》规定，可以最多连续浇筑60～120米长度的板式结构，根据本工程实际情况，施工采用连续式膨胀加强带，使用膨胀剂配制的补偿收缩混凝土可以在本工程楼板实现连续浇筑（加强带位置按底板结构图、加强带宽度为2000mm，加强带采用C35\P6混凝土，在加强带两侧位置设双层密孔钢丝网阻隔，加强带掺SY-K型膨胀</w:t>
      </w:r>
      <w:r>
        <w:rPr>
          <w:rFonts w:ascii="楷体" w:eastAsia="楷体" w:hAnsi="楷体" w:cs="楷体" w:hint="eastAsia"/>
          <w:bCs/>
          <w:sz w:val="24"/>
          <w:szCs w:val="24"/>
        </w:rPr>
        <w:t>纤维抗裂防水剂量为12%。</w:t>
      </w:r>
      <w:r>
        <w:rPr>
          <w:rFonts w:ascii="楷体" w:eastAsia="楷体" w:hAnsi="楷体" w:cs="楷体" w:hint="eastAsia"/>
          <w:bCs/>
          <w:kern w:val="36"/>
          <w:sz w:val="24"/>
          <w:szCs w:val="24"/>
        </w:rPr>
        <w:t>）</w:t>
      </w:r>
    </w:p>
    <w:p>
      <w:pPr>
        <w:adjustRightInd w:val="0"/>
        <w:spacing w:line="560" w:lineRule="exact"/>
        <w:jc w:val="left"/>
        <w:rPr>
          <w:rFonts w:ascii="楷体" w:eastAsia="楷体" w:hAnsi="楷体" w:cs="楷体" w:hint="eastAsia"/>
          <w:sz w:val="24"/>
          <w:szCs w:val="24"/>
        </w:rPr>
      </w:pPr>
      <w:r>
        <w:rPr>
          <w:rFonts w:ascii="楷体" w:eastAsia="楷体" w:hAnsi="楷体" w:cs="楷体" w:hint="eastAsia"/>
          <w:sz w:val="24"/>
          <w:szCs w:val="24"/>
        </w:rPr>
        <w:t>5.1.2膨胀加强带绑扎要求</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bCs/>
          <w:kern w:val="36"/>
          <w:sz w:val="24"/>
          <w:szCs w:val="24"/>
        </w:rPr>
        <w:t>膨胀加强带宽度设置为2m，带的两侧用孔径为5</w:t>
      </w:r>
      <w:r>
        <w:rPr>
          <w:rFonts w:ascii="楷体" w:eastAsia="楷体" w:hAnsi="楷体" w:cs="楷体" w:hint="eastAsia"/>
          <w:sz w:val="24"/>
          <w:szCs w:val="24"/>
        </w:rPr>
        <w:t>×</w:t>
      </w:r>
      <w:r>
        <w:rPr>
          <w:rFonts w:ascii="楷体" w:eastAsia="楷体" w:hAnsi="楷体" w:cs="楷体" w:hint="eastAsia"/>
          <w:bCs/>
          <w:kern w:val="36"/>
          <w:sz w:val="24"/>
          <w:szCs w:val="24"/>
        </w:rPr>
        <w:t>5mm的钢丝网拦起，并采用钢筋支撑绑扎牢固，避免施工时被混凝土冲垮，铺设的钢丝网搭接部分不超5cm。</w:t>
      </w:r>
    </w:p>
    <w:p>
      <w:pPr>
        <w:adjustRightInd w:val="0"/>
        <w:spacing w:line="560" w:lineRule="exact"/>
        <w:jc w:val="left"/>
        <w:rPr>
          <w:rFonts w:ascii="楷体" w:eastAsia="楷体" w:hAnsi="楷体" w:cs="楷体" w:hint="eastAsia"/>
          <w:sz w:val="24"/>
          <w:szCs w:val="24"/>
        </w:rPr>
      </w:pPr>
      <w:r>
        <w:rPr>
          <w:rFonts w:ascii="楷体" w:eastAsia="楷体" w:hAnsi="楷体" w:cs="楷体" w:hint="eastAsia"/>
          <w:sz w:val="24"/>
          <w:szCs w:val="24"/>
        </w:rPr>
        <w:t>5.1.3膨胀加强带中</w:t>
      </w:r>
      <w:r>
        <w:rPr>
          <w:rFonts w:ascii="楷体" w:eastAsia="楷体" w:hAnsi="楷体" w:cs="楷体" w:hint="eastAsia"/>
          <w:sz w:val="24"/>
          <w:szCs w:val="24"/>
          <w:shd w:val="clear" w:color="auto" w:fill="FFFFFF"/>
        </w:rPr>
        <w:t>SY-K</w:t>
      </w:r>
      <w:r>
        <w:rPr>
          <w:rFonts w:ascii="楷体" w:eastAsia="楷体" w:hAnsi="楷体" w:cs="楷体" w:hint="eastAsia"/>
          <w:sz w:val="24"/>
          <w:szCs w:val="24"/>
        </w:rPr>
        <w:t>掺量</w:t>
      </w:r>
    </w:p>
    <w:p>
      <w:pPr>
        <w:spacing w:line="560" w:lineRule="exact"/>
        <w:ind w:firstLine="480" w:firstLineChars="200"/>
        <w:jc w:val="left"/>
        <w:rPr>
          <w:rFonts w:ascii="楷体" w:eastAsia="楷体" w:hAnsi="楷体" w:cs="楷体" w:hint="eastAsia"/>
          <w:bCs/>
          <w:kern w:val="36"/>
          <w:sz w:val="24"/>
          <w:szCs w:val="24"/>
        </w:rPr>
      </w:pPr>
      <w:r>
        <w:rPr>
          <w:rFonts w:ascii="楷体" w:eastAsia="楷体" w:hAnsi="楷体" w:cs="楷体" w:hint="eastAsia"/>
          <w:sz w:val="24"/>
          <w:szCs w:val="24"/>
          <w:shd w:val="clear" w:color="auto" w:fill="FFFFFF"/>
        </w:rPr>
        <w:t>SY-K</w:t>
      </w:r>
      <w:r>
        <w:rPr>
          <w:rFonts w:ascii="楷体" w:eastAsia="楷体" w:hAnsi="楷体" w:cs="楷体" w:hint="eastAsia"/>
          <w:bCs/>
          <w:kern w:val="36"/>
          <w:sz w:val="24"/>
          <w:szCs w:val="24"/>
        </w:rPr>
        <w:t>具体掺量已通过商砼站试配确定：加强带以外补偿收缩混凝土</w:t>
      </w:r>
      <w:r>
        <w:rPr>
          <w:rFonts w:ascii="楷体" w:eastAsia="楷体" w:hAnsi="楷体" w:cs="楷体" w:hint="eastAsia"/>
          <w:sz w:val="24"/>
          <w:szCs w:val="24"/>
          <w:shd w:val="clear" w:color="auto" w:fill="FFFFFF"/>
        </w:rPr>
        <w:t>SY-K</w:t>
      </w:r>
      <w:r>
        <w:rPr>
          <w:rFonts w:ascii="楷体" w:eastAsia="楷体" w:hAnsi="楷体" w:cs="楷体" w:hint="eastAsia"/>
          <w:bCs/>
          <w:kern w:val="36"/>
          <w:sz w:val="24"/>
          <w:szCs w:val="24"/>
        </w:rPr>
        <w:t>掺量为胶凝材料总量8%，试件7天水养限制膨胀率达2.7</w:t>
      </w:r>
      <w:r>
        <w:rPr>
          <w:rFonts w:ascii="楷体" w:eastAsia="楷体" w:hAnsi="楷体" w:cs="楷体" w:hint="eastAsia"/>
          <w:sz w:val="24"/>
          <w:szCs w:val="24"/>
        </w:rPr>
        <w:t>×</w:t>
      </w:r>
      <w:r>
        <w:rPr>
          <w:rFonts w:ascii="楷体" w:eastAsia="楷体" w:hAnsi="楷体" w:cs="楷体" w:hint="eastAsia"/>
          <w:bCs/>
          <w:kern w:val="36"/>
          <w:sz w:val="24"/>
          <w:szCs w:val="24"/>
        </w:rPr>
        <w:t>10</w:t>
      </w:r>
      <w:r>
        <w:rPr>
          <w:rFonts w:ascii="楷体" w:eastAsia="楷体" w:hAnsi="楷体" w:cs="楷体" w:hint="eastAsia"/>
          <w:bCs/>
          <w:kern w:val="36"/>
          <w:sz w:val="24"/>
          <w:szCs w:val="24"/>
          <w:vertAlign w:val="superscript"/>
        </w:rPr>
        <w:t>-4</w:t>
      </w:r>
      <w:r>
        <w:rPr>
          <w:rFonts w:ascii="楷体" w:eastAsia="楷体" w:hAnsi="楷体" w:cs="楷体" w:hint="eastAsia"/>
          <w:bCs/>
          <w:kern w:val="36"/>
          <w:sz w:val="24"/>
          <w:szCs w:val="24"/>
        </w:rPr>
        <w:t>。膨胀加强带内填充性混凝土</w:t>
      </w:r>
      <w:r>
        <w:rPr>
          <w:rFonts w:ascii="楷体" w:eastAsia="楷体" w:hAnsi="楷体" w:cs="楷体" w:hint="eastAsia"/>
          <w:sz w:val="24"/>
          <w:szCs w:val="24"/>
          <w:shd w:val="clear" w:color="auto" w:fill="FFFFFF"/>
        </w:rPr>
        <w:t>SY-K</w:t>
      </w:r>
      <w:r>
        <w:rPr>
          <w:rFonts w:ascii="楷体" w:eastAsia="楷体" w:hAnsi="楷体" w:cs="楷体" w:hint="eastAsia"/>
          <w:bCs/>
          <w:kern w:val="36"/>
          <w:sz w:val="24"/>
          <w:szCs w:val="24"/>
        </w:rPr>
        <w:t>掺量为胶凝材料总量12%。试件7天水养限制膨胀率达3.7</w:t>
      </w:r>
      <w:r>
        <w:rPr>
          <w:rFonts w:ascii="楷体" w:eastAsia="楷体" w:hAnsi="楷体" w:cs="楷体" w:hint="eastAsia"/>
          <w:sz w:val="24"/>
          <w:szCs w:val="24"/>
        </w:rPr>
        <w:t>×</w:t>
      </w:r>
      <w:r>
        <w:rPr>
          <w:rFonts w:ascii="楷体" w:eastAsia="楷体" w:hAnsi="楷体" w:cs="楷体" w:hint="eastAsia"/>
          <w:bCs/>
          <w:kern w:val="36"/>
          <w:sz w:val="24"/>
          <w:szCs w:val="24"/>
        </w:rPr>
        <w:t>10</w:t>
      </w:r>
      <w:r>
        <w:rPr>
          <w:rFonts w:ascii="楷体" w:eastAsia="楷体" w:hAnsi="楷体" w:cs="楷体" w:hint="eastAsia"/>
          <w:bCs/>
          <w:kern w:val="36"/>
          <w:sz w:val="24"/>
          <w:szCs w:val="24"/>
          <w:vertAlign w:val="superscript"/>
        </w:rPr>
        <w:t>-4</w:t>
      </w:r>
      <w:r>
        <w:rPr>
          <w:rFonts w:ascii="楷体" w:eastAsia="楷体" w:hAnsi="楷体" w:cs="楷体" w:hint="eastAsia"/>
          <w:bCs/>
          <w:kern w:val="36"/>
          <w:sz w:val="24"/>
          <w:szCs w:val="24"/>
        </w:rPr>
        <w:t>。</w:t>
      </w:r>
    </w:p>
    <w:p>
      <w:pPr>
        <w:spacing w:line="560" w:lineRule="exact"/>
        <w:jc w:val="left"/>
        <w:rPr>
          <w:rFonts w:ascii="楷体" w:eastAsia="楷体" w:hAnsi="楷体" w:cs="楷体" w:hint="eastAsia"/>
          <w:b/>
          <w:sz w:val="28"/>
          <w:szCs w:val="28"/>
        </w:rPr>
      </w:pPr>
      <w:r>
        <w:rPr>
          <w:rFonts w:ascii="楷体" w:eastAsia="楷体" w:hAnsi="楷体" w:cs="楷体" w:hint="eastAsia"/>
          <w:b/>
          <w:sz w:val="28"/>
          <w:szCs w:val="28"/>
        </w:rPr>
        <w:t>5.2、掺</w:t>
      </w:r>
      <w:r>
        <w:rPr>
          <w:rFonts w:ascii="楷体" w:eastAsia="楷体" w:hAnsi="楷体" w:cs="楷体" w:hint="eastAsia"/>
          <w:b/>
          <w:bCs/>
          <w:sz w:val="28"/>
          <w:szCs w:val="28"/>
          <w:shd w:val="clear" w:color="auto" w:fill="FFFFFF"/>
        </w:rPr>
        <w:t>SY-K</w:t>
      </w:r>
      <w:r>
        <w:rPr>
          <w:rFonts w:ascii="楷体" w:eastAsia="楷体" w:hAnsi="楷体" w:cs="楷体" w:hint="eastAsia"/>
          <w:b/>
          <w:sz w:val="28"/>
          <w:szCs w:val="28"/>
        </w:rPr>
        <w:t>补偿收缩混凝土配合比设计</w:t>
      </w:r>
    </w:p>
    <w:p>
      <w:pPr>
        <w:adjustRightInd w:val="0"/>
        <w:spacing w:line="560" w:lineRule="exact"/>
        <w:jc w:val="left"/>
        <w:rPr>
          <w:rFonts w:ascii="楷体" w:eastAsia="楷体" w:hAnsi="楷体" w:cs="楷体" w:hint="eastAsia"/>
          <w:sz w:val="24"/>
          <w:szCs w:val="24"/>
        </w:rPr>
      </w:pPr>
      <w:bookmarkStart w:id="2" w:name="_Toc291576098"/>
      <w:bookmarkStart w:id="3" w:name="_Toc225776831"/>
      <w:bookmarkStart w:id="4" w:name="_Toc185454038"/>
      <w:bookmarkStart w:id="5" w:name="_Toc185355932"/>
      <w:bookmarkStart w:id="6" w:name="_Toc185755093"/>
      <w:bookmarkStart w:id="7" w:name="_Toc200443733"/>
      <w:bookmarkStart w:id="8" w:name="_Toc185620095"/>
      <w:r>
        <w:rPr>
          <w:rFonts w:ascii="楷体" w:eastAsia="楷体" w:hAnsi="楷体" w:cs="楷体" w:hint="eastAsia"/>
          <w:sz w:val="24"/>
          <w:szCs w:val="24"/>
        </w:rPr>
        <w:t>5.2.1 对原材料的</w:t>
      </w:r>
      <w:bookmarkEnd w:id="2"/>
      <w:bookmarkEnd w:id="3"/>
      <w:bookmarkEnd w:id="4"/>
      <w:bookmarkEnd w:id="5"/>
      <w:bookmarkEnd w:id="6"/>
      <w:bookmarkEnd w:id="7"/>
      <w:bookmarkEnd w:id="8"/>
      <w:r>
        <w:rPr>
          <w:rFonts w:ascii="楷体" w:eastAsia="楷体" w:hAnsi="楷体" w:cs="楷体" w:hint="eastAsia"/>
          <w:sz w:val="24"/>
          <w:szCs w:val="24"/>
        </w:rPr>
        <w:t>要求</w:t>
      </w:r>
    </w:p>
    <w:p>
      <w:pPr>
        <w:spacing w:line="560" w:lineRule="exact"/>
        <w:ind w:firstLine="240" w:firstLineChars="100"/>
        <w:jc w:val="left"/>
        <w:rPr>
          <w:rFonts w:ascii="楷体" w:eastAsia="楷体" w:hAnsi="楷体" w:cs="楷体" w:hint="eastAsia"/>
          <w:bCs/>
          <w:kern w:val="36"/>
          <w:sz w:val="24"/>
          <w:szCs w:val="24"/>
        </w:rPr>
      </w:pPr>
      <w:r>
        <w:rPr>
          <w:rFonts w:ascii="楷体" w:eastAsia="楷体" w:hAnsi="楷体" w:cs="楷体" w:hint="eastAsia"/>
          <w:bCs/>
          <w:kern w:val="36"/>
          <w:sz w:val="24"/>
          <w:szCs w:val="24"/>
        </w:rPr>
        <w:t>（1）水泥  本工程所用水泥应符合《通用硅酸盐水泥》（GB175-2007）的规定。</w:t>
      </w:r>
    </w:p>
    <w:p>
      <w:pPr>
        <w:spacing w:line="560" w:lineRule="exact"/>
        <w:ind w:firstLine="240" w:firstLineChars="100"/>
        <w:jc w:val="left"/>
        <w:rPr>
          <w:rFonts w:ascii="楷体" w:eastAsia="楷体" w:hAnsi="楷体" w:cs="楷体" w:hint="eastAsia"/>
          <w:bCs/>
          <w:kern w:val="36"/>
          <w:sz w:val="24"/>
          <w:szCs w:val="24"/>
        </w:rPr>
      </w:pPr>
      <w:r>
        <w:rPr>
          <w:rFonts w:ascii="楷体" w:eastAsia="楷体" w:hAnsi="楷体" w:cs="楷体" w:hint="eastAsia"/>
          <w:bCs/>
          <w:kern w:val="36"/>
          <w:sz w:val="24"/>
          <w:szCs w:val="24"/>
        </w:rPr>
        <w:t>（2）粉煤灰  应选用二级以上粉煤灰，其技术指标应符合GB1596-2005《用于水泥和混凝土中的粉煤灰》标准要求。</w:t>
      </w:r>
    </w:p>
    <w:p>
      <w:pPr>
        <w:spacing w:line="560" w:lineRule="exact"/>
        <w:ind w:firstLine="240" w:firstLineChars="100"/>
        <w:jc w:val="left"/>
        <w:rPr>
          <w:rFonts w:ascii="楷体" w:eastAsia="楷体" w:hAnsi="楷体" w:cs="楷体" w:hint="eastAsia"/>
          <w:bCs/>
          <w:kern w:val="36"/>
          <w:sz w:val="24"/>
          <w:szCs w:val="24"/>
        </w:rPr>
      </w:pPr>
      <w:r>
        <w:rPr>
          <w:rFonts w:ascii="楷体" w:eastAsia="楷体" w:hAnsi="楷体" w:cs="楷体" w:hint="eastAsia"/>
          <w:bCs/>
          <w:kern w:val="36"/>
          <w:sz w:val="24"/>
          <w:szCs w:val="24"/>
        </w:rPr>
        <w:t>（3）粗骨料  其技术指标应符合JGJ52-2006《普通混凝土用砂、石质量及检验方法标准》。</w:t>
      </w:r>
    </w:p>
    <w:p>
      <w:pPr>
        <w:spacing w:line="560" w:lineRule="exact"/>
        <w:ind w:firstLine="240" w:firstLineChars="100"/>
        <w:jc w:val="left"/>
        <w:rPr>
          <w:rFonts w:ascii="楷体" w:eastAsia="楷体" w:hAnsi="楷体" w:cs="楷体" w:hint="eastAsia"/>
          <w:bCs/>
          <w:kern w:val="36"/>
          <w:sz w:val="24"/>
          <w:szCs w:val="24"/>
        </w:rPr>
      </w:pPr>
      <w:r>
        <w:rPr>
          <w:rFonts w:ascii="楷体" w:eastAsia="楷体" w:hAnsi="楷体" w:cs="楷体" w:hint="eastAsia"/>
          <w:bCs/>
          <w:kern w:val="36"/>
          <w:sz w:val="24"/>
          <w:szCs w:val="24"/>
        </w:rPr>
        <w:t>（4）细骨料  中砂。所有技术指标应符合JGJ52-2006《普通混凝土用砂、石质量及检验方法标准》要求。</w:t>
      </w:r>
    </w:p>
    <w:p>
      <w:pPr>
        <w:spacing w:line="560" w:lineRule="exact"/>
        <w:ind w:firstLine="240" w:firstLineChars="100"/>
        <w:jc w:val="left"/>
        <w:rPr>
          <w:rFonts w:ascii="楷体" w:eastAsia="楷体" w:hAnsi="楷体" w:cs="楷体" w:hint="eastAsia"/>
          <w:bCs/>
          <w:kern w:val="36"/>
          <w:sz w:val="24"/>
          <w:szCs w:val="24"/>
        </w:rPr>
      </w:pPr>
      <w:r>
        <w:rPr>
          <w:rFonts w:ascii="楷体" w:eastAsia="楷体" w:hAnsi="楷体" w:cs="楷体" w:hint="eastAsia"/>
          <w:bCs/>
          <w:kern w:val="36"/>
          <w:sz w:val="24"/>
          <w:szCs w:val="24"/>
        </w:rPr>
        <w:t>（5）膨胀剂剂  选用</w:t>
      </w:r>
      <w:r>
        <w:rPr>
          <w:rFonts w:ascii="楷体" w:eastAsia="楷体" w:hAnsi="楷体" w:cs="楷体" w:hint="eastAsia"/>
          <w:sz w:val="24"/>
          <w:szCs w:val="24"/>
          <w:shd w:val="clear" w:color="auto" w:fill="FFFFFF"/>
        </w:rPr>
        <w:t>SY-K膨胀纤维抗裂防水剂</w:t>
      </w:r>
      <w:r>
        <w:rPr>
          <w:rFonts w:ascii="楷体" w:eastAsia="楷体" w:hAnsi="楷体" w:cs="楷体" w:hint="eastAsia"/>
          <w:bCs/>
          <w:kern w:val="36"/>
          <w:sz w:val="24"/>
          <w:szCs w:val="24"/>
        </w:rPr>
        <w:t>，其技术指标应符合GB23439-2009《混凝土膨胀剂》标准要求。</w:t>
      </w:r>
      <w:r>
        <w:rPr>
          <w:rFonts w:ascii="楷体" w:eastAsia="楷体" w:hAnsi="楷体" w:cs="楷体" w:hint="eastAsia"/>
          <w:bCs/>
          <w:kern w:val="36"/>
          <w:sz w:val="24"/>
          <w:szCs w:val="24"/>
        </w:rPr>
        <w:br/>
      </w:r>
      <w:r>
        <w:rPr>
          <w:rFonts w:ascii="楷体" w:eastAsia="楷体" w:hAnsi="楷体" w:cs="楷体" w:hint="eastAsia"/>
          <w:bCs/>
          <w:kern w:val="36"/>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4" w:history="1">
        <w:r>
          <w:rPr>
            <w:rFonts w:ascii="SimSun" w:eastAsia="SimSun" w:hAnsi="SimSun" w:cs="SimSun"/>
            <w:b/>
            <w:bCs/>
            <w:color w:val="0000EE"/>
            <w:kern w:val="0"/>
            <w:sz w:val="30"/>
            <w:szCs w:val="30"/>
            <w:u w:val="single" w:color="0000EE"/>
          </w:rPr>
          <w:t>https://d.book118.com/316012043042010051</w:t>
        </w:r>
      </w:hyperlink>
    </w:p>
    <w:p>
      <w:pPr>
        <w:spacing w:line="560" w:lineRule="exact"/>
        <w:ind w:firstLine="240" w:firstLineChars="100"/>
        <w:jc w:val="left"/>
        <w:rPr>
          <w:rFonts w:ascii="楷体" w:eastAsia="楷体" w:hAnsi="楷体" w:cs="楷体" w:hint="eastAsia"/>
          <w:bCs/>
          <w:kern w:val="36"/>
          <w:sz w:val="24"/>
          <w:szCs w:val="24"/>
        </w:rPr>
      </w:pPr>
    </w:p>
    <w:sectPr>
      <w:headerReference w:type="default" r:id="rId25"/>
      <w:footerReference w:type="default" r:id="rId26"/>
      <w:type w:val="nextPage"/>
      <w:pgSz w:w="11906" w:h="16838"/>
      <w:pgMar w:top="1440" w:right="1134" w:bottom="1440" w:left="1701" w:header="851" w:footer="992" w:gutter="0"/>
      <w:pgNumType w:start="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4002EFF" w:usb1="C000247B" w:usb2="00000009" w:usb3="00000000" w:csb0="200001F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1</w:t>
    </w:r>
    <w:r>
      <w:fldChar w:fldCharType="end"/>
    </w:r>
  </w:p>
  <w:p>
    <w:pPr>
      <w:pStyle w:val="Footer"/>
      <w:tabs>
        <w:tab w:val="center" w:pos="4153"/>
        <w:tab w:val="center" w:pos="4535"/>
        <w:tab w:val="right" w:pos="8306"/>
        <w:tab w:val="right" w:pos="9071"/>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2</w:t>
    </w:r>
    <w:r>
      <w:fldChar w:fldCharType="end"/>
    </w:r>
  </w:p>
  <w:p>
    <w:pPr>
      <w:pStyle w:val="Footer"/>
      <w:tabs>
        <w:tab w:val="center" w:pos="4153"/>
        <w:tab w:val="center" w:pos="4535"/>
        <w:tab w:val="right" w:pos="8306"/>
        <w:tab w:val="right" w:pos="9071"/>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3</w:t>
    </w:r>
    <w:r>
      <w:fldChar w:fldCharType="end"/>
    </w:r>
  </w:p>
  <w:p>
    <w:pPr>
      <w:pStyle w:val="Footer"/>
      <w:tabs>
        <w:tab w:val="center" w:pos="4153"/>
        <w:tab w:val="center" w:pos="4535"/>
        <w:tab w:val="right" w:pos="8306"/>
        <w:tab w:val="right" w:pos="9071"/>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5</w:t>
    </w:r>
    <w:r>
      <w:fldChar w:fldCharType="end"/>
    </w:r>
  </w:p>
  <w:p>
    <w:pPr>
      <w:pStyle w:val="Footer"/>
      <w:tabs>
        <w:tab w:val="center" w:pos="4153"/>
        <w:tab w:val="center" w:pos="4535"/>
        <w:tab w:val="right" w:pos="8306"/>
        <w:tab w:val="right" w:pos="9071"/>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5</w:t>
    </w:r>
    <w:r>
      <w:fldChar w:fldCharType="end"/>
    </w:r>
  </w:p>
  <w:p>
    <w:pPr>
      <w:pStyle w:val="Footer"/>
      <w:tabs>
        <w:tab w:val="center" w:pos="4153"/>
        <w:tab w:val="center" w:pos="4535"/>
        <w:tab w:val="right" w:pos="8306"/>
        <w:tab w:val="right" w:pos="9071"/>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6</w:t>
    </w:r>
    <w:r>
      <w:fldChar w:fldCharType="end"/>
    </w:r>
  </w:p>
  <w:p>
    <w:pPr>
      <w:pStyle w:val="Footer"/>
      <w:tabs>
        <w:tab w:val="center" w:pos="4153"/>
        <w:tab w:val="center" w:pos="4535"/>
        <w:tab w:val="right" w:pos="8306"/>
        <w:tab w:val="right" w:pos="9071"/>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8</w:t>
    </w:r>
    <w:r>
      <w:fldChar w:fldCharType="end"/>
    </w:r>
  </w:p>
  <w:p>
    <w:pPr>
      <w:pStyle w:val="Footer"/>
      <w:tabs>
        <w:tab w:val="center" w:pos="4153"/>
        <w:tab w:val="center" w:pos="4535"/>
        <w:tab w:val="right" w:pos="8306"/>
        <w:tab w:val="right" w:pos="9071"/>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8</w:t>
    </w:r>
    <w:r>
      <w:fldChar w:fldCharType="end"/>
    </w:r>
  </w:p>
  <w:p>
    <w:pPr>
      <w:pStyle w:val="Footer"/>
      <w:tabs>
        <w:tab w:val="center" w:pos="4153"/>
        <w:tab w:val="center" w:pos="4535"/>
        <w:tab w:val="right" w:pos="8306"/>
        <w:tab w:val="right" w:pos="9071"/>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9</w:t>
    </w:r>
    <w:r>
      <w:fldChar w:fldCharType="end"/>
    </w:r>
  </w:p>
  <w:p>
    <w:pPr>
      <w:pStyle w:val="Footer"/>
      <w:tabs>
        <w:tab w:val="center" w:pos="4153"/>
        <w:tab w:val="center" w:pos="4535"/>
        <w:tab w:val="right" w:pos="8306"/>
        <w:tab w:val="right" w:pos="9071"/>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 xml:space="preserve">                                                  地下室超长无缝结构施工方案</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 xml:space="preserve">                                                  地下室超长无缝结构施工方案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 xml:space="preserve">                                                  地下室超长无缝结构施工方案</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 xml:space="preserve">                                                  地下室超长无缝结构施工方案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 xml:space="preserve">                                                  地下室超长无缝结构施工方案</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 xml:space="preserve">                                                  地下室超长无缝结构施工方案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 xml:space="preserve">                                                  地下室超长无缝结构施工方案</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 xml:space="preserve">                                                  地下室超长无缝结构施工方案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rPr>
        <w:rFonts w:hint="eastAsia"/>
      </w:rPr>
      <w:t xml:space="preserve">                                                  地下室超长无缝结构施工方案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3EE0F3"/>
    <w:multiLevelType w:val="singleLevel"/>
    <w:tmpl w:val="B23EE0F3"/>
    <w:lvl w:ilvl="0">
      <w:start w:val="1"/>
      <w:numFmt w:val="chineseCounting"/>
      <w:suff w:val="nothing"/>
      <w:lvlText w:val="%1、"/>
      <w:lvlJc w:val="left"/>
      <w:rPr>
        <w:rFonts w:hint="eastAsia"/>
      </w:rPr>
    </w:lvl>
  </w:abstractNum>
  <w:abstractNum w:abstractNumId="1">
    <w:nsid w:val="FBF7B3D4"/>
    <w:multiLevelType w:val="singleLevel"/>
    <w:tmpl w:val="FBF7B3D4"/>
    <w:lvl w:ilvl="0">
      <w:start w:val="1"/>
      <w:numFmt w:val="decimal"/>
      <w:suff w:val="nothing"/>
      <w:lvlText w:val="（%1）"/>
      <w:lvlJc w:val="left"/>
    </w:lvl>
  </w:abstractNum>
  <w:abstractNum w:abstractNumId="2">
    <w:nsid w:val="0C645FA4"/>
    <w:multiLevelType w:val="singleLevel"/>
    <w:tmpl w:val="FBF7B3D4"/>
    <w:lvl w:ilvl="0">
      <w:start w:val="1"/>
      <w:numFmt w:val="decimal"/>
      <w:suff w:val="nothing"/>
      <w:lvlText w:val="（%1）"/>
      <w:lvlJc w:val="left"/>
    </w:lvl>
  </w:abstractNum>
  <w:abstractNum w:abstractNumId="3">
    <w:nsid w:val="23676C48"/>
    <w:multiLevelType w:val="multilevel"/>
    <w:tmpl w:val="23676C48"/>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1D14F8A"/>
    <w:multiLevelType w:val="multilevel"/>
    <w:tmpl w:val="31D14F8A"/>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40484C22"/>
    <w:multiLevelType w:val="multilevel"/>
    <w:tmpl w:val="40484C22"/>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44ED083F"/>
    <w:multiLevelType w:val="multilevel"/>
    <w:tmpl w:val="44ED083F"/>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51A27117"/>
    <w:multiLevelType w:val="multilevel"/>
    <w:tmpl w:val="51A27117"/>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68C5201B"/>
    <w:multiLevelType w:val="multilevel"/>
    <w:tmpl w:val="68C5201B"/>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756A3445"/>
    <w:multiLevelType w:val="multilevel"/>
    <w:tmpl w:val="756A3445"/>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7"/>
  </w:num>
  <w:num w:numId="4">
    <w:abstractNumId w:val="5"/>
  </w:num>
  <w:num w:numId="5">
    <w:abstractNumId w:val="6"/>
  </w:num>
  <w:num w:numId="6">
    <w:abstractNumId w:val="3"/>
  </w:num>
  <w:num w:numId="7">
    <w:abstractNumId w:val="8"/>
  </w:num>
  <w:num w:numId="8">
    <w:abstractNumId w:val="4"/>
  </w:num>
  <w:num w:numId="9">
    <w:abstractNumId w:val="9"/>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3F98"/>
    <w:rsid w:val="00001223"/>
    <w:rsid w:val="0000157B"/>
    <w:rsid w:val="000035DD"/>
    <w:rsid w:val="00006A1F"/>
    <w:rsid w:val="00010B8A"/>
    <w:rsid w:val="00010DE2"/>
    <w:rsid w:val="00014D41"/>
    <w:rsid w:val="00015B72"/>
    <w:rsid w:val="00016185"/>
    <w:rsid w:val="000168C8"/>
    <w:rsid w:val="000168D3"/>
    <w:rsid w:val="00017C7F"/>
    <w:rsid w:val="000219B6"/>
    <w:rsid w:val="000244EC"/>
    <w:rsid w:val="00027298"/>
    <w:rsid w:val="00030A92"/>
    <w:rsid w:val="00032321"/>
    <w:rsid w:val="00033F1F"/>
    <w:rsid w:val="00035F59"/>
    <w:rsid w:val="00037A1E"/>
    <w:rsid w:val="0004041E"/>
    <w:rsid w:val="0004364B"/>
    <w:rsid w:val="00050177"/>
    <w:rsid w:val="000515F5"/>
    <w:rsid w:val="000534E2"/>
    <w:rsid w:val="000554ED"/>
    <w:rsid w:val="00060715"/>
    <w:rsid w:val="00060D94"/>
    <w:rsid w:val="00061962"/>
    <w:rsid w:val="00063A22"/>
    <w:rsid w:val="00063D4E"/>
    <w:rsid w:val="00066C93"/>
    <w:rsid w:val="00070FB6"/>
    <w:rsid w:val="00073B6F"/>
    <w:rsid w:val="000801BF"/>
    <w:rsid w:val="00081F8F"/>
    <w:rsid w:val="000857C2"/>
    <w:rsid w:val="000871DD"/>
    <w:rsid w:val="000931BA"/>
    <w:rsid w:val="000931E8"/>
    <w:rsid w:val="000935E6"/>
    <w:rsid w:val="00094726"/>
    <w:rsid w:val="000976E6"/>
    <w:rsid w:val="000A2331"/>
    <w:rsid w:val="000A3DC0"/>
    <w:rsid w:val="000A406E"/>
    <w:rsid w:val="000A40D4"/>
    <w:rsid w:val="000B080E"/>
    <w:rsid w:val="000B12E1"/>
    <w:rsid w:val="000B2077"/>
    <w:rsid w:val="000B266C"/>
    <w:rsid w:val="000B4BFE"/>
    <w:rsid w:val="000C48FA"/>
    <w:rsid w:val="000C620B"/>
    <w:rsid w:val="000C65D7"/>
    <w:rsid w:val="000D4A7D"/>
    <w:rsid w:val="000D6DC2"/>
    <w:rsid w:val="000E53AD"/>
    <w:rsid w:val="000F3CA7"/>
    <w:rsid w:val="000F40C5"/>
    <w:rsid w:val="000F5517"/>
    <w:rsid w:val="001024E1"/>
    <w:rsid w:val="00104A2E"/>
    <w:rsid w:val="00105247"/>
    <w:rsid w:val="00105485"/>
    <w:rsid w:val="00106FCF"/>
    <w:rsid w:val="00115693"/>
    <w:rsid w:val="00120C83"/>
    <w:rsid w:val="00120E66"/>
    <w:rsid w:val="001213A0"/>
    <w:rsid w:val="001229B0"/>
    <w:rsid w:val="00124E74"/>
    <w:rsid w:val="0012686A"/>
    <w:rsid w:val="00126927"/>
    <w:rsid w:val="00136591"/>
    <w:rsid w:val="00144C7B"/>
    <w:rsid w:val="00145447"/>
    <w:rsid w:val="0014766C"/>
    <w:rsid w:val="00150B3F"/>
    <w:rsid w:val="00156E18"/>
    <w:rsid w:val="00157B03"/>
    <w:rsid w:val="001605DD"/>
    <w:rsid w:val="00163BB8"/>
    <w:rsid w:val="00165AC5"/>
    <w:rsid w:val="00166836"/>
    <w:rsid w:val="001747C1"/>
    <w:rsid w:val="001768B6"/>
    <w:rsid w:val="00181418"/>
    <w:rsid w:val="00183D88"/>
    <w:rsid w:val="0018699C"/>
    <w:rsid w:val="00193325"/>
    <w:rsid w:val="001947AC"/>
    <w:rsid w:val="00197508"/>
    <w:rsid w:val="001A67C2"/>
    <w:rsid w:val="001A6F24"/>
    <w:rsid w:val="001B37A9"/>
    <w:rsid w:val="001C21A7"/>
    <w:rsid w:val="001C483D"/>
    <w:rsid w:val="001C5510"/>
    <w:rsid w:val="001E0134"/>
    <w:rsid w:val="001E5638"/>
    <w:rsid w:val="001E5F21"/>
    <w:rsid w:val="001F1040"/>
    <w:rsid w:val="001F124C"/>
    <w:rsid w:val="001F28CF"/>
    <w:rsid w:val="001F3784"/>
    <w:rsid w:val="002000A1"/>
    <w:rsid w:val="00201ED6"/>
    <w:rsid w:val="002051C4"/>
    <w:rsid w:val="0021047A"/>
    <w:rsid w:val="002105EE"/>
    <w:rsid w:val="002128AA"/>
    <w:rsid w:val="002146F7"/>
    <w:rsid w:val="00216DF9"/>
    <w:rsid w:val="00217AAE"/>
    <w:rsid w:val="0022015E"/>
    <w:rsid w:val="00221EF0"/>
    <w:rsid w:val="00225EC4"/>
    <w:rsid w:val="0023073E"/>
    <w:rsid w:val="0023197E"/>
    <w:rsid w:val="00235A99"/>
    <w:rsid w:val="00244E76"/>
    <w:rsid w:val="00253620"/>
    <w:rsid w:val="00253DB9"/>
    <w:rsid w:val="00255489"/>
    <w:rsid w:val="0025682D"/>
    <w:rsid w:val="0025787E"/>
    <w:rsid w:val="002613AC"/>
    <w:rsid w:val="00270A74"/>
    <w:rsid w:val="00272578"/>
    <w:rsid w:val="0027327D"/>
    <w:rsid w:val="00274131"/>
    <w:rsid w:val="00275D3C"/>
    <w:rsid w:val="00282A8E"/>
    <w:rsid w:val="00283559"/>
    <w:rsid w:val="00283E8C"/>
    <w:rsid w:val="002870D8"/>
    <w:rsid w:val="002941C0"/>
    <w:rsid w:val="00294B67"/>
    <w:rsid w:val="002A158F"/>
    <w:rsid w:val="002A2695"/>
    <w:rsid w:val="002A6623"/>
    <w:rsid w:val="002A6D22"/>
    <w:rsid w:val="002C1059"/>
    <w:rsid w:val="002C2CAA"/>
    <w:rsid w:val="002C3B79"/>
    <w:rsid w:val="002C48DF"/>
    <w:rsid w:val="002C4A6B"/>
    <w:rsid w:val="002C5447"/>
    <w:rsid w:val="002C728B"/>
    <w:rsid w:val="002D07F5"/>
    <w:rsid w:val="002D330B"/>
    <w:rsid w:val="002D64B1"/>
    <w:rsid w:val="002E0EA7"/>
    <w:rsid w:val="002E3E04"/>
    <w:rsid w:val="002E7824"/>
    <w:rsid w:val="002E7EB1"/>
    <w:rsid w:val="002E7F65"/>
    <w:rsid w:val="002F0BB7"/>
    <w:rsid w:val="002F55FD"/>
    <w:rsid w:val="003048CB"/>
    <w:rsid w:val="00305FF7"/>
    <w:rsid w:val="003078CE"/>
    <w:rsid w:val="00312520"/>
    <w:rsid w:val="00314AB9"/>
    <w:rsid w:val="00315AD1"/>
    <w:rsid w:val="003237D8"/>
    <w:rsid w:val="00325ECE"/>
    <w:rsid w:val="00326691"/>
    <w:rsid w:val="00327DC6"/>
    <w:rsid w:val="0034352B"/>
    <w:rsid w:val="00351A2A"/>
    <w:rsid w:val="00353001"/>
    <w:rsid w:val="003534A5"/>
    <w:rsid w:val="00362DAA"/>
    <w:rsid w:val="003637EC"/>
    <w:rsid w:val="00365298"/>
    <w:rsid w:val="0036534B"/>
    <w:rsid w:val="00366040"/>
    <w:rsid w:val="0036702E"/>
    <w:rsid w:val="003708C3"/>
    <w:rsid w:val="0037154D"/>
    <w:rsid w:val="00375287"/>
    <w:rsid w:val="0037685A"/>
    <w:rsid w:val="00376E07"/>
    <w:rsid w:val="003801DC"/>
    <w:rsid w:val="003825F3"/>
    <w:rsid w:val="00384047"/>
    <w:rsid w:val="003848C0"/>
    <w:rsid w:val="00385B2C"/>
    <w:rsid w:val="003A0D11"/>
    <w:rsid w:val="003A190B"/>
    <w:rsid w:val="003A1F6D"/>
    <w:rsid w:val="003A3C5F"/>
    <w:rsid w:val="003A3E95"/>
    <w:rsid w:val="003A650E"/>
    <w:rsid w:val="003C70FE"/>
    <w:rsid w:val="003D0710"/>
    <w:rsid w:val="003D14D9"/>
    <w:rsid w:val="003D20FD"/>
    <w:rsid w:val="003D26E2"/>
    <w:rsid w:val="003D5A0F"/>
    <w:rsid w:val="003E142F"/>
    <w:rsid w:val="003E2A33"/>
    <w:rsid w:val="003E67BC"/>
    <w:rsid w:val="003F13E4"/>
    <w:rsid w:val="003F1D1A"/>
    <w:rsid w:val="003F1DCA"/>
    <w:rsid w:val="003F6A62"/>
    <w:rsid w:val="003F7E93"/>
    <w:rsid w:val="0040079D"/>
    <w:rsid w:val="0040186B"/>
    <w:rsid w:val="00404D29"/>
    <w:rsid w:val="00406D38"/>
    <w:rsid w:val="00413E23"/>
    <w:rsid w:val="00417F15"/>
    <w:rsid w:val="00420B41"/>
    <w:rsid w:val="00426339"/>
    <w:rsid w:val="00431C7F"/>
    <w:rsid w:val="00432126"/>
    <w:rsid w:val="00432AE9"/>
    <w:rsid w:val="00432DF5"/>
    <w:rsid w:val="004345E7"/>
    <w:rsid w:val="0043486E"/>
    <w:rsid w:val="004369F9"/>
    <w:rsid w:val="00437166"/>
    <w:rsid w:val="004477FB"/>
    <w:rsid w:val="00452322"/>
    <w:rsid w:val="004523BE"/>
    <w:rsid w:val="004530A5"/>
    <w:rsid w:val="00454852"/>
    <w:rsid w:val="00455D9E"/>
    <w:rsid w:val="00457BC0"/>
    <w:rsid w:val="00461313"/>
    <w:rsid w:val="004649D5"/>
    <w:rsid w:val="00464A68"/>
    <w:rsid w:val="00467112"/>
    <w:rsid w:val="004673C6"/>
    <w:rsid w:val="00473250"/>
    <w:rsid w:val="00480336"/>
    <w:rsid w:val="00484F78"/>
    <w:rsid w:val="00485139"/>
    <w:rsid w:val="00486006"/>
    <w:rsid w:val="00486142"/>
    <w:rsid w:val="004922ED"/>
    <w:rsid w:val="0049317C"/>
    <w:rsid w:val="00494350"/>
    <w:rsid w:val="004967EA"/>
    <w:rsid w:val="00496ACF"/>
    <w:rsid w:val="00497E00"/>
    <w:rsid w:val="004A0568"/>
    <w:rsid w:val="004A1264"/>
    <w:rsid w:val="004A26BA"/>
    <w:rsid w:val="004A396C"/>
    <w:rsid w:val="004B0E5C"/>
    <w:rsid w:val="004B1BB1"/>
    <w:rsid w:val="004B66FC"/>
    <w:rsid w:val="004B7B2F"/>
    <w:rsid w:val="004C19E1"/>
    <w:rsid w:val="004C20D2"/>
    <w:rsid w:val="004C308B"/>
    <w:rsid w:val="004C3B99"/>
    <w:rsid w:val="004C49C2"/>
    <w:rsid w:val="004D0A01"/>
    <w:rsid w:val="004D0A0A"/>
    <w:rsid w:val="004D424B"/>
    <w:rsid w:val="004D5226"/>
    <w:rsid w:val="004D5535"/>
    <w:rsid w:val="004D7740"/>
    <w:rsid w:val="004D7A0A"/>
    <w:rsid w:val="004E221D"/>
    <w:rsid w:val="004E6750"/>
    <w:rsid w:val="004E7DBC"/>
    <w:rsid w:val="004F10B4"/>
    <w:rsid w:val="004F205D"/>
    <w:rsid w:val="00503363"/>
    <w:rsid w:val="0050769E"/>
    <w:rsid w:val="00507BAF"/>
    <w:rsid w:val="0051477D"/>
    <w:rsid w:val="0051608E"/>
    <w:rsid w:val="00516BE3"/>
    <w:rsid w:val="00520B6B"/>
    <w:rsid w:val="005226DF"/>
    <w:rsid w:val="0052482F"/>
    <w:rsid w:val="00524FFE"/>
    <w:rsid w:val="00525C5B"/>
    <w:rsid w:val="00527F29"/>
    <w:rsid w:val="00530EF8"/>
    <w:rsid w:val="00532065"/>
    <w:rsid w:val="0053678F"/>
    <w:rsid w:val="00541333"/>
    <w:rsid w:val="00542867"/>
    <w:rsid w:val="0054350C"/>
    <w:rsid w:val="00543E40"/>
    <w:rsid w:val="00544F83"/>
    <w:rsid w:val="0054589A"/>
    <w:rsid w:val="0055047B"/>
    <w:rsid w:val="00553BA7"/>
    <w:rsid w:val="00560263"/>
    <w:rsid w:val="00562735"/>
    <w:rsid w:val="00573206"/>
    <w:rsid w:val="005761F5"/>
    <w:rsid w:val="005762CE"/>
    <w:rsid w:val="00576CA2"/>
    <w:rsid w:val="00586EDC"/>
    <w:rsid w:val="005870CF"/>
    <w:rsid w:val="005919AA"/>
    <w:rsid w:val="005922E4"/>
    <w:rsid w:val="00593E1C"/>
    <w:rsid w:val="00594371"/>
    <w:rsid w:val="005955B1"/>
    <w:rsid w:val="00596E04"/>
    <w:rsid w:val="005A1004"/>
    <w:rsid w:val="005A453B"/>
    <w:rsid w:val="005A56D2"/>
    <w:rsid w:val="005B381A"/>
    <w:rsid w:val="005B404B"/>
    <w:rsid w:val="005C01DD"/>
    <w:rsid w:val="005C1984"/>
    <w:rsid w:val="005C4040"/>
    <w:rsid w:val="005C7011"/>
    <w:rsid w:val="005C79D1"/>
    <w:rsid w:val="005C7A41"/>
    <w:rsid w:val="005D1D75"/>
    <w:rsid w:val="005D2B68"/>
    <w:rsid w:val="005D498A"/>
    <w:rsid w:val="005E05AE"/>
    <w:rsid w:val="005E0A45"/>
    <w:rsid w:val="005E4BD0"/>
    <w:rsid w:val="005E5BB8"/>
    <w:rsid w:val="005E6927"/>
    <w:rsid w:val="005F2180"/>
    <w:rsid w:val="005F457E"/>
    <w:rsid w:val="00605552"/>
    <w:rsid w:val="00610639"/>
    <w:rsid w:val="00610960"/>
    <w:rsid w:val="00610FE7"/>
    <w:rsid w:val="00612B43"/>
    <w:rsid w:val="0061580A"/>
    <w:rsid w:val="00621B6E"/>
    <w:rsid w:val="00626DD9"/>
    <w:rsid w:val="0062701B"/>
    <w:rsid w:val="00632B2B"/>
    <w:rsid w:val="00640116"/>
    <w:rsid w:val="00642450"/>
    <w:rsid w:val="006427C6"/>
    <w:rsid w:val="006455C2"/>
    <w:rsid w:val="006476FA"/>
    <w:rsid w:val="00655883"/>
    <w:rsid w:val="00662E8C"/>
    <w:rsid w:val="00663022"/>
    <w:rsid w:val="00665362"/>
    <w:rsid w:val="0066552C"/>
    <w:rsid w:val="006711C1"/>
    <w:rsid w:val="00674495"/>
    <w:rsid w:val="00681E6D"/>
    <w:rsid w:val="006825FF"/>
    <w:rsid w:val="00685843"/>
    <w:rsid w:val="00687110"/>
    <w:rsid w:val="00693B1C"/>
    <w:rsid w:val="00693B8E"/>
    <w:rsid w:val="00696D8C"/>
    <w:rsid w:val="00696E15"/>
    <w:rsid w:val="006A2596"/>
    <w:rsid w:val="006B6677"/>
    <w:rsid w:val="006C03F9"/>
    <w:rsid w:val="006C4F90"/>
    <w:rsid w:val="006C624F"/>
    <w:rsid w:val="006D4611"/>
    <w:rsid w:val="006E1E28"/>
    <w:rsid w:val="006E2895"/>
    <w:rsid w:val="006E4F12"/>
    <w:rsid w:val="006F0A5C"/>
    <w:rsid w:val="00705299"/>
    <w:rsid w:val="0070594C"/>
    <w:rsid w:val="00705B9B"/>
    <w:rsid w:val="00705FA5"/>
    <w:rsid w:val="00707F6C"/>
    <w:rsid w:val="007121FB"/>
    <w:rsid w:val="00712592"/>
    <w:rsid w:val="00713A3F"/>
    <w:rsid w:val="00720C8B"/>
    <w:rsid w:val="007227D9"/>
    <w:rsid w:val="00722C2B"/>
    <w:rsid w:val="00723DAB"/>
    <w:rsid w:val="00725B91"/>
    <w:rsid w:val="00730575"/>
    <w:rsid w:val="00730AD0"/>
    <w:rsid w:val="00730E98"/>
    <w:rsid w:val="00731689"/>
    <w:rsid w:val="00735807"/>
    <w:rsid w:val="00737223"/>
    <w:rsid w:val="007415B7"/>
    <w:rsid w:val="00742A30"/>
    <w:rsid w:val="00744753"/>
    <w:rsid w:val="0074670D"/>
    <w:rsid w:val="00747722"/>
    <w:rsid w:val="00747B1A"/>
    <w:rsid w:val="00747F24"/>
    <w:rsid w:val="007567FB"/>
    <w:rsid w:val="0075784E"/>
    <w:rsid w:val="00762328"/>
    <w:rsid w:val="0076525F"/>
    <w:rsid w:val="00770157"/>
    <w:rsid w:val="00774B8B"/>
    <w:rsid w:val="007751CF"/>
    <w:rsid w:val="0077653E"/>
    <w:rsid w:val="00776BA3"/>
    <w:rsid w:val="0078272E"/>
    <w:rsid w:val="007828D3"/>
    <w:rsid w:val="00783524"/>
    <w:rsid w:val="00784F11"/>
    <w:rsid w:val="00787A43"/>
    <w:rsid w:val="00787CF8"/>
    <w:rsid w:val="00791680"/>
    <w:rsid w:val="00794C71"/>
    <w:rsid w:val="00797678"/>
    <w:rsid w:val="007A081E"/>
    <w:rsid w:val="007A201C"/>
    <w:rsid w:val="007A2BD3"/>
    <w:rsid w:val="007A4C23"/>
    <w:rsid w:val="007A4DDB"/>
    <w:rsid w:val="007A4E53"/>
    <w:rsid w:val="007A5CF1"/>
    <w:rsid w:val="007A6869"/>
    <w:rsid w:val="007A6E04"/>
    <w:rsid w:val="007B2111"/>
    <w:rsid w:val="007B34B6"/>
    <w:rsid w:val="007B5EDE"/>
    <w:rsid w:val="007B650A"/>
    <w:rsid w:val="007B7E19"/>
    <w:rsid w:val="007C2C68"/>
    <w:rsid w:val="007C2D35"/>
    <w:rsid w:val="007C4A32"/>
    <w:rsid w:val="007D036F"/>
    <w:rsid w:val="007D03F9"/>
    <w:rsid w:val="007D1DB1"/>
    <w:rsid w:val="007D3A0B"/>
    <w:rsid w:val="007D3D56"/>
    <w:rsid w:val="007D596F"/>
    <w:rsid w:val="007D6105"/>
    <w:rsid w:val="007D70B4"/>
    <w:rsid w:val="007E6372"/>
    <w:rsid w:val="007E73F7"/>
    <w:rsid w:val="007F048D"/>
    <w:rsid w:val="007F1494"/>
    <w:rsid w:val="007F2E5B"/>
    <w:rsid w:val="007F52F9"/>
    <w:rsid w:val="00800405"/>
    <w:rsid w:val="00805D81"/>
    <w:rsid w:val="0081053B"/>
    <w:rsid w:val="00811CB7"/>
    <w:rsid w:val="008131F5"/>
    <w:rsid w:val="00815C81"/>
    <w:rsid w:val="00817B3B"/>
    <w:rsid w:val="0082180D"/>
    <w:rsid w:val="00822473"/>
    <w:rsid w:val="00822F76"/>
    <w:rsid w:val="008241B4"/>
    <w:rsid w:val="00826A7E"/>
    <w:rsid w:val="00827F22"/>
    <w:rsid w:val="00833353"/>
    <w:rsid w:val="008359F4"/>
    <w:rsid w:val="008377AD"/>
    <w:rsid w:val="00841E79"/>
    <w:rsid w:val="00843B54"/>
    <w:rsid w:val="00852D23"/>
    <w:rsid w:val="00855D9B"/>
    <w:rsid w:val="008572E8"/>
    <w:rsid w:val="008578A4"/>
    <w:rsid w:val="008604CC"/>
    <w:rsid w:val="00861309"/>
    <w:rsid w:val="008625BA"/>
    <w:rsid w:val="00862987"/>
    <w:rsid w:val="00863A88"/>
    <w:rsid w:val="00864F10"/>
    <w:rsid w:val="00870337"/>
    <w:rsid w:val="00874BD8"/>
    <w:rsid w:val="00874C76"/>
    <w:rsid w:val="008807CB"/>
    <w:rsid w:val="00881454"/>
    <w:rsid w:val="00882DB7"/>
    <w:rsid w:val="008836A1"/>
    <w:rsid w:val="00883E4B"/>
    <w:rsid w:val="008904CF"/>
    <w:rsid w:val="00892DAD"/>
    <w:rsid w:val="00897BF0"/>
    <w:rsid w:val="008A1BCB"/>
    <w:rsid w:val="008A63BB"/>
    <w:rsid w:val="008A6FD6"/>
    <w:rsid w:val="008B2E98"/>
    <w:rsid w:val="008B6032"/>
    <w:rsid w:val="008B6963"/>
    <w:rsid w:val="008B6A2F"/>
    <w:rsid w:val="008C1E02"/>
    <w:rsid w:val="008C27D7"/>
    <w:rsid w:val="008C6969"/>
    <w:rsid w:val="008C789B"/>
    <w:rsid w:val="008D3E5F"/>
    <w:rsid w:val="008D423B"/>
    <w:rsid w:val="008D74B9"/>
    <w:rsid w:val="008E011A"/>
    <w:rsid w:val="008E0497"/>
    <w:rsid w:val="008E33FC"/>
    <w:rsid w:val="008E35F9"/>
    <w:rsid w:val="008E404E"/>
    <w:rsid w:val="008E4649"/>
    <w:rsid w:val="008E5CBF"/>
    <w:rsid w:val="008F0395"/>
    <w:rsid w:val="008F2051"/>
    <w:rsid w:val="008F3BB6"/>
    <w:rsid w:val="008F6DE0"/>
    <w:rsid w:val="009028EF"/>
    <w:rsid w:val="00902921"/>
    <w:rsid w:val="0090366A"/>
    <w:rsid w:val="00906117"/>
    <w:rsid w:val="00910353"/>
    <w:rsid w:val="00911C22"/>
    <w:rsid w:val="00911F24"/>
    <w:rsid w:val="00913643"/>
    <w:rsid w:val="00913E8C"/>
    <w:rsid w:val="00920BCE"/>
    <w:rsid w:val="0092214C"/>
    <w:rsid w:val="009236D7"/>
    <w:rsid w:val="009268A4"/>
    <w:rsid w:val="009279BA"/>
    <w:rsid w:val="00932A31"/>
    <w:rsid w:val="00932F98"/>
    <w:rsid w:val="00936E5B"/>
    <w:rsid w:val="009423A8"/>
    <w:rsid w:val="00943216"/>
    <w:rsid w:val="00945C74"/>
    <w:rsid w:val="00951362"/>
    <w:rsid w:val="00953B26"/>
    <w:rsid w:val="009551FF"/>
    <w:rsid w:val="009664F8"/>
    <w:rsid w:val="00967F1E"/>
    <w:rsid w:val="0097143E"/>
    <w:rsid w:val="009737B2"/>
    <w:rsid w:val="009838CE"/>
    <w:rsid w:val="0098496A"/>
    <w:rsid w:val="00986377"/>
    <w:rsid w:val="009917DF"/>
    <w:rsid w:val="00996253"/>
    <w:rsid w:val="009A3FD0"/>
    <w:rsid w:val="009A5BA9"/>
    <w:rsid w:val="009A5E6C"/>
    <w:rsid w:val="009B0AA7"/>
    <w:rsid w:val="009B4E53"/>
    <w:rsid w:val="009B5252"/>
    <w:rsid w:val="009B58E3"/>
    <w:rsid w:val="009B732E"/>
    <w:rsid w:val="009B7735"/>
    <w:rsid w:val="009C1A9E"/>
    <w:rsid w:val="009C413D"/>
    <w:rsid w:val="009C5455"/>
    <w:rsid w:val="009D09A2"/>
    <w:rsid w:val="009D2C5B"/>
    <w:rsid w:val="009D4847"/>
    <w:rsid w:val="009D52A6"/>
    <w:rsid w:val="009E1F41"/>
    <w:rsid w:val="009E2D69"/>
    <w:rsid w:val="009E5FAF"/>
    <w:rsid w:val="009E750B"/>
    <w:rsid w:val="009E79D2"/>
    <w:rsid w:val="009F10E7"/>
    <w:rsid w:val="009F23C1"/>
    <w:rsid w:val="009F6D65"/>
    <w:rsid w:val="00A01CA6"/>
    <w:rsid w:val="00A01E32"/>
    <w:rsid w:val="00A01E4C"/>
    <w:rsid w:val="00A02339"/>
    <w:rsid w:val="00A04BF8"/>
    <w:rsid w:val="00A053BE"/>
    <w:rsid w:val="00A05A2A"/>
    <w:rsid w:val="00A066B1"/>
    <w:rsid w:val="00A07A37"/>
    <w:rsid w:val="00A131E5"/>
    <w:rsid w:val="00A15A21"/>
    <w:rsid w:val="00A16DDC"/>
    <w:rsid w:val="00A20C8B"/>
    <w:rsid w:val="00A247A4"/>
    <w:rsid w:val="00A24DA7"/>
    <w:rsid w:val="00A27A09"/>
    <w:rsid w:val="00A27C4B"/>
    <w:rsid w:val="00A301D5"/>
    <w:rsid w:val="00A30340"/>
    <w:rsid w:val="00A31DFE"/>
    <w:rsid w:val="00A33E0D"/>
    <w:rsid w:val="00A35059"/>
    <w:rsid w:val="00A35D52"/>
    <w:rsid w:val="00A361C8"/>
    <w:rsid w:val="00A423D5"/>
    <w:rsid w:val="00A579ED"/>
    <w:rsid w:val="00A62334"/>
    <w:rsid w:val="00A62FF9"/>
    <w:rsid w:val="00A657B4"/>
    <w:rsid w:val="00A65F31"/>
    <w:rsid w:val="00A66E05"/>
    <w:rsid w:val="00A75C2C"/>
    <w:rsid w:val="00A82510"/>
    <w:rsid w:val="00A82B76"/>
    <w:rsid w:val="00A90914"/>
    <w:rsid w:val="00A92D90"/>
    <w:rsid w:val="00A93FA1"/>
    <w:rsid w:val="00A958D6"/>
    <w:rsid w:val="00AA003C"/>
    <w:rsid w:val="00AA0112"/>
    <w:rsid w:val="00AA44EF"/>
    <w:rsid w:val="00AB222A"/>
    <w:rsid w:val="00AB5AE7"/>
    <w:rsid w:val="00AC09B2"/>
    <w:rsid w:val="00AC2B16"/>
    <w:rsid w:val="00AC3108"/>
    <w:rsid w:val="00AC33F8"/>
    <w:rsid w:val="00AC5E25"/>
    <w:rsid w:val="00AC7B1C"/>
    <w:rsid w:val="00AD259D"/>
    <w:rsid w:val="00AD4CF4"/>
    <w:rsid w:val="00AE44E9"/>
    <w:rsid w:val="00AE54D6"/>
    <w:rsid w:val="00AE58F1"/>
    <w:rsid w:val="00AE6411"/>
    <w:rsid w:val="00AE6AFE"/>
    <w:rsid w:val="00AF48AF"/>
    <w:rsid w:val="00AF554F"/>
    <w:rsid w:val="00AF7472"/>
    <w:rsid w:val="00B009E7"/>
    <w:rsid w:val="00B037DE"/>
    <w:rsid w:val="00B13B79"/>
    <w:rsid w:val="00B172A1"/>
    <w:rsid w:val="00B20D19"/>
    <w:rsid w:val="00B21D94"/>
    <w:rsid w:val="00B22375"/>
    <w:rsid w:val="00B27740"/>
    <w:rsid w:val="00B35884"/>
    <w:rsid w:val="00B36F60"/>
    <w:rsid w:val="00B37272"/>
    <w:rsid w:val="00B4088D"/>
    <w:rsid w:val="00B43345"/>
    <w:rsid w:val="00B434F5"/>
    <w:rsid w:val="00B475F6"/>
    <w:rsid w:val="00B50ACC"/>
    <w:rsid w:val="00B51059"/>
    <w:rsid w:val="00B517A5"/>
    <w:rsid w:val="00B5724C"/>
    <w:rsid w:val="00B622E3"/>
    <w:rsid w:val="00B70898"/>
    <w:rsid w:val="00B72324"/>
    <w:rsid w:val="00B72F28"/>
    <w:rsid w:val="00B7317C"/>
    <w:rsid w:val="00B75D1B"/>
    <w:rsid w:val="00B83BEF"/>
    <w:rsid w:val="00B84EDE"/>
    <w:rsid w:val="00B86AEB"/>
    <w:rsid w:val="00B86E47"/>
    <w:rsid w:val="00B87484"/>
    <w:rsid w:val="00B9472C"/>
    <w:rsid w:val="00BA0080"/>
    <w:rsid w:val="00BA534E"/>
    <w:rsid w:val="00BA6ECD"/>
    <w:rsid w:val="00BA728F"/>
    <w:rsid w:val="00BB4D18"/>
    <w:rsid w:val="00BB6C74"/>
    <w:rsid w:val="00BC0A1A"/>
    <w:rsid w:val="00BC285F"/>
    <w:rsid w:val="00BC3A9A"/>
    <w:rsid w:val="00BC4B75"/>
    <w:rsid w:val="00BD1F51"/>
    <w:rsid w:val="00BD2719"/>
    <w:rsid w:val="00BD3EDC"/>
    <w:rsid w:val="00BE353C"/>
    <w:rsid w:val="00BE4546"/>
    <w:rsid w:val="00BE6358"/>
    <w:rsid w:val="00BE6B7E"/>
    <w:rsid w:val="00BF0001"/>
    <w:rsid w:val="00BF4675"/>
    <w:rsid w:val="00BF6965"/>
    <w:rsid w:val="00BF7F3B"/>
    <w:rsid w:val="00C055E3"/>
    <w:rsid w:val="00C128BB"/>
    <w:rsid w:val="00C1606A"/>
    <w:rsid w:val="00C16934"/>
    <w:rsid w:val="00C16ED1"/>
    <w:rsid w:val="00C2539C"/>
    <w:rsid w:val="00C2642E"/>
    <w:rsid w:val="00C42224"/>
    <w:rsid w:val="00C4633E"/>
    <w:rsid w:val="00C60739"/>
    <w:rsid w:val="00C613EE"/>
    <w:rsid w:val="00C66A36"/>
    <w:rsid w:val="00C71A03"/>
    <w:rsid w:val="00C71B9D"/>
    <w:rsid w:val="00C732BB"/>
    <w:rsid w:val="00C76C2D"/>
    <w:rsid w:val="00C772C4"/>
    <w:rsid w:val="00C77880"/>
    <w:rsid w:val="00C80BF5"/>
    <w:rsid w:val="00C83F98"/>
    <w:rsid w:val="00C854E0"/>
    <w:rsid w:val="00C877FE"/>
    <w:rsid w:val="00C90AE3"/>
    <w:rsid w:val="00C9151A"/>
    <w:rsid w:val="00C92546"/>
    <w:rsid w:val="00CA18AE"/>
    <w:rsid w:val="00CA1B74"/>
    <w:rsid w:val="00CB0E67"/>
    <w:rsid w:val="00CB2509"/>
    <w:rsid w:val="00CB29E4"/>
    <w:rsid w:val="00CB676E"/>
    <w:rsid w:val="00CB6BA4"/>
    <w:rsid w:val="00CC088D"/>
    <w:rsid w:val="00CC1B86"/>
    <w:rsid w:val="00CC4D1E"/>
    <w:rsid w:val="00CC5C88"/>
    <w:rsid w:val="00CD19F5"/>
    <w:rsid w:val="00CD28E8"/>
    <w:rsid w:val="00CD5F02"/>
    <w:rsid w:val="00CD6766"/>
    <w:rsid w:val="00CE1B2D"/>
    <w:rsid w:val="00CE51DC"/>
    <w:rsid w:val="00CF2ABA"/>
    <w:rsid w:val="00CF3871"/>
    <w:rsid w:val="00CF40C9"/>
    <w:rsid w:val="00CF41FD"/>
    <w:rsid w:val="00D1220C"/>
    <w:rsid w:val="00D153F4"/>
    <w:rsid w:val="00D176D1"/>
    <w:rsid w:val="00D21D4D"/>
    <w:rsid w:val="00D22B9E"/>
    <w:rsid w:val="00D257AE"/>
    <w:rsid w:val="00D25BD0"/>
    <w:rsid w:val="00D30471"/>
    <w:rsid w:val="00D327E7"/>
    <w:rsid w:val="00D32BAC"/>
    <w:rsid w:val="00D33165"/>
    <w:rsid w:val="00D3384D"/>
    <w:rsid w:val="00D3585A"/>
    <w:rsid w:val="00D4501C"/>
    <w:rsid w:val="00D535A9"/>
    <w:rsid w:val="00D55F36"/>
    <w:rsid w:val="00D610F7"/>
    <w:rsid w:val="00D61336"/>
    <w:rsid w:val="00D627C6"/>
    <w:rsid w:val="00D629E1"/>
    <w:rsid w:val="00D67268"/>
    <w:rsid w:val="00D6740B"/>
    <w:rsid w:val="00D7382D"/>
    <w:rsid w:val="00D75B75"/>
    <w:rsid w:val="00D81153"/>
    <w:rsid w:val="00D823C1"/>
    <w:rsid w:val="00D83324"/>
    <w:rsid w:val="00D86B84"/>
    <w:rsid w:val="00D94623"/>
    <w:rsid w:val="00D947E2"/>
    <w:rsid w:val="00DA2113"/>
    <w:rsid w:val="00DA3537"/>
    <w:rsid w:val="00DA5464"/>
    <w:rsid w:val="00DA798F"/>
    <w:rsid w:val="00DB2478"/>
    <w:rsid w:val="00DB2686"/>
    <w:rsid w:val="00DB35D5"/>
    <w:rsid w:val="00DB677F"/>
    <w:rsid w:val="00DC6A3B"/>
    <w:rsid w:val="00DC7B1D"/>
    <w:rsid w:val="00DD0031"/>
    <w:rsid w:val="00DD0EEB"/>
    <w:rsid w:val="00DD2045"/>
    <w:rsid w:val="00DE3AB6"/>
    <w:rsid w:val="00DE5228"/>
    <w:rsid w:val="00DE5BFC"/>
    <w:rsid w:val="00DF021F"/>
    <w:rsid w:val="00DF26FE"/>
    <w:rsid w:val="00E00531"/>
    <w:rsid w:val="00E030FA"/>
    <w:rsid w:val="00E05484"/>
    <w:rsid w:val="00E11E5B"/>
    <w:rsid w:val="00E14691"/>
    <w:rsid w:val="00E21B7B"/>
    <w:rsid w:val="00E26CFE"/>
    <w:rsid w:val="00E27BD9"/>
    <w:rsid w:val="00E3279D"/>
    <w:rsid w:val="00E35193"/>
    <w:rsid w:val="00E3773C"/>
    <w:rsid w:val="00E404DC"/>
    <w:rsid w:val="00E41756"/>
    <w:rsid w:val="00E466D7"/>
    <w:rsid w:val="00E54D8F"/>
    <w:rsid w:val="00E55539"/>
    <w:rsid w:val="00E6036F"/>
    <w:rsid w:val="00E60E0A"/>
    <w:rsid w:val="00E6309D"/>
    <w:rsid w:val="00E63DBE"/>
    <w:rsid w:val="00E64241"/>
    <w:rsid w:val="00E75F9B"/>
    <w:rsid w:val="00E802F1"/>
    <w:rsid w:val="00E81824"/>
    <w:rsid w:val="00E85FF0"/>
    <w:rsid w:val="00E939A6"/>
    <w:rsid w:val="00E95B16"/>
    <w:rsid w:val="00E96BEC"/>
    <w:rsid w:val="00EA0CD7"/>
    <w:rsid w:val="00EA444F"/>
    <w:rsid w:val="00EA4DBD"/>
    <w:rsid w:val="00EB0EB4"/>
    <w:rsid w:val="00EB4557"/>
    <w:rsid w:val="00EB47F6"/>
    <w:rsid w:val="00EB4A8F"/>
    <w:rsid w:val="00ED447B"/>
    <w:rsid w:val="00ED4778"/>
    <w:rsid w:val="00ED5301"/>
    <w:rsid w:val="00EE3547"/>
    <w:rsid w:val="00EE3D5C"/>
    <w:rsid w:val="00EE4A16"/>
    <w:rsid w:val="00EE596E"/>
    <w:rsid w:val="00EE5FB8"/>
    <w:rsid w:val="00EF12E9"/>
    <w:rsid w:val="00EF1755"/>
    <w:rsid w:val="00EF19CA"/>
    <w:rsid w:val="00EF4773"/>
    <w:rsid w:val="00F005A5"/>
    <w:rsid w:val="00F01FEB"/>
    <w:rsid w:val="00F02273"/>
    <w:rsid w:val="00F11AA1"/>
    <w:rsid w:val="00F16564"/>
    <w:rsid w:val="00F16B8A"/>
    <w:rsid w:val="00F315DC"/>
    <w:rsid w:val="00F32FFD"/>
    <w:rsid w:val="00F3499F"/>
    <w:rsid w:val="00F374CA"/>
    <w:rsid w:val="00F45667"/>
    <w:rsid w:val="00F5387C"/>
    <w:rsid w:val="00F54A1D"/>
    <w:rsid w:val="00F5502F"/>
    <w:rsid w:val="00F577BE"/>
    <w:rsid w:val="00F62143"/>
    <w:rsid w:val="00F62464"/>
    <w:rsid w:val="00F640A5"/>
    <w:rsid w:val="00F663D6"/>
    <w:rsid w:val="00F713A8"/>
    <w:rsid w:val="00F7158E"/>
    <w:rsid w:val="00F77FBC"/>
    <w:rsid w:val="00F80AA5"/>
    <w:rsid w:val="00F83011"/>
    <w:rsid w:val="00F862F8"/>
    <w:rsid w:val="00F96E85"/>
    <w:rsid w:val="00F96EE1"/>
    <w:rsid w:val="00FA0605"/>
    <w:rsid w:val="00FA0DFE"/>
    <w:rsid w:val="00FA43DA"/>
    <w:rsid w:val="00FA62F8"/>
    <w:rsid w:val="00FA7925"/>
    <w:rsid w:val="00FB47B1"/>
    <w:rsid w:val="00FB66DE"/>
    <w:rsid w:val="00FC14BF"/>
    <w:rsid w:val="00FD24D1"/>
    <w:rsid w:val="00FD3024"/>
    <w:rsid w:val="00FD32E3"/>
    <w:rsid w:val="00FD3CCD"/>
    <w:rsid w:val="00FD3E46"/>
    <w:rsid w:val="00FD3EAB"/>
    <w:rsid w:val="00FD4A4A"/>
    <w:rsid w:val="00FE0155"/>
    <w:rsid w:val="00FE0F80"/>
    <w:rsid w:val="00FE1968"/>
    <w:rsid w:val="00FE1CA9"/>
    <w:rsid w:val="00FE3804"/>
    <w:rsid w:val="00FE3878"/>
    <w:rsid w:val="00FE45F4"/>
    <w:rsid w:val="00FF0411"/>
    <w:rsid w:val="06790071"/>
    <w:rsid w:val="0A6213A7"/>
    <w:rsid w:val="0AC64766"/>
    <w:rsid w:val="0BB5032F"/>
    <w:rsid w:val="0C307AB1"/>
    <w:rsid w:val="0C911EE9"/>
    <w:rsid w:val="0CA43BE9"/>
    <w:rsid w:val="0EE90466"/>
    <w:rsid w:val="0F267D15"/>
    <w:rsid w:val="11BE2E73"/>
    <w:rsid w:val="151525C1"/>
    <w:rsid w:val="1693501F"/>
    <w:rsid w:val="19CE1952"/>
    <w:rsid w:val="1A114EBC"/>
    <w:rsid w:val="1B03695C"/>
    <w:rsid w:val="1C191379"/>
    <w:rsid w:val="1DC83DA1"/>
    <w:rsid w:val="207F2647"/>
    <w:rsid w:val="22A372D8"/>
    <w:rsid w:val="232864DF"/>
    <w:rsid w:val="233C0242"/>
    <w:rsid w:val="251F2089"/>
    <w:rsid w:val="2B29557D"/>
    <w:rsid w:val="32E43726"/>
    <w:rsid w:val="32F4486C"/>
    <w:rsid w:val="35761D13"/>
    <w:rsid w:val="38302D03"/>
    <w:rsid w:val="40EE1430"/>
    <w:rsid w:val="44DB7E39"/>
    <w:rsid w:val="499B0281"/>
    <w:rsid w:val="4C2C1241"/>
    <w:rsid w:val="50515CB0"/>
    <w:rsid w:val="50A35357"/>
    <w:rsid w:val="51EC45DF"/>
    <w:rsid w:val="527C1076"/>
    <w:rsid w:val="56B342A0"/>
    <w:rsid w:val="573F0B22"/>
    <w:rsid w:val="59436F16"/>
    <w:rsid w:val="5A15063D"/>
    <w:rsid w:val="5B0F29C0"/>
    <w:rsid w:val="5F4B6004"/>
    <w:rsid w:val="62853FF1"/>
    <w:rsid w:val="62F903D4"/>
    <w:rsid w:val="64982BC8"/>
    <w:rsid w:val="64CA6290"/>
    <w:rsid w:val="657C2920"/>
    <w:rsid w:val="65DF7B6C"/>
    <w:rsid w:val="67F81A1C"/>
    <w:rsid w:val="6C326E57"/>
    <w:rsid w:val="6D8371D8"/>
    <w:rsid w:val="6E7A1960"/>
    <w:rsid w:val="71824FD5"/>
    <w:rsid w:val="722D01C3"/>
    <w:rsid w:val="72577417"/>
    <w:rsid w:val="742A5432"/>
    <w:rsid w:val="76AA74E6"/>
    <w:rsid w:val="77AA0FDC"/>
    <w:rsid w:val="7A932B48"/>
  </w:rsids>
  <w:docVars>
    <w:docVar w:name="commondata" w:val="eyJoZGlkIjoiZGVhNDY1YzUzYjFjMGNkYWM3NWE3MjMxZTkyZWEzMzQ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Date" w:semiHidden="0" w:qFormat="1"/>
    <w:lsdException w:name="Hyperlink" w:semiHidden="0"/>
    <w:lsdException w:name="Strong" w:semiHidden="0" w:uiPriority="22" w:unhideWhenUsed="0" w:qFormat="1"/>
    <w:lsdException w:name="Emphasis" w:semiHidden="0" w:uiPriority="20" w:unhideWhenUsed="0" w:qFormat="1"/>
    <w:lsdException w:name="Normal Table" w:semiHidden="0" w:qFormat="1"/>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
    <w:qFormat/>
    <w:pPr>
      <w:keepNext/>
      <w:keepLines/>
      <w:spacing w:before="260" w:after="260" w:line="416" w:lineRule="auto"/>
      <w:outlineLvl w:val="1"/>
    </w:pPr>
    <w:rPr>
      <w:rFonts w:ascii="Cambria" w:eastAsia="宋体" w:hAnsi="Cambria" w:cs="Times New Roman"/>
      <w:b/>
      <w:bCs/>
      <w:sz w:val="32"/>
      <w:szCs w:val="32"/>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character" w:customStyle="1" w:styleId="1">
    <w:name w:val="标题 1 字符"/>
    <w:link w:val="Heading1"/>
    <w:uiPriority w:val="9"/>
    <w:rPr>
      <w:b/>
      <w:bCs/>
      <w:kern w:val="44"/>
      <w:sz w:val="44"/>
      <w:szCs w:val="44"/>
    </w:rPr>
  </w:style>
  <w:style w:type="character" w:customStyle="1" w:styleId="2">
    <w:name w:val="标题 2 字符"/>
    <w:link w:val="Heading2"/>
    <w:rPr>
      <w:rFonts w:ascii="Cambria" w:eastAsia="宋体" w:hAnsi="Cambria" w:cs="Times New Roman"/>
      <w:b/>
      <w:bCs/>
      <w:sz w:val="32"/>
      <w:szCs w:val="32"/>
    </w:rPr>
  </w:style>
  <w:style w:type="paragraph" w:styleId="TOC3">
    <w:name w:val="toc 3"/>
    <w:basedOn w:val="Normal"/>
    <w:next w:val="Normal"/>
    <w:uiPriority w:val="39"/>
    <w:unhideWhenUsed/>
    <w:qFormat/>
    <w:pPr>
      <w:widowControl/>
      <w:spacing w:after="100" w:line="276" w:lineRule="auto"/>
      <w:ind w:left="440"/>
      <w:jc w:val="left"/>
    </w:pPr>
    <w:rPr>
      <w:kern w:val="0"/>
      <w:sz w:val="22"/>
    </w:rPr>
  </w:style>
  <w:style w:type="paragraph" w:styleId="Date">
    <w:name w:val="Date"/>
    <w:basedOn w:val="Normal"/>
    <w:next w:val="Normal"/>
    <w:link w:val="a"/>
    <w:uiPriority w:val="99"/>
    <w:unhideWhenUsed/>
    <w:qFormat/>
    <w:pPr>
      <w:ind w:left="100" w:leftChars="2500"/>
    </w:pPr>
  </w:style>
  <w:style w:type="character" w:customStyle="1" w:styleId="a">
    <w:name w:val="日期 字符"/>
    <w:basedOn w:val="DefaultParagraphFont"/>
    <w:link w:val="Date"/>
    <w:uiPriority w:val="99"/>
    <w:semiHidden/>
  </w:style>
  <w:style w:type="paragraph" w:styleId="BalloonText">
    <w:name w:val="Balloon Text"/>
    <w:basedOn w:val="Normal"/>
    <w:link w:val="a0"/>
    <w:uiPriority w:val="99"/>
    <w:unhideWhenUsed/>
    <w:rPr>
      <w:sz w:val="18"/>
      <w:szCs w:val="18"/>
    </w:rPr>
  </w:style>
  <w:style w:type="character" w:customStyle="1" w:styleId="a0">
    <w:name w:val="批注框文本 字符"/>
    <w:link w:val="BalloonText"/>
    <w:uiPriority w:val="99"/>
    <w:semiHidden/>
    <w:rPr>
      <w:sz w:val="18"/>
      <w:szCs w:val="18"/>
    </w:rPr>
  </w:style>
  <w:style w:type="paragraph" w:styleId="Footer">
    <w:name w:val="footer"/>
    <w:basedOn w:val="Normal"/>
    <w:link w:val="a1"/>
    <w:uiPriority w:val="99"/>
    <w:unhideWhenUsed/>
    <w:pPr>
      <w:tabs>
        <w:tab w:val="center" w:pos="4153"/>
        <w:tab w:val="right" w:pos="8306"/>
      </w:tabs>
      <w:snapToGrid w:val="0"/>
      <w:jc w:val="left"/>
    </w:pPr>
    <w:rPr>
      <w:sz w:val="18"/>
      <w:szCs w:val="18"/>
    </w:rPr>
  </w:style>
  <w:style w:type="character" w:customStyle="1" w:styleId="a1">
    <w:name w:val="页脚 字符"/>
    <w:link w:val="Footer"/>
    <w:uiPriority w:val="99"/>
    <w:rPr>
      <w:sz w:val="18"/>
      <w:szCs w:val="18"/>
    </w:rPr>
  </w:style>
  <w:style w:type="paragraph" w:styleId="Header">
    <w:name w:val="header"/>
    <w:basedOn w:val="Normal"/>
    <w:link w:val="a2"/>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2">
    <w:name w:val="页眉 字符"/>
    <w:link w:val="Header"/>
    <w:uiPriority w:val="99"/>
    <w:rPr>
      <w:sz w:val="18"/>
      <w:szCs w:val="18"/>
    </w:rPr>
  </w:style>
  <w:style w:type="paragraph" w:styleId="TOC1">
    <w:name w:val="toc 1"/>
    <w:basedOn w:val="Normal"/>
    <w:next w:val="Normal"/>
    <w:uiPriority w:val="39"/>
    <w:unhideWhenUsed/>
    <w:qFormat/>
    <w:pPr>
      <w:widowControl/>
      <w:spacing w:line="440" w:lineRule="exact"/>
      <w:jc w:val="left"/>
    </w:pPr>
    <w:rPr>
      <w:rFonts w:ascii="仿宋" w:eastAsia="仿宋" w:hAnsi="仿宋"/>
      <w:b/>
      <w:kern w:val="0"/>
      <w:sz w:val="30"/>
      <w:szCs w:val="30"/>
    </w:rPr>
  </w:style>
  <w:style w:type="paragraph" w:styleId="TOC2">
    <w:name w:val="toc 2"/>
    <w:basedOn w:val="Normal"/>
    <w:next w:val="Normal"/>
    <w:uiPriority w:val="39"/>
    <w:unhideWhenUsed/>
    <w:qFormat/>
    <w:pPr>
      <w:widowControl/>
      <w:spacing w:line="440" w:lineRule="exact"/>
      <w:ind w:firstLine="420" w:firstLineChars="150"/>
      <w:jc w:val="left"/>
    </w:pPr>
    <w:rPr>
      <w:rFonts w:ascii="仿宋" w:eastAsia="仿宋" w:hAnsi="仿宋"/>
      <w:kern w:val="0"/>
      <w:sz w:val="28"/>
      <w:szCs w:val="28"/>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Pr>
      <w:color w:val="CC0000"/>
    </w:rPr>
  </w:style>
  <w:style w:type="character" w:styleId="Hyperlink">
    <w:name w:val="Hyperlink"/>
    <w:uiPriority w:val="99"/>
    <w:unhideWhenUsed/>
    <w:rPr>
      <w:color w:val="136EC2"/>
      <w:u w:val="single"/>
    </w:rPr>
  </w:style>
  <w:style w:type="character" w:customStyle="1" w:styleId="apple-style-span">
    <w:name w:val="apple-style-span"/>
    <w:basedOn w:val="DefaultParagraphFont"/>
  </w:style>
  <w:style w:type="paragraph" w:customStyle="1" w:styleId="10">
    <w:name w:val="列出段落1"/>
    <w:basedOn w:val="Normal"/>
    <w:uiPriority w:val="34"/>
    <w:qFormat/>
    <w:pPr>
      <w:ind w:firstLine="420" w:firstLineChars="200"/>
    </w:pPr>
  </w:style>
  <w:style w:type="paragraph" w:styleId="TOCHeading">
    <w:name w:val="TOC Heading"/>
    <w:basedOn w:val="Heading1"/>
    <w:next w:val="Normal"/>
    <w:uiPriority w:val="39"/>
    <w:qFormat/>
    <w:pPr>
      <w:outlineLvl w:val="9"/>
    </w:pPr>
  </w:style>
  <w:style w:type="paragraph" w:customStyle="1" w:styleId="TOC10">
    <w:name w:val="TOC 标题1"/>
    <w:basedOn w:val="Heading1"/>
    <w:next w:val="Normal"/>
    <w:uiPriority w:val="39"/>
    <w:unhideWhenUsed/>
    <w:qFormat/>
    <w:pPr>
      <w:widowControl/>
      <w:spacing w:before="480" w:after="0" w:line="276" w:lineRule="auto"/>
      <w:jc w:val="left"/>
      <w:outlineLvl w:val="9"/>
    </w:pPr>
    <w:rPr>
      <w:rFonts w:ascii="Cambria" w:eastAsia="宋体" w:hAnsi="Cambria" w:cs="Times New Roman"/>
      <w:color w:val="365F91"/>
      <w:kern w:val="0"/>
      <w:sz w:val="28"/>
      <w:szCs w:val="28"/>
    </w:rPr>
  </w:style>
  <w:style w:type="paragraph" w:styleId="ListParagraph">
    <w:name w:val="List Paragraph"/>
    <w:basedOn w:val="Normal"/>
    <w:uiPriority w:val="34"/>
    <w:qFormat/>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baike.baidu.com/item/%E8%81%9A%E4%B8%99%E7%83%AF%E7%BA%A4%E7%BB%B4/10919368" TargetMode="External" /><Relationship Id="rId11" Type="http://schemas.openxmlformats.org/officeDocument/2006/relationships/hyperlink" Target="https://baike.baidu.com/item/%E9%98%B2%E6%B0%B4%E5%89%82/8076304" TargetMode="External" /><Relationship Id="rId12" Type="http://schemas.openxmlformats.org/officeDocument/2006/relationships/hyperlink" Target="https://baike.baidu.com/item/%E5%A2%9E%E5%BC%BA%E5%89%82/2565826" TargetMode="Externa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image" Target="media/image1.png" /><Relationship Id="rId16" Type="http://schemas.openxmlformats.org/officeDocument/2006/relationships/header" Target="header5.xml" /><Relationship Id="rId17" Type="http://schemas.openxmlformats.org/officeDocument/2006/relationships/footer" Target="footer5.xml" /><Relationship Id="rId18" Type="http://schemas.openxmlformats.org/officeDocument/2006/relationships/header" Target="header6.xml" /><Relationship Id="rId19" Type="http://schemas.openxmlformats.org/officeDocument/2006/relationships/footer" Target="footer6.xml" /><Relationship Id="rId2" Type="http://schemas.openxmlformats.org/officeDocument/2006/relationships/webSettings" Target="webSettings.xml" /><Relationship Id="rId20" Type="http://schemas.openxmlformats.org/officeDocument/2006/relationships/header" Target="header7.xml" /><Relationship Id="rId21" Type="http://schemas.openxmlformats.org/officeDocument/2006/relationships/footer" Target="footer7.xml" /><Relationship Id="rId22" Type="http://schemas.openxmlformats.org/officeDocument/2006/relationships/header" Target="header8.xml" /><Relationship Id="rId23" Type="http://schemas.openxmlformats.org/officeDocument/2006/relationships/footer" Target="footer8.xml" /><Relationship Id="rId24" Type="http://schemas.openxmlformats.org/officeDocument/2006/relationships/hyperlink" Target="https://d.book118.com/316012043042010051" TargetMode="External" /><Relationship Id="rId25" Type="http://schemas.openxmlformats.org/officeDocument/2006/relationships/header" Target="header9.xml" /><Relationship Id="rId26" Type="http://schemas.openxmlformats.org/officeDocument/2006/relationships/footer" Target="footer9.xml" /><Relationship Id="rId27" Type="http://schemas.openxmlformats.org/officeDocument/2006/relationships/theme" Target="theme/theme1.xml" /><Relationship Id="rId28" Type="http://schemas.openxmlformats.org/officeDocument/2006/relationships/numbering" Target="numbering.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10584</Words>
  <Characters>12104</Characters>
  <Application>Microsoft Office Word</Application>
  <DocSecurity>0</DocSecurity>
  <Lines>96</Lines>
  <Paragraphs>27</Paragraphs>
  <ScaleCrop>false</ScaleCrop>
  <Company>微软中国</Company>
  <LinksUpToDate>false</LinksUpToDate>
  <CharactersWithSpaces>12575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湖南武源建材</dc:creator>
  <cp:lastModifiedBy>L.W.J</cp:lastModifiedBy>
  <cp:revision>4</cp:revision>
  <cp:lastPrinted>2019-12-16T09:10:00Z</cp:lastPrinted>
  <dcterms:created xsi:type="dcterms:W3CDTF">2016-08-09T10:24:00Z</dcterms:created>
  <dcterms:modified xsi:type="dcterms:W3CDTF">2023-03-30T04:09:23Z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192A46DB1C7A4553BC3F66CD2FD7F377</vt:lpwstr>
  </property>
  <property fmtid="{D5CDD505-2E9C-101B-9397-08002B2CF9AE}" pid="3" name="KSOProductBuildVer">
    <vt:lpwstr>2052-11.1.0.14036</vt:lpwstr>
  </property>
</Properties>
</file>