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PVC稳定剂行业相关公司筹备报告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7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8" w:history="1">
        <w:r>
          <w:rPr>
            <w:rFonts w:ascii="仿宋" w:eastAsia="仿宋" w:hAnsi="仿宋" w:cs="仿宋" w:hint="eastAsia"/>
            <w:lang w:eastAsia="zh-CN"/>
          </w:rPr>
          <w:t>二、PVC稳定剂筹建公司基本信息</w:t>
        </w:r>
        <w:r>
          <w:tab/>
        </w:r>
        <w:r>
          <w:fldChar w:fldCharType="begin"/>
        </w:r>
        <w:r>
          <w:instrText xml:space="preserve"> PAGEREF _Toc27628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_Toc24246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(七)、PVC稳定剂项目建设必要性分析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(一)、PVC稳定剂项目背景分析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9" w:history="1">
        <w:r>
          <w:rPr>
            <w:rFonts w:ascii="仿宋" w:eastAsia="仿宋" w:hAnsi="仿宋" w:cs="仿宋" w:hint="eastAsia"/>
            <w:lang w:eastAsia="zh-CN"/>
          </w:rPr>
          <w:t>(二)、PVC稳定剂项目建设必要性分析</w:t>
        </w:r>
        <w:r>
          <w:tab/>
        </w:r>
        <w:r>
          <w:fldChar w:fldCharType="begin"/>
        </w:r>
        <w:r>
          <w:instrText xml:space="preserve"> PAGEREF _Toc32529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7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_Toc7661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_Toc12790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九、PVC稳定剂项目经济效益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(三)、PVC稳定剂项目盈利能力分析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_Toc13556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_Toc7361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(五)、PVC稳定剂项目总投资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十四、PVC稳定剂项目总结分析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7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5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6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5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https://d.book118.com/316012053231010035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PVC稳定剂行业相关公司筹备报告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PVC稳定剂行业相关公司筹备报告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PVC稳定剂行业相关公司筹备报告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PVC稳定剂行业相关公司筹备报告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PVC稳定剂行业相关公司筹备报告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012053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2024-01-09T16:59:00Z</dcterms:created>
  <dcterms:modified xsi:type="dcterms:W3CDTF">2024-01-09T17:00:03Z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F7F98B31454147CD820DD06EA1FDD45B_11</vt:lpwstr>
  </property>
  <property fmtid="{D5CDD505-2E9C-101B-9397-08002B2CF9AE}" pid="3" name="KSOProductBuildVer">
    <vt:lpwstr>2052-12.1.0.16120</vt:lpwstr>
  </property>
</Properties>
</file>