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空气净化装置：尾气处理装置相关行业公司成立报告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2" w:history="1">
        <w:r>
          <w:rPr>
            <w:rFonts w:ascii="仿宋" w:eastAsia="仿宋" w:hAnsi="仿宋" w:cs="仿宋" w:hint="eastAsia"/>
            <w:lang w:eastAsia="zh-CN"/>
          </w:rPr>
          <w:t>(一)、空气净化装置：尾气处理装置项目选址原则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(五)、空气净化装置：尾气处理装置项目选址综合评价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四、空气净化装置：尾气处理装置项目概况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(二)、空气净化装置：尾气处理装置项目提出的理由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(三)、空气净化装置：尾气处理装置项目选址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(六)、空气净化装置：尾气处理装置项目投资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3" w:history="1">
        <w:r>
          <w:rPr>
            <w:rFonts w:ascii="仿宋" w:eastAsia="仿宋" w:hAnsi="仿宋" w:cs="仿宋" w:hint="eastAsia"/>
            <w:lang w:eastAsia="zh-CN"/>
          </w:rPr>
          <w:t>(七)、空气净化装置：尾气处理装置项目进度规划</w:t>
        </w:r>
        <w:r>
          <w:tab/>
        </w:r>
        <w:r>
          <w:fldChar w:fldCharType="begin"/>
        </w:r>
        <w:r>
          <w:instrText xml:space="preserve"> PAGEREF _Toc17583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(九)、空气净化装置：尾气处理装置项目综合评价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五、空气净化装置：尾气处理装置筹建公司基本信息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(五)、空气净化装置：尾气处理装置项目总投资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九、空气净化装置：尾气处理装置项目经济效益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(三)、空气净化装置：尾气处理装置项目盈利能力分析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_Toc24516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_Toc18843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_Toc25213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(二)、合作空气净化装置：尾气处理装置项目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十五、空气净化装置：尾气处理装置项目总结分析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2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4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https://d.book118.com/316024054113010042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24054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2024-01-18T07:23:00Z</dcterms:created>
  <dcterms:modified xsi:type="dcterms:W3CDTF">2024-01-18T07:23:42Z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580B09A14ABF4B129D616EB7101B0EA0_11</vt:lpwstr>
  </property>
  <property fmtid="{D5CDD505-2E9C-101B-9397-08002B2CF9AE}" pid="3" name="KSOProductBuildVer">
    <vt:lpwstr>2052-12.1.0.16120</vt:lpwstr>
  </property>
</Properties>
</file>