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硫代硫酸盐项目建议书</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6320" w:history="1">
        <w:r>
          <w:rPr>
            <w:rFonts w:ascii="仿宋" w:eastAsia="仿宋" w:hAnsi="仿宋" w:cs="仿宋" w:hint="eastAsia"/>
            <w:lang w:eastAsia="zh-CN"/>
          </w:rPr>
          <w:t>概论</w:t>
        </w:r>
        <w:r>
          <w:tab/>
        </w:r>
        <w:r>
          <w:fldChar w:fldCharType="begin"/>
        </w:r>
        <w:r>
          <w:instrText xml:space="preserve"> PAGEREF _Toc16320 \h </w:instrText>
        </w:r>
        <w:r>
          <w:fldChar w:fldCharType="separate"/>
        </w:r>
        <w:r>
          <w:t>3</w:t>
        </w:r>
        <w:r>
          <w:fldChar w:fldCharType="end"/>
        </w:r>
      </w:hyperlink>
    </w:p>
    <w:p>
      <w:pPr>
        <w:pStyle w:val="TOC1"/>
        <w:tabs>
          <w:tab w:val="right" w:leader="dot" w:pos="8306"/>
        </w:tabs>
      </w:pPr>
      <w:hyperlink w:anchor="_Toc32092" w:history="1">
        <w:r>
          <w:rPr>
            <w:rFonts w:ascii="仿宋" w:eastAsia="仿宋" w:hAnsi="仿宋" w:cs="仿宋" w:hint="eastAsia"/>
            <w:lang w:eastAsia="zh-CN"/>
          </w:rPr>
          <w:t>一、建设规划分析</w:t>
        </w:r>
        <w:r>
          <w:tab/>
        </w:r>
        <w:r>
          <w:fldChar w:fldCharType="begin"/>
        </w:r>
        <w:r>
          <w:instrText xml:space="preserve"> PAGEREF _Toc32092 \h </w:instrText>
        </w:r>
        <w:r>
          <w:fldChar w:fldCharType="separate"/>
        </w:r>
        <w:r>
          <w:t>3</w:t>
        </w:r>
        <w:r>
          <w:fldChar w:fldCharType="end"/>
        </w:r>
      </w:hyperlink>
    </w:p>
    <w:p>
      <w:pPr>
        <w:pStyle w:val="TOC2"/>
        <w:tabs>
          <w:tab w:val="right" w:leader="dot" w:pos="8306"/>
        </w:tabs>
      </w:pPr>
      <w:hyperlink w:anchor="_Toc2033" w:history="1">
        <w:r>
          <w:rPr>
            <w:rFonts w:ascii="仿宋" w:eastAsia="仿宋" w:hAnsi="仿宋" w:cs="仿宋" w:hint="eastAsia"/>
            <w:lang w:eastAsia="zh-CN"/>
          </w:rPr>
          <w:t>(一)、产品规划</w:t>
        </w:r>
        <w:r>
          <w:tab/>
        </w:r>
        <w:r>
          <w:fldChar w:fldCharType="begin"/>
        </w:r>
        <w:r>
          <w:instrText xml:space="preserve"> PAGEREF _Toc2033 \h </w:instrText>
        </w:r>
        <w:r>
          <w:fldChar w:fldCharType="separate"/>
        </w:r>
        <w:r>
          <w:t>3</w:t>
        </w:r>
        <w:r>
          <w:fldChar w:fldCharType="end"/>
        </w:r>
      </w:hyperlink>
    </w:p>
    <w:p>
      <w:pPr>
        <w:pStyle w:val="TOC2"/>
        <w:tabs>
          <w:tab w:val="right" w:leader="dot" w:pos="8306"/>
        </w:tabs>
      </w:pPr>
      <w:hyperlink w:anchor="_Toc27885" w:history="1">
        <w:r>
          <w:rPr>
            <w:rFonts w:ascii="仿宋" w:eastAsia="仿宋" w:hAnsi="仿宋" w:cs="仿宋" w:hint="eastAsia"/>
            <w:lang w:eastAsia="zh-CN"/>
          </w:rPr>
          <w:t>(二)、建设规模</w:t>
        </w:r>
        <w:r>
          <w:tab/>
        </w:r>
        <w:r>
          <w:fldChar w:fldCharType="begin"/>
        </w:r>
        <w:r>
          <w:instrText xml:space="preserve"> PAGEREF _Toc27885 \h </w:instrText>
        </w:r>
        <w:r>
          <w:fldChar w:fldCharType="separate"/>
        </w:r>
        <w:r>
          <w:t>4</w:t>
        </w:r>
        <w:r>
          <w:fldChar w:fldCharType="end"/>
        </w:r>
      </w:hyperlink>
    </w:p>
    <w:p>
      <w:pPr>
        <w:pStyle w:val="TOC1"/>
        <w:tabs>
          <w:tab w:val="right" w:leader="dot" w:pos="8306"/>
        </w:tabs>
      </w:pPr>
      <w:hyperlink w:anchor="_Toc759" w:history="1">
        <w:r>
          <w:rPr>
            <w:rFonts w:ascii="仿宋" w:eastAsia="仿宋" w:hAnsi="仿宋" w:cs="仿宋" w:hint="eastAsia"/>
            <w:lang w:eastAsia="zh-CN"/>
          </w:rPr>
          <w:t>二、硫代硫酸盐项目建设地分析</w:t>
        </w:r>
        <w:r>
          <w:tab/>
        </w:r>
        <w:r>
          <w:fldChar w:fldCharType="begin"/>
        </w:r>
        <w:r>
          <w:instrText xml:space="preserve"> PAGEREF _Toc759 \h </w:instrText>
        </w:r>
        <w:r>
          <w:fldChar w:fldCharType="separate"/>
        </w:r>
        <w:r>
          <w:t>5</w:t>
        </w:r>
        <w:r>
          <w:fldChar w:fldCharType="end"/>
        </w:r>
      </w:hyperlink>
    </w:p>
    <w:p>
      <w:pPr>
        <w:pStyle w:val="TOC2"/>
        <w:tabs>
          <w:tab w:val="right" w:leader="dot" w:pos="8306"/>
        </w:tabs>
      </w:pPr>
      <w:hyperlink w:anchor="_Toc14411" w:history="1">
        <w:r>
          <w:rPr>
            <w:rFonts w:ascii="仿宋" w:eastAsia="仿宋" w:hAnsi="仿宋" w:cs="仿宋" w:hint="eastAsia"/>
            <w:lang w:eastAsia="zh-CN"/>
          </w:rPr>
          <w:t>(一)、硫代硫酸盐项目选址原则</w:t>
        </w:r>
        <w:r>
          <w:tab/>
        </w:r>
        <w:r>
          <w:fldChar w:fldCharType="begin"/>
        </w:r>
        <w:r>
          <w:instrText xml:space="preserve"> PAGEREF _Toc14411 \h </w:instrText>
        </w:r>
        <w:r>
          <w:fldChar w:fldCharType="separate"/>
        </w:r>
        <w:r>
          <w:t>5</w:t>
        </w:r>
        <w:r>
          <w:fldChar w:fldCharType="end"/>
        </w:r>
      </w:hyperlink>
    </w:p>
    <w:p>
      <w:pPr>
        <w:pStyle w:val="TOC2"/>
        <w:tabs>
          <w:tab w:val="right" w:leader="dot" w:pos="8306"/>
        </w:tabs>
      </w:pPr>
      <w:hyperlink w:anchor="_Toc7845" w:history="1">
        <w:r>
          <w:rPr>
            <w:rFonts w:ascii="仿宋" w:eastAsia="仿宋" w:hAnsi="仿宋" w:cs="仿宋" w:hint="eastAsia"/>
            <w:lang w:eastAsia="zh-CN"/>
          </w:rPr>
          <w:t>(二)、硫代硫酸盐项目选址</w:t>
        </w:r>
        <w:r>
          <w:tab/>
        </w:r>
        <w:r>
          <w:fldChar w:fldCharType="begin"/>
        </w:r>
        <w:r>
          <w:instrText xml:space="preserve"> PAGEREF _Toc7845 \h </w:instrText>
        </w:r>
        <w:r>
          <w:fldChar w:fldCharType="separate"/>
        </w:r>
        <w:r>
          <w:t>5</w:t>
        </w:r>
        <w:r>
          <w:fldChar w:fldCharType="end"/>
        </w:r>
      </w:hyperlink>
    </w:p>
    <w:p>
      <w:pPr>
        <w:pStyle w:val="TOC2"/>
        <w:tabs>
          <w:tab w:val="right" w:leader="dot" w:pos="8306"/>
        </w:tabs>
      </w:pPr>
      <w:hyperlink w:anchor="_Toc21125" w:history="1">
        <w:r>
          <w:rPr>
            <w:rFonts w:ascii="仿宋" w:eastAsia="仿宋" w:hAnsi="仿宋" w:cs="仿宋" w:hint="eastAsia"/>
            <w:lang w:eastAsia="zh-CN"/>
          </w:rPr>
          <w:t>(三)、建设条件分析</w:t>
        </w:r>
        <w:r>
          <w:tab/>
        </w:r>
        <w:r>
          <w:fldChar w:fldCharType="begin"/>
        </w:r>
        <w:r>
          <w:instrText xml:space="preserve"> PAGEREF _Toc21125 \h </w:instrText>
        </w:r>
        <w:r>
          <w:fldChar w:fldCharType="separate"/>
        </w:r>
        <w:r>
          <w:t>6</w:t>
        </w:r>
        <w:r>
          <w:fldChar w:fldCharType="end"/>
        </w:r>
      </w:hyperlink>
    </w:p>
    <w:p>
      <w:pPr>
        <w:pStyle w:val="TOC2"/>
        <w:tabs>
          <w:tab w:val="right" w:leader="dot" w:pos="8306"/>
        </w:tabs>
      </w:pPr>
      <w:hyperlink w:anchor="_Toc21578" w:history="1">
        <w:r>
          <w:rPr>
            <w:rFonts w:ascii="仿宋" w:eastAsia="仿宋" w:hAnsi="仿宋" w:cs="仿宋" w:hint="eastAsia"/>
            <w:lang w:eastAsia="zh-CN"/>
          </w:rPr>
          <w:t>(四)、用地控制指标</w:t>
        </w:r>
        <w:r>
          <w:tab/>
        </w:r>
        <w:r>
          <w:fldChar w:fldCharType="begin"/>
        </w:r>
        <w:r>
          <w:instrText xml:space="preserve"> PAGEREF _Toc21578 \h </w:instrText>
        </w:r>
        <w:r>
          <w:fldChar w:fldCharType="separate"/>
        </w:r>
        <w:r>
          <w:t>7</w:t>
        </w:r>
        <w:r>
          <w:fldChar w:fldCharType="end"/>
        </w:r>
      </w:hyperlink>
    </w:p>
    <w:p>
      <w:pPr>
        <w:pStyle w:val="TOC2"/>
        <w:tabs>
          <w:tab w:val="right" w:leader="dot" w:pos="8306"/>
        </w:tabs>
      </w:pPr>
      <w:hyperlink w:anchor="_Toc16447" w:history="1">
        <w:r>
          <w:rPr>
            <w:rFonts w:ascii="仿宋" w:eastAsia="仿宋" w:hAnsi="仿宋" w:cs="仿宋" w:hint="eastAsia"/>
            <w:lang w:eastAsia="zh-CN"/>
          </w:rPr>
          <w:t>(五)、用地总体要求</w:t>
        </w:r>
        <w:r>
          <w:tab/>
        </w:r>
        <w:r>
          <w:fldChar w:fldCharType="begin"/>
        </w:r>
        <w:r>
          <w:instrText xml:space="preserve"> PAGEREF _Toc16447 \h </w:instrText>
        </w:r>
        <w:r>
          <w:fldChar w:fldCharType="separate"/>
        </w:r>
        <w:r>
          <w:t>8</w:t>
        </w:r>
        <w:r>
          <w:fldChar w:fldCharType="end"/>
        </w:r>
      </w:hyperlink>
    </w:p>
    <w:p>
      <w:pPr>
        <w:pStyle w:val="TOC2"/>
        <w:tabs>
          <w:tab w:val="right" w:leader="dot" w:pos="8306"/>
        </w:tabs>
      </w:pPr>
      <w:hyperlink w:anchor="_Toc3136" w:history="1">
        <w:r>
          <w:rPr>
            <w:rFonts w:ascii="仿宋" w:eastAsia="仿宋" w:hAnsi="仿宋" w:cs="仿宋" w:hint="eastAsia"/>
            <w:lang w:eastAsia="zh-CN"/>
          </w:rPr>
          <w:t>(六)、节约用地措施</w:t>
        </w:r>
        <w:r>
          <w:tab/>
        </w:r>
        <w:r>
          <w:fldChar w:fldCharType="begin"/>
        </w:r>
        <w:r>
          <w:instrText xml:space="preserve"> PAGEREF _Toc3136 \h </w:instrText>
        </w:r>
        <w:r>
          <w:fldChar w:fldCharType="separate"/>
        </w:r>
        <w:r>
          <w:t>9</w:t>
        </w:r>
        <w:r>
          <w:fldChar w:fldCharType="end"/>
        </w:r>
      </w:hyperlink>
    </w:p>
    <w:p>
      <w:pPr>
        <w:pStyle w:val="TOC2"/>
        <w:tabs>
          <w:tab w:val="right" w:leader="dot" w:pos="8306"/>
        </w:tabs>
      </w:pPr>
      <w:hyperlink w:anchor="_Toc3468" w:history="1">
        <w:r>
          <w:rPr>
            <w:rFonts w:ascii="仿宋" w:eastAsia="仿宋" w:hAnsi="仿宋" w:cs="仿宋" w:hint="eastAsia"/>
            <w:lang w:eastAsia="zh-CN"/>
          </w:rPr>
          <w:t>(七)、总图布置方案</w:t>
        </w:r>
        <w:r>
          <w:tab/>
        </w:r>
        <w:r>
          <w:fldChar w:fldCharType="begin"/>
        </w:r>
        <w:r>
          <w:instrText xml:space="preserve"> PAGEREF _Toc3468 \h </w:instrText>
        </w:r>
        <w:r>
          <w:fldChar w:fldCharType="separate"/>
        </w:r>
        <w:r>
          <w:t>11</w:t>
        </w:r>
        <w:r>
          <w:fldChar w:fldCharType="end"/>
        </w:r>
      </w:hyperlink>
    </w:p>
    <w:p>
      <w:pPr>
        <w:pStyle w:val="TOC2"/>
        <w:tabs>
          <w:tab w:val="right" w:leader="dot" w:pos="8306"/>
        </w:tabs>
      </w:pPr>
      <w:hyperlink w:anchor="_Toc23278" w:history="1">
        <w:r>
          <w:rPr>
            <w:rFonts w:ascii="仿宋" w:eastAsia="仿宋" w:hAnsi="仿宋" w:cs="仿宋" w:hint="eastAsia"/>
            <w:lang w:eastAsia="zh-CN"/>
          </w:rPr>
          <w:t>(八)、运输组成</w:t>
        </w:r>
        <w:r>
          <w:tab/>
        </w:r>
        <w:r>
          <w:fldChar w:fldCharType="begin"/>
        </w:r>
        <w:r>
          <w:instrText xml:space="preserve"> PAGEREF _Toc23278 \h </w:instrText>
        </w:r>
        <w:r>
          <w:fldChar w:fldCharType="separate"/>
        </w:r>
        <w:r>
          <w:t>12</w:t>
        </w:r>
        <w:r>
          <w:fldChar w:fldCharType="end"/>
        </w:r>
      </w:hyperlink>
    </w:p>
    <w:p>
      <w:pPr>
        <w:pStyle w:val="TOC2"/>
        <w:tabs>
          <w:tab w:val="right" w:leader="dot" w:pos="8306"/>
        </w:tabs>
      </w:pPr>
      <w:hyperlink w:anchor="_Toc15211" w:history="1">
        <w:r>
          <w:rPr>
            <w:rFonts w:ascii="仿宋" w:eastAsia="仿宋" w:hAnsi="仿宋" w:cs="仿宋" w:hint="eastAsia"/>
            <w:lang w:eastAsia="zh-CN"/>
          </w:rPr>
          <w:t>(九)、选址综合评价</w:t>
        </w:r>
        <w:r>
          <w:tab/>
        </w:r>
        <w:r>
          <w:fldChar w:fldCharType="begin"/>
        </w:r>
        <w:r>
          <w:instrText xml:space="preserve"> PAGEREF _Toc15211 \h </w:instrText>
        </w:r>
        <w:r>
          <w:fldChar w:fldCharType="separate"/>
        </w:r>
        <w:r>
          <w:t>15</w:t>
        </w:r>
        <w:r>
          <w:fldChar w:fldCharType="end"/>
        </w:r>
      </w:hyperlink>
    </w:p>
    <w:p>
      <w:pPr>
        <w:pStyle w:val="TOC1"/>
        <w:tabs>
          <w:tab w:val="right" w:leader="dot" w:pos="8306"/>
        </w:tabs>
      </w:pPr>
      <w:hyperlink w:anchor="_Toc19132" w:history="1">
        <w:r>
          <w:rPr>
            <w:rFonts w:ascii="仿宋" w:eastAsia="仿宋" w:hAnsi="仿宋" w:cs="仿宋" w:hint="eastAsia"/>
            <w:lang w:eastAsia="zh-CN"/>
          </w:rPr>
          <w:t>三、工艺先进性</w:t>
        </w:r>
        <w:r>
          <w:tab/>
        </w:r>
        <w:r>
          <w:fldChar w:fldCharType="begin"/>
        </w:r>
        <w:r>
          <w:instrText xml:space="preserve"> PAGEREF _Toc19132 \h </w:instrText>
        </w:r>
        <w:r>
          <w:fldChar w:fldCharType="separate"/>
        </w:r>
        <w:r>
          <w:t>15</w:t>
        </w:r>
        <w:r>
          <w:fldChar w:fldCharType="end"/>
        </w:r>
      </w:hyperlink>
    </w:p>
    <w:p>
      <w:pPr>
        <w:pStyle w:val="TOC2"/>
        <w:tabs>
          <w:tab w:val="right" w:leader="dot" w:pos="8306"/>
        </w:tabs>
      </w:pPr>
      <w:hyperlink w:anchor="_Toc10850" w:history="1">
        <w:r>
          <w:rPr>
            <w:rFonts w:ascii="仿宋" w:eastAsia="仿宋" w:hAnsi="仿宋" w:cs="仿宋" w:hint="eastAsia"/>
            <w:lang w:eastAsia="zh-CN"/>
          </w:rPr>
          <w:t>(一)、硫代硫酸盐项目建设期的原辅材料保障</w:t>
        </w:r>
        <w:r>
          <w:tab/>
        </w:r>
        <w:r>
          <w:fldChar w:fldCharType="begin"/>
        </w:r>
        <w:r>
          <w:instrText xml:space="preserve"> PAGEREF _Toc10850 \h </w:instrText>
        </w:r>
        <w:r>
          <w:fldChar w:fldCharType="separate"/>
        </w:r>
        <w:r>
          <w:t>15</w:t>
        </w:r>
        <w:r>
          <w:fldChar w:fldCharType="end"/>
        </w:r>
      </w:hyperlink>
    </w:p>
    <w:p>
      <w:pPr>
        <w:pStyle w:val="TOC2"/>
        <w:tabs>
          <w:tab w:val="right" w:leader="dot" w:pos="8306"/>
        </w:tabs>
      </w:pPr>
      <w:hyperlink w:anchor="_Toc17103" w:history="1">
        <w:r>
          <w:rPr>
            <w:rFonts w:ascii="仿宋" w:eastAsia="仿宋" w:hAnsi="仿宋" w:cs="仿宋" w:hint="eastAsia"/>
            <w:lang w:eastAsia="zh-CN"/>
          </w:rPr>
          <w:t>(二)、硫代硫酸盐项目运营期的原辅材料采购与管理</w:t>
        </w:r>
        <w:r>
          <w:tab/>
        </w:r>
        <w:r>
          <w:fldChar w:fldCharType="begin"/>
        </w:r>
        <w:r>
          <w:instrText xml:space="preserve"> PAGEREF _Toc17103 \h </w:instrText>
        </w:r>
        <w:r>
          <w:fldChar w:fldCharType="separate"/>
        </w:r>
        <w:r>
          <w:t>16</w:t>
        </w:r>
        <w:r>
          <w:fldChar w:fldCharType="end"/>
        </w:r>
      </w:hyperlink>
    </w:p>
    <w:p>
      <w:pPr>
        <w:pStyle w:val="TOC2"/>
        <w:tabs>
          <w:tab w:val="right" w:leader="dot" w:pos="8306"/>
        </w:tabs>
      </w:pPr>
      <w:hyperlink w:anchor="_Toc29398" w:history="1">
        <w:r>
          <w:rPr>
            <w:rFonts w:ascii="仿宋" w:eastAsia="仿宋" w:hAnsi="仿宋" w:cs="仿宋" w:hint="eastAsia"/>
            <w:lang w:eastAsia="zh-CN"/>
          </w:rPr>
          <w:t>(三)、技术管理的独特特色</w:t>
        </w:r>
        <w:r>
          <w:tab/>
        </w:r>
        <w:r>
          <w:fldChar w:fldCharType="begin"/>
        </w:r>
        <w:r>
          <w:instrText xml:space="preserve"> PAGEREF _Toc29398 \h </w:instrText>
        </w:r>
        <w:r>
          <w:fldChar w:fldCharType="separate"/>
        </w:r>
        <w:r>
          <w:t>17</w:t>
        </w:r>
        <w:r>
          <w:fldChar w:fldCharType="end"/>
        </w:r>
      </w:hyperlink>
    </w:p>
    <w:p>
      <w:pPr>
        <w:pStyle w:val="TOC2"/>
        <w:tabs>
          <w:tab w:val="right" w:leader="dot" w:pos="8306"/>
        </w:tabs>
      </w:pPr>
      <w:hyperlink w:anchor="_Toc22668" w:history="1">
        <w:r>
          <w:rPr>
            <w:rFonts w:ascii="仿宋" w:eastAsia="仿宋" w:hAnsi="仿宋" w:cs="仿宋" w:hint="eastAsia"/>
            <w:lang w:eastAsia="zh-CN"/>
          </w:rPr>
          <w:t>(四)、硫代硫酸盐项目工艺技术设计方案</w:t>
        </w:r>
        <w:r>
          <w:tab/>
        </w:r>
        <w:r>
          <w:fldChar w:fldCharType="begin"/>
        </w:r>
        <w:r>
          <w:instrText xml:space="preserve"> PAGEREF _Toc22668 \h </w:instrText>
        </w:r>
        <w:r>
          <w:fldChar w:fldCharType="separate"/>
        </w:r>
        <w:r>
          <w:t>19</w:t>
        </w:r>
        <w:r>
          <w:fldChar w:fldCharType="end"/>
        </w:r>
      </w:hyperlink>
    </w:p>
    <w:p>
      <w:pPr>
        <w:pStyle w:val="TOC2"/>
        <w:tabs>
          <w:tab w:val="right" w:leader="dot" w:pos="8306"/>
        </w:tabs>
      </w:pPr>
      <w:hyperlink w:anchor="_Toc24827" w:history="1">
        <w:r>
          <w:rPr>
            <w:rFonts w:ascii="仿宋" w:eastAsia="仿宋" w:hAnsi="仿宋" w:cs="仿宋" w:hint="eastAsia"/>
            <w:lang w:eastAsia="zh-CN"/>
          </w:rPr>
          <w:t>(五)、设备选型的智能化方案</w:t>
        </w:r>
        <w:r>
          <w:tab/>
        </w:r>
        <w:r>
          <w:fldChar w:fldCharType="begin"/>
        </w:r>
        <w:r>
          <w:instrText xml:space="preserve"> PAGEREF _Toc24827 \h </w:instrText>
        </w:r>
        <w:r>
          <w:fldChar w:fldCharType="separate"/>
        </w:r>
        <w:r>
          <w:t>20</w:t>
        </w:r>
        <w:r>
          <w:fldChar w:fldCharType="end"/>
        </w:r>
      </w:hyperlink>
    </w:p>
    <w:p>
      <w:pPr>
        <w:pStyle w:val="TOC1"/>
        <w:tabs>
          <w:tab w:val="right" w:leader="dot" w:pos="8306"/>
        </w:tabs>
      </w:pPr>
      <w:hyperlink w:anchor="_Toc2599" w:history="1">
        <w:r>
          <w:rPr>
            <w:rFonts w:ascii="仿宋" w:eastAsia="仿宋" w:hAnsi="仿宋" w:cs="仿宋" w:hint="eastAsia"/>
            <w:lang w:eastAsia="zh-CN"/>
          </w:rPr>
          <w:t>四、工程设计说明</w:t>
        </w:r>
        <w:r>
          <w:tab/>
        </w:r>
        <w:r>
          <w:fldChar w:fldCharType="begin"/>
        </w:r>
        <w:r>
          <w:instrText xml:space="preserve"> PAGEREF _Toc2599 \h </w:instrText>
        </w:r>
        <w:r>
          <w:fldChar w:fldCharType="separate"/>
        </w:r>
        <w:r>
          <w:t>21</w:t>
        </w:r>
        <w:r>
          <w:fldChar w:fldCharType="end"/>
        </w:r>
      </w:hyperlink>
    </w:p>
    <w:p>
      <w:pPr>
        <w:pStyle w:val="TOC2"/>
        <w:tabs>
          <w:tab w:val="right" w:leader="dot" w:pos="8306"/>
        </w:tabs>
      </w:pPr>
      <w:hyperlink w:anchor="_Toc14757" w:history="1">
        <w:r>
          <w:rPr>
            <w:rFonts w:ascii="仿宋" w:eastAsia="仿宋" w:hAnsi="仿宋" w:cs="仿宋" w:hint="eastAsia"/>
            <w:lang w:eastAsia="zh-CN"/>
          </w:rPr>
          <w:t>(一)、建筑工程设计原则</w:t>
        </w:r>
        <w:r>
          <w:tab/>
        </w:r>
        <w:r>
          <w:fldChar w:fldCharType="begin"/>
        </w:r>
        <w:r>
          <w:instrText xml:space="preserve"> PAGEREF _Toc14757 \h </w:instrText>
        </w:r>
        <w:r>
          <w:fldChar w:fldCharType="separate"/>
        </w:r>
        <w:r>
          <w:t>21</w:t>
        </w:r>
        <w:r>
          <w:fldChar w:fldCharType="end"/>
        </w:r>
      </w:hyperlink>
    </w:p>
    <w:p>
      <w:pPr>
        <w:pStyle w:val="TOC2"/>
        <w:tabs>
          <w:tab w:val="right" w:leader="dot" w:pos="8306"/>
        </w:tabs>
      </w:pPr>
      <w:hyperlink w:anchor="_Toc4820" w:history="1">
        <w:r>
          <w:rPr>
            <w:rFonts w:ascii="仿宋" w:eastAsia="仿宋" w:hAnsi="仿宋" w:cs="仿宋" w:hint="eastAsia"/>
            <w:lang w:eastAsia="zh-CN"/>
          </w:rPr>
          <w:t>(二)、硫代硫酸盐项目工程建设标准规范</w:t>
        </w:r>
        <w:r>
          <w:tab/>
        </w:r>
        <w:r>
          <w:fldChar w:fldCharType="begin"/>
        </w:r>
        <w:r>
          <w:instrText xml:space="preserve"> PAGEREF _Toc4820 \h </w:instrText>
        </w:r>
        <w:r>
          <w:fldChar w:fldCharType="separate"/>
        </w:r>
        <w:r>
          <w:t>21</w:t>
        </w:r>
        <w:r>
          <w:fldChar w:fldCharType="end"/>
        </w:r>
      </w:hyperlink>
    </w:p>
    <w:p>
      <w:pPr>
        <w:pStyle w:val="TOC2"/>
        <w:tabs>
          <w:tab w:val="right" w:leader="dot" w:pos="8306"/>
        </w:tabs>
      </w:pPr>
      <w:hyperlink w:anchor="_Toc22078" w:history="1">
        <w:r>
          <w:rPr>
            <w:rFonts w:ascii="仿宋" w:eastAsia="仿宋" w:hAnsi="仿宋" w:cs="仿宋" w:hint="eastAsia"/>
            <w:lang w:eastAsia="zh-CN"/>
          </w:rPr>
          <w:t>(三)、硫代硫酸盐项目总平面设计要求</w:t>
        </w:r>
        <w:r>
          <w:tab/>
        </w:r>
        <w:r>
          <w:fldChar w:fldCharType="begin"/>
        </w:r>
        <w:r>
          <w:instrText xml:space="preserve"> PAGEREF _Toc22078 \h </w:instrText>
        </w:r>
        <w:r>
          <w:fldChar w:fldCharType="separate"/>
        </w:r>
        <w:r>
          <w:t>22</w:t>
        </w:r>
        <w:r>
          <w:fldChar w:fldCharType="end"/>
        </w:r>
      </w:hyperlink>
    </w:p>
    <w:p>
      <w:pPr>
        <w:pStyle w:val="TOC2"/>
        <w:tabs>
          <w:tab w:val="right" w:leader="dot" w:pos="8306"/>
        </w:tabs>
      </w:pPr>
      <w:hyperlink w:anchor="_Toc19792" w:history="1">
        <w:r>
          <w:rPr>
            <w:rFonts w:ascii="仿宋" w:eastAsia="仿宋" w:hAnsi="仿宋" w:cs="仿宋" w:hint="eastAsia"/>
            <w:lang w:eastAsia="zh-CN"/>
          </w:rPr>
          <w:t>(四)、建筑设计规范和标准</w:t>
        </w:r>
        <w:r>
          <w:tab/>
        </w:r>
        <w:r>
          <w:fldChar w:fldCharType="begin"/>
        </w:r>
        <w:r>
          <w:instrText xml:space="preserve"> PAGEREF _Toc19792 \h </w:instrText>
        </w:r>
        <w:r>
          <w:fldChar w:fldCharType="separate"/>
        </w:r>
        <w:r>
          <w:t>22</w:t>
        </w:r>
        <w:r>
          <w:fldChar w:fldCharType="end"/>
        </w:r>
      </w:hyperlink>
    </w:p>
    <w:p>
      <w:pPr>
        <w:pStyle w:val="TOC2"/>
        <w:tabs>
          <w:tab w:val="right" w:leader="dot" w:pos="8306"/>
        </w:tabs>
      </w:pPr>
      <w:hyperlink w:anchor="_Toc22941" w:history="1">
        <w:r>
          <w:rPr>
            <w:rFonts w:ascii="仿宋" w:eastAsia="仿宋" w:hAnsi="仿宋" w:cs="仿宋" w:hint="eastAsia"/>
            <w:lang w:eastAsia="zh-CN"/>
          </w:rPr>
          <w:t>(五)、土建工程设计年限及安全等级</w:t>
        </w:r>
        <w:r>
          <w:tab/>
        </w:r>
        <w:r>
          <w:fldChar w:fldCharType="begin"/>
        </w:r>
        <w:r>
          <w:instrText xml:space="preserve"> PAGEREF _Toc22941 \h </w:instrText>
        </w:r>
        <w:r>
          <w:fldChar w:fldCharType="separate"/>
        </w:r>
        <w:r>
          <w:t>22</w:t>
        </w:r>
        <w:r>
          <w:fldChar w:fldCharType="end"/>
        </w:r>
      </w:hyperlink>
    </w:p>
    <w:p>
      <w:pPr>
        <w:pStyle w:val="TOC2"/>
        <w:tabs>
          <w:tab w:val="right" w:leader="dot" w:pos="8306"/>
        </w:tabs>
      </w:pPr>
      <w:hyperlink w:anchor="_Toc32729" w:history="1">
        <w:r>
          <w:rPr>
            <w:rFonts w:ascii="仿宋" w:eastAsia="仿宋" w:hAnsi="仿宋" w:cs="仿宋" w:hint="eastAsia"/>
            <w:lang w:eastAsia="zh-CN"/>
          </w:rPr>
          <w:t>(六)、建筑工程设计总体要求</w:t>
        </w:r>
        <w:r>
          <w:tab/>
        </w:r>
        <w:r>
          <w:fldChar w:fldCharType="begin"/>
        </w:r>
        <w:r>
          <w:instrText xml:space="preserve"> PAGEREF _Toc32729 \h </w:instrText>
        </w:r>
        <w:r>
          <w:fldChar w:fldCharType="separate"/>
        </w:r>
        <w:r>
          <w:t>22</w:t>
        </w:r>
        <w:r>
          <w:fldChar w:fldCharType="end"/>
        </w:r>
      </w:hyperlink>
    </w:p>
    <w:p>
      <w:pPr>
        <w:pStyle w:val="TOC1"/>
        <w:tabs>
          <w:tab w:val="right" w:leader="dot" w:pos="8306"/>
        </w:tabs>
      </w:pPr>
      <w:hyperlink w:anchor="_Toc3242" w:history="1">
        <w:r>
          <w:rPr>
            <w:rFonts w:ascii="仿宋" w:eastAsia="仿宋" w:hAnsi="仿宋" w:cs="仿宋" w:hint="eastAsia"/>
            <w:lang w:eastAsia="zh-CN"/>
          </w:rPr>
          <w:t>五、合作伙伴关系管理</w:t>
        </w:r>
        <w:r>
          <w:tab/>
        </w:r>
        <w:r>
          <w:fldChar w:fldCharType="begin"/>
        </w:r>
        <w:r>
          <w:instrText xml:space="preserve"> PAGEREF _Toc3242 \h </w:instrText>
        </w:r>
        <w:r>
          <w:fldChar w:fldCharType="separate"/>
        </w:r>
        <w:r>
          <w:t>23</w:t>
        </w:r>
        <w:r>
          <w:fldChar w:fldCharType="end"/>
        </w:r>
      </w:hyperlink>
    </w:p>
    <w:p>
      <w:pPr>
        <w:pStyle w:val="TOC2"/>
        <w:tabs>
          <w:tab w:val="right" w:leader="dot" w:pos="8306"/>
        </w:tabs>
      </w:pPr>
      <w:hyperlink w:anchor="_Toc1239" w:history="1">
        <w:r>
          <w:rPr>
            <w:rFonts w:ascii="仿宋" w:eastAsia="仿宋" w:hAnsi="仿宋" w:cs="仿宋" w:hint="eastAsia"/>
            <w:lang w:eastAsia="zh-CN"/>
          </w:rPr>
          <w:t>(一)、合作伙伴选择与评估</w:t>
        </w:r>
        <w:r>
          <w:tab/>
        </w:r>
        <w:r>
          <w:fldChar w:fldCharType="begin"/>
        </w:r>
        <w:r>
          <w:instrText xml:space="preserve"> PAGEREF _Toc1239 \h </w:instrText>
        </w:r>
        <w:r>
          <w:fldChar w:fldCharType="separate"/>
        </w:r>
        <w:r>
          <w:t>23</w:t>
        </w:r>
        <w:r>
          <w:fldChar w:fldCharType="end"/>
        </w:r>
      </w:hyperlink>
    </w:p>
    <w:p>
      <w:pPr>
        <w:pStyle w:val="TOC2"/>
        <w:tabs>
          <w:tab w:val="right" w:leader="dot" w:pos="8306"/>
        </w:tabs>
      </w:pPr>
      <w:hyperlink w:anchor="_Toc10468" w:history="1">
        <w:r>
          <w:rPr>
            <w:rFonts w:ascii="仿宋" w:eastAsia="仿宋" w:hAnsi="仿宋" w:cs="仿宋" w:hint="eastAsia"/>
            <w:lang w:eastAsia="zh-CN"/>
          </w:rPr>
          <w:t>(二)、合作伙伴协议与合同管理</w:t>
        </w:r>
        <w:r>
          <w:tab/>
        </w:r>
        <w:r>
          <w:fldChar w:fldCharType="begin"/>
        </w:r>
        <w:r>
          <w:instrText xml:space="preserve"> PAGEREF _Toc10468 \h </w:instrText>
        </w:r>
        <w:r>
          <w:fldChar w:fldCharType="separate"/>
        </w:r>
        <w:r>
          <w:t>24</w:t>
        </w:r>
        <w:r>
          <w:fldChar w:fldCharType="end"/>
        </w:r>
      </w:hyperlink>
    </w:p>
    <w:p>
      <w:pPr>
        <w:pStyle w:val="TOC2"/>
        <w:tabs>
          <w:tab w:val="right" w:leader="dot" w:pos="8306"/>
        </w:tabs>
      </w:pPr>
      <w:hyperlink w:anchor="_Toc7607" w:history="1">
        <w:r>
          <w:rPr>
            <w:rFonts w:ascii="仿宋" w:eastAsia="仿宋" w:hAnsi="仿宋" w:cs="仿宋" w:hint="eastAsia"/>
            <w:lang w:eastAsia="zh-CN"/>
          </w:rPr>
          <w:t>(三)、风险共担与利益共享机制</w:t>
        </w:r>
        <w:r>
          <w:tab/>
        </w:r>
        <w:r>
          <w:fldChar w:fldCharType="begin"/>
        </w:r>
        <w:r>
          <w:instrText xml:space="preserve"> PAGEREF _Toc7607 \h </w:instrText>
        </w:r>
        <w:r>
          <w:fldChar w:fldCharType="separate"/>
        </w:r>
        <w:r>
          <w:t>25</w:t>
        </w:r>
        <w:r>
          <w:fldChar w:fldCharType="end"/>
        </w:r>
      </w:hyperlink>
    </w:p>
    <w:p>
      <w:pPr>
        <w:pStyle w:val="TOC2"/>
        <w:tabs>
          <w:tab w:val="right" w:leader="dot" w:pos="8306"/>
        </w:tabs>
      </w:pPr>
      <w:hyperlink w:anchor="_Toc18495" w:history="1">
        <w:r>
          <w:rPr>
            <w:rFonts w:ascii="仿宋" w:eastAsia="仿宋" w:hAnsi="仿宋" w:cs="仿宋" w:hint="eastAsia"/>
            <w:lang w:eastAsia="zh-CN"/>
          </w:rPr>
          <w:t>(四)、定期合作评估与调整</w:t>
        </w:r>
        <w:r>
          <w:tab/>
        </w:r>
        <w:r>
          <w:fldChar w:fldCharType="begin"/>
        </w:r>
        <w:r>
          <w:instrText xml:space="preserve"> PAGEREF _Toc18495 \h </w:instrText>
        </w:r>
        <w:r>
          <w:fldChar w:fldCharType="separate"/>
        </w:r>
        <w:r>
          <w:t>25</w:t>
        </w:r>
        <w:r>
          <w:fldChar w:fldCharType="end"/>
        </w:r>
      </w:hyperlink>
    </w:p>
    <w:p>
      <w:pPr>
        <w:pStyle w:val="TOC1"/>
        <w:tabs>
          <w:tab w:val="right" w:leader="dot" w:pos="8306"/>
        </w:tabs>
      </w:pPr>
      <w:hyperlink w:anchor="_Toc27089" w:history="1">
        <w:r>
          <w:rPr>
            <w:rFonts w:ascii="仿宋" w:eastAsia="仿宋" w:hAnsi="仿宋" w:cs="仿宋" w:hint="eastAsia"/>
            <w:lang w:eastAsia="zh-CN"/>
          </w:rPr>
          <w:t>六、危机管理与应急响应</w:t>
        </w:r>
        <w:r>
          <w:tab/>
        </w:r>
        <w:r>
          <w:fldChar w:fldCharType="begin"/>
        </w:r>
        <w:r>
          <w:instrText xml:space="preserve"> PAGEREF _Toc27089 \h </w:instrText>
        </w:r>
        <w:r>
          <w:fldChar w:fldCharType="separate"/>
        </w:r>
        <w:r>
          <w:t>27</w:t>
        </w:r>
        <w:r>
          <w:fldChar w:fldCharType="end"/>
        </w:r>
      </w:hyperlink>
    </w:p>
    <w:p>
      <w:pPr>
        <w:pStyle w:val="TOC2"/>
        <w:tabs>
          <w:tab w:val="right" w:leader="dot" w:pos="8306"/>
        </w:tabs>
      </w:pPr>
      <w:hyperlink w:anchor="_Toc11527" w:history="1">
        <w:r>
          <w:rPr>
            <w:rFonts w:ascii="仿宋" w:eastAsia="仿宋" w:hAnsi="仿宋" w:cs="仿宋" w:hint="eastAsia"/>
            <w:lang w:eastAsia="zh-CN"/>
          </w:rPr>
          <w:t>(一)、危机管理计划制定</w:t>
        </w:r>
        <w:r>
          <w:tab/>
        </w:r>
        <w:r>
          <w:fldChar w:fldCharType="begin"/>
        </w:r>
        <w:r>
          <w:instrText xml:space="preserve"> PAGEREF _Toc11527 \h </w:instrText>
        </w:r>
        <w:r>
          <w:fldChar w:fldCharType="separate"/>
        </w:r>
        <w:r>
          <w:t>27</w:t>
        </w:r>
        <w:r>
          <w:fldChar w:fldCharType="end"/>
        </w:r>
      </w:hyperlink>
    </w:p>
    <w:p>
      <w:pPr>
        <w:pStyle w:val="TOC2"/>
        <w:tabs>
          <w:tab w:val="right" w:leader="dot" w:pos="8306"/>
        </w:tabs>
      </w:pPr>
      <w:hyperlink w:anchor="_Toc2386" w:history="1">
        <w:r>
          <w:rPr>
            <w:rFonts w:ascii="仿宋" w:eastAsia="仿宋" w:hAnsi="仿宋" w:cs="仿宋" w:hint="eastAsia"/>
            <w:lang w:eastAsia="zh-CN"/>
          </w:rPr>
          <w:t>(二)、应急响应流程</w:t>
        </w:r>
        <w:r>
          <w:tab/>
        </w:r>
        <w:r>
          <w:fldChar w:fldCharType="begin"/>
        </w:r>
        <w:r>
          <w:instrText xml:space="preserve"> PAGEREF _Toc2386 \h </w:instrText>
        </w:r>
        <w:r>
          <w:fldChar w:fldCharType="separate"/>
        </w:r>
        <w:r>
          <w:t>28</w:t>
        </w:r>
        <w:r>
          <w:fldChar w:fldCharType="end"/>
        </w:r>
      </w:hyperlink>
    </w:p>
    <w:p>
      <w:pPr>
        <w:pStyle w:val="TOC2"/>
        <w:tabs>
          <w:tab w:val="right" w:leader="dot" w:pos="8306"/>
        </w:tabs>
      </w:pPr>
      <w:hyperlink w:anchor="_Toc27036" w:history="1">
        <w:r>
          <w:rPr>
            <w:rFonts w:ascii="仿宋" w:eastAsia="仿宋" w:hAnsi="仿宋" w:cs="仿宋" w:hint="eastAsia"/>
            <w:lang w:eastAsia="zh-CN"/>
          </w:rPr>
          <w:t>(三)、危机公关与舆情管理</w:t>
        </w:r>
        <w:r>
          <w:tab/>
        </w:r>
        <w:r>
          <w:fldChar w:fldCharType="begin"/>
        </w:r>
        <w:r>
          <w:instrText xml:space="preserve"> PAGEREF _Toc27036 \h </w:instrText>
        </w:r>
        <w:r>
          <w:fldChar w:fldCharType="separate"/>
        </w:r>
        <w:r>
          <w:t>29</w:t>
        </w:r>
        <w:r>
          <w:fldChar w:fldCharType="end"/>
        </w:r>
      </w:hyperlink>
    </w:p>
    <w:p>
      <w:pPr>
        <w:pStyle w:val="TOC2"/>
        <w:tabs>
          <w:tab w:val="right" w:leader="dot" w:pos="8306"/>
        </w:tabs>
      </w:pPr>
      <w:hyperlink w:anchor="_Toc29810" w:history="1">
        <w:r>
          <w:rPr>
            <w:rFonts w:ascii="仿宋" w:eastAsia="仿宋" w:hAnsi="仿宋" w:cs="仿宋" w:hint="eastAsia"/>
            <w:lang w:eastAsia="zh-CN"/>
          </w:rPr>
          <w:t>(四)、事故调查与报告</w:t>
        </w:r>
        <w:r>
          <w:tab/>
        </w:r>
        <w:r>
          <w:fldChar w:fldCharType="begin"/>
        </w:r>
        <w:r>
          <w:instrText xml:space="preserve"> PAGEREF _Toc29810 \h </w:instrText>
        </w:r>
        <w:r>
          <w:fldChar w:fldCharType="separate"/>
        </w:r>
        <w:r>
          <w:t>29</w:t>
        </w:r>
        <w:r>
          <w:fldChar w:fldCharType="end"/>
        </w:r>
      </w:hyperlink>
    </w:p>
    <w:p>
      <w:pPr>
        <w:pStyle w:val="TOC1"/>
        <w:tabs>
          <w:tab w:val="right" w:leader="dot" w:pos="8306"/>
        </w:tabs>
      </w:pPr>
      <w:hyperlink w:anchor="_Toc28481" w:history="1">
        <w:r>
          <w:rPr>
            <w:rFonts w:ascii="仿宋" w:eastAsia="仿宋" w:hAnsi="仿宋" w:cs="仿宋" w:hint="eastAsia"/>
            <w:lang w:eastAsia="zh-CN"/>
          </w:rPr>
          <w:t>七、硫代硫酸盐项目收尾与总结</w:t>
        </w:r>
        <w:r>
          <w:tab/>
        </w:r>
        <w:r>
          <w:fldChar w:fldCharType="begin"/>
        </w:r>
        <w:r>
          <w:instrText xml:space="preserve"> PAGEREF _Toc28481 \h </w:instrText>
        </w:r>
        <w:r>
          <w:fldChar w:fldCharType="separate"/>
        </w:r>
        <w:r>
          <w:t>30</w:t>
        </w:r>
        <w:r>
          <w:fldChar w:fldCharType="end"/>
        </w:r>
      </w:hyperlink>
    </w:p>
    <w:p>
      <w:pPr>
        <w:pStyle w:val="TOC2"/>
        <w:tabs>
          <w:tab w:val="right" w:leader="dot" w:pos="8306"/>
        </w:tabs>
      </w:pPr>
      <w:hyperlink w:anchor="_Toc4494" w:history="1">
        <w:r>
          <w:rPr>
            <w:rFonts w:ascii="仿宋" w:eastAsia="仿宋" w:hAnsi="仿宋" w:cs="仿宋" w:hint="eastAsia"/>
            <w:lang w:eastAsia="zh-CN"/>
          </w:rPr>
          <w:t>(一)、硫代硫酸盐项目总结与经验分享</w:t>
        </w:r>
        <w:r>
          <w:tab/>
        </w:r>
        <w:r>
          <w:fldChar w:fldCharType="begin"/>
        </w:r>
        <w:r>
          <w:instrText xml:space="preserve"> PAGEREF _Toc4494 \h </w:instrText>
        </w:r>
        <w:r>
          <w:fldChar w:fldCharType="separate"/>
        </w:r>
        <w:r>
          <w:t>30</w:t>
        </w:r>
        <w:r>
          <w:fldChar w:fldCharType="end"/>
        </w:r>
      </w:hyperlink>
    </w:p>
    <w:p>
      <w:pPr>
        <w:pStyle w:val="TOC2"/>
        <w:tabs>
          <w:tab w:val="right" w:leader="dot" w:pos="8306"/>
        </w:tabs>
      </w:pPr>
      <w:hyperlink w:anchor="_Toc1125" w:history="1">
        <w:r>
          <w:rPr>
            <w:rFonts w:ascii="仿宋" w:eastAsia="仿宋" w:hAnsi="仿宋" w:cs="仿宋" w:hint="eastAsia"/>
            <w:lang w:eastAsia="zh-CN"/>
          </w:rPr>
          <w:t>(二)、硫代硫酸盐项目报告与归档</w:t>
        </w:r>
        <w:r>
          <w:tab/>
        </w:r>
        <w:r>
          <w:fldChar w:fldCharType="begin"/>
        </w:r>
        <w:r>
          <w:instrText xml:space="preserve"> PAGEREF _Toc1125 \h </w:instrText>
        </w:r>
        <w:r>
          <w:fldChar w:fldCharType="separate"/>
        </w:r>
        <w:r>
          <w:t>33</w:t>
        </w:r>
        <w:r>
          <w:fldChar w:fldCharType="end"/>
        </w:r>
      </w:hyperlink>
    </w:p>
    <w:p>
      <w:pPr>
        <w:pStyle w:val="TOC2"/>
        <w:tabs>
          <w:tab w:val="right" w:leader="dot" w:pos="8306"/>
        </w:tabs>
      </w:pPr>
      <w:hyperlink w:anchor="_Toc10459" w:history="1">
        <w:r>
          <w:rPr>
            <w:rFonts w:ascii="仿宋" w:eastAsia="仿宋" w:hAnsi="仿宋" w:cs="仿宋" w:hint="eastAsia"/>
            <w:lang w:eastAsia="zh-CN"/>
          </w:rPr>
          <w:t>(三)、硫代硫酸盐项目收尾与结算</w:t>
        </w:r>
        <w:r>
          <w:tab/>
        </w:r>
        <w:r>
          <w:fldChar w:fldCharType="begin"/>
        </w:r>
        <w:r>
          <w:instrText xml:space="preserve"> PAGEREF _Toc10459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6107" w:history="1">
        <w:r>
          <w:rPr>
            <w:rFonts w:ascii="仿宋" w:eastAsia="仿宋" w:hAnsi="仿宋" w:cs="仿宋" w:hint="eastAsia"/>
            <w:lang w:eastAsia="zh-CN"/>
          </w:rPr>
          <w:t>(四)、团队人员调整与反馈</w:t>
        </w:r>
        <w:r>
          <w:tab/>
        </w:r>
        <w:r>
          <w:fldChar w:fldCharType="begin"/>
        </w:r>
        <w:r>
          <w:instrText xml:space="preserve"> PAGEREF _Toc26107 \h </w:instrText>
        </w:r>
        <w:r>
          <w:fldChar w:fldCharType="separate"/>
        </w:r>
        <w:r>
          <w:t>36</w:t>
        </w:r>
        <w:r>
          <w:fldChar w:fldCharType="end"/>
        </w:r>
      </w:hyperlink>
    </w:p>
    <w:p>
      <w:pPr>
        <w:pStyle w:val="TOC1"/>
        <w:tabs>
          <w:tab w:val="right" w:leader="dot" w:pos="8306"/>
        </w:tabs>
      </w:pPr>
      <w:hyperlink w:anchor="_Toc2755" w:history="1">
        <w:r>
          <w:rPr>
            <w:rFonts w:ascii="仿宋" w:eastAsia="仿宋" w:hAnsi="仿宋" w:cs="仿宋" w:hint="eastAsia"/>
            <w:lang w:eastAsia="zh-CN"/>
          </w:rPr>
          <w:t>八、硫代硫酸盐项目落地与推广</w:t>
        </w:r>
        <w:r>
          <w:tab/>
        </w:r>
        <w:r>
          <w:fldChar w:fldCharType="begin"/>
        </w:r>
        <w:r>
          <w:instrText xml:space="preserve"> PAGEREF _Toc2755 \h </w:instrText>
        </w:r>
        <w:r>
          <w:fldChar w:fldCharType="separate"/>
        </w:r>
        <w:r>
          <w:t>37</w:t>
        </w:r>
        <w:r>
          <w:fldChar w:fldCharType="end"/>
        </w:r>
      </w:hyperlink>
    </w:p>
    <w:p>
      <w:pPr>
        <w:pStyle w:val="TOC2"/>
        <w:tabs>
          <w:tab w:val="right" w:leader="dot" w:pos="8306"/>
        </w:tabs>
      </w:pPr>
      <w:hyperlink w:anchor="_Toc13543" w:history="1">
        <w:r>
          <w:rPr>
            <w:rFonts w:ascii="仿宋" w:eastAsia="仿宋" w:hAnsi="仿宋" w:cs="仿宋" w:hint="eastAsia"/>
            <w:lang w:eastAsia="zh-CN"/>
          </w:rPr>
          <w:t>(一)、硫代硫酸盐项目推广计划</w:t>
        </w:r>
        <w:r>
          <w:tab/>
        </w:r>
        <w:r>
          <w:fldChar w:fldCharType="begin"/>
        </w:r>
        <w:r>
          <w:instrText xml:space="preserve"> PAGEREF _Toc13543 \h </w:instrText>
        </w:r>
        <w:r>
          <w:fldChar w:fldCharType="separate"/>
        </w:r>
        <w:r>
          <w:t>37</w:t>
        </w:r>
        <w:r>
          <w:fldChar w:fldCharType="end"/>
        </w:r>
      </w:hyperlink>
    </w:p>
    <w:p>
      <w:pPr>
        <w:pStyle w:val="TOC2"/>
        <w:tabs>
          <w:tab w:val="right" w:leader="dot" w:pos="8306"/>
        </w:tabs>
      </w:pPr>
      <w:hyperlink w:anchor="_Toc9780" w:history="1">
        <w:r>
          <w:rPr>
            <w:rFonts w:ascii="仿宋" w:eastAsia="仿宋" w:hAnsi="仿宋" w:cs="仿宋" w:hint="eastAsia"/>
            <w:lang w:eastAsia="zh-CN"/>
          </w:rPr>
          <w:t>(二)、地方政府支持与合作</w:t>
        </w:r>
        <w:r>
          <w:tab/>
        </w:r>
        <w:r>
          <w:fldChar w:fldCharType="begin"/>
        </w:r>
        <w:r>
          <w:instrText xml:space="preserve"> PAGEREF _Toc9780 \h </w:instrText>
        </w:r>
        <w:r>
          <w:fldChar w:fldCharType="separate"/>
        </w:r>
        <w:r>
          <w:t>38</w:t>
        </w:r>
        <w:r>
          <w:fldChar w:fldCharType="end"/>
        </w:r>
      </w:hyperlink>
    </w:p>
    <w:p>
      <w:pPr>
        <w:pStyle w:val="TOC2"/>
        <w:tabs>
          <w:tab w:val="right" w:leader="dot" w:pos="8306"/>
        </w:tabs>
      </w:pPr>
      <w:hyperlink w:anchor="_Toc6031" w:history="1">
        <w:r>
          <w:rPr>
            <w:rFonts w:ascii="仿宋" w:eastAsia="仿宋" w:hAnsi="仿宋" w:cs="仿宋" w:hint="eastAsia"/>
            <w:lang w:eastAsia="zh-CN"/>
          </w:rPr>
          <w:t>(三)、市场推广与品牌建设</w:t>
        </w:r>
        <w:r>
          <w:tab/>
        </w:r>
        <w:r>
          <w:fldChar w:fldCharType="begin"/>
        </w:r>
        <w:r>
          <w:instrText xml:space="preserve"> PAGEREF _Toc6031 \h </w:instrText>
        </w:r>
        <w:r>
          <w:fldChar w:fldCharType="separate"/>
        </w:r>
        <w:r>
          <w:t>39</w:t>
        </w:r>
        <w:r>
          <w:fldChar w:fldCharType="end"/>
        </w:r>
      </w:hyperlink>
    </w:p>
    <w:p>
      <w:pPr>
        <w:pStyle w:val="TOC2"/>
        <w:tabs>
          <w:tab w:val="right" w:leader="dot" w:pos="8306"/>
        </w:tabs>
      </w:pPr>
      <w:hyperlink w:anchor="_Toc30315" w:history="1">
        <w:r>
          <w:rPr>
            <w:rFonts w:ascii="仿宋" w:eastAsia="仿宋" w:hAnsi="仿宋" w:cs="仿宋" w:hint="eastAsia"/>
            <w:lang w:eastAsia="zh-CN"/>
          </w:rPr>
          <w:t>(四)、社会参与与共享机制</w:t>
        </w:r>
        <w:r>
          <w:tab/>
        </w:r>
        <w:r>
          <w:fldChar w:fldCharType="begin"/>
        </w:r>
        <w:r>
          <w:instrText xml:space="preserve"> PAGEREF _Toc30315 \h </w:instrText>
        </w:r>
        <w:r>
          <w:fldChar w:fldCharType="separate"/>
        </w:r>
        <w:r>
          <w:t>40</w:t>
        </w:r>
        <w:r>
          <w:fldChar w:fldCharType="end"/>
        </w:r>
      </w:hyperlink>
    </w:p>
    <w:p>
      <w:pPr>
        <w:pStyle w:val="TOC1"/>
        <w:tabs>
          <w:tab w:val="right" w:leader="dot" w:pos="8306"/>
        </w:tabs>
      </w:pPr>
      <w:hyperlink w:anchor="_Toc30975" w:history="1">
        <w:r>
          <w:rPr>
            <w:rFonts w:ascii="仿宋" w:eastAsia="仿宋" w:hAnsi="仿宋" w:cs="仿宋" w:hint="eastAsia"/>
            <w:lang w:eastAsia="zh-CN"/>
          </w:rPr>
          <w:t>九、合规与风险管理</w:t>
        </w:r>
        <w:r>
          <w:tab/>
        </w:r>
        <w:r>
          <w:fldChar w:fldCharType="begin"/>
        </w:r>
        <w:r>
          <w:instrText xml:space="preserve"> PAGEREF _Toc30975 \h </w:instrText>
        </w:r>
        <w:r>
          <w:fldChar w:fldCharType="separate"/>
        </w:r>
        <w:r>
          <w:t>41</w:t>
        </w:r>
        <w:r>
          <w:fldChar w:fldCharType="end"/>
        </w:r>
      </w:hyperlink>
    </w:p>
    <w:p>
      <w:pPr>
        <w:pStyle w:val="TOC2"/>
        <w:tabs>
          <w:tab w:val="right" w:leader="dot" w:pos="8306"/>
        </w:tabs>
      </w:pPr>
      <w:hyperlink w:anchor="_Toc11259" w:history="1">
        <w:r>
          <w:rPr>
            <w:rFonts w:ascii="仿宋" w:eastAsia="仿宋" w:hAnsi="仿宋" w:cs="仿宋" w:hint="eastAsia"/>
            <w:lang w:eastAsia="zh-CN"/>
          </w:rPr>
          <w:t>(一)、法律法规合规体系</w:t>
        </w:r>
        <w:r>
          <w:tab/>
        </w:r>
        <w:r>
          <w:fldChar w:fldCharType="begin"/>
        </w:r>
        <w:r>
          <w:instrText xml:space="preserve"> PAGEREF _Toc11259 \h </w:instrText>
        </w:r>
        <w:r>
          <w:fldChar w:fldCharType="separate"/>
        </w:r>
        <w:r>
          <w:t>41</w:t>
        </w:r>
        <w:r>
          <w:fldChar w:fldCharType="end"/>
        </w:r>
      </w:hyperlink>
    </w:p>
    <w:p>
      <w:pPr>
        <w:pStyle w:val="TOC2"/>
        <w:tabs>
          <w:tab w:val="right" w:leader="dot" w:pos="8306"/>
        </w:tabs>
      </w:pPr>
      <w:hyperlink w:anchor="_Toc23121" w:history="1">
        <w:r>
          <w:rPr>
            <w:rFonts w:ascii="仿宋" w:eastAsia="仿宋" w:hAnsi="仿宋" w:cs="仿宋" w:hint="eastAsia"/>
            <w:lang w:eastAsia="zh-CN"/>
          </w:rPr>
          <w:t>(二)、内部控制与风险评估</w:t>
        </w:r>
        <w:r>
          <w:tab/>
        </w:r>
        <w:r>
          <w:fldChar w:fldCharType="begin"/>
        </w:r>
        <w:r>
          <w:instrText xml:space="preserve"> PAGEREF _Toc23121 \h </w:instrText>
        </w:r>
        <w:r>
          <w:fldChar w:fldCharType="separate"/>
        </w:r>
        <w:r>
          <w:t>42</w:t>
        </w:r>
        <w:r>
          <w:fldChar w:fldCharType="end"/>
        </w:r>
      </w:hyperlink>
    </w:p>
    <w:p>
      <w:pPr>
        <w:pStyle w:val="TOC2"/>
        <w:tabs>
          <w:tab w:val="right" w:leader="dot" w:pos="8306"/>
        </w:tabs>
      </w:pPr>
      <w:hyperlink w:anchor="_Toc21278" w:history="1">
        <w:r>
          <w:rPr>
            <w:rFonts w:ascii="仿宋" w:eastAsia="仿宋" w:hAnsi="仿宋" w:cs="仿宋" w:hint="eastAsia"/>
            <w:lang w:eastAsia="zh-CN"/>
          </w:rPr>
          <w:t>(三)、合规培训与执行</w:t>
        </w:r>
        <w:r>
          <w:tab/>
        </w:r>
        <w:r>
          <w:fldChar w:fldCharType="begin"/>
        </w:r>
        <w:r>
          <w:instrText xml:space="preserve"> PAGEREF _Toc21278 \h </w:instrText>
        </w:r>
        <w:r>
          <w:fldChar w:fldCharType="separate"/>
        </w:r>
        <w:r>
          <w:t>43</w:t>
        </w:r>
        <w:r>
          <w:fldChar w:fldCharType="end"/>
        </w:r>
      </w:hyperlink>
    </w:p>
    <w:p>
      <w:pPr>
        <w:pStyle w:val="TOC2"/>
        <w:tabs>
          <w:tab w:val="right" w:leader="dot" w:pos="8306"/>
        </w:tabs>
      </w:pPr>
      <w:hyperlink w:anchor="_Toc4151" w:history="1">
        <w:r>
          <w:rPr>
            <w:rFonts w:ascii="仿宋" w:eastAsia="仿宋" w:hAnsi="仿宋" w:cs="仿宋" w:hint="eastAsia"/>
            <w:lang w:eastAsia="zh-CN"/>
          </w:rPr>
          <w:t>(四)、合规监测与修正机制</w:t>
        </w:r>
        <w:r>
          <w:tab/>
        </w:r>
        <w:r>
          <w:fldChar w:fldCharType="begin"/>
        </w:r>
        <w:r>
          <w:instrText xml:space="preserve"> PAGEREF _Toc4151 \h </w:instrText>
        </w:r>
        <w:r>
          <w:fldChar w:fldCharType="separate"/>
        </w:r>
        <w:r>
          <w:t>44</w:t>
        </w:r>
        <w:r>
          <w:fldChar w:fldCharType="end"/>
        </w:r>
      </w:hyperlink>
    </w:p>
    <w:p>
      <w:pPr>
        <w:pStyle w:val="TOC1"/>
        <w:tabs>
          <w:tab w:val="right" w:leader="dot" w:pos="8306"/>
        </w:tabs>
      </w:pPr>
      <w:hyperlink w:anchor="_Toc2459" w:history="1">
        <w:r>
          <w:rPr>
            <w:rFonts w:ascii="仿宋" w:eastAsia="仿宋" w:hAnsi="仿宋" w:cs="仿宋" w:hint="eastAsia"/>
            <w:lang w:eastAsia="zh-CN"/>
          </w:rPr>
          <w:t>十、供应链管理</w:t>
        </w:r>
        <w:r>
          <w:tab/>
        </w:r>
        <w:r>
          <w:fldChar w:fldCharType="begin"/>
        </w:r>
        <w:r>
          <w:instrText xml:space="preserve"> PAGEREF _Toc2459 \h </w:instrText>
        </w:r>
        <w:r>
          <w:fldChar w:fldCharType="separate"/>
        </w:r>
        <w:r>
          <w:t>46</w:t>
        </w:r>
        <w:r>
          <w:fldChar w:fldCharType="end"/>
        </w:r>
      </w:hyperlink>
    </w:p>
    <w:p>
      <w:pPr>
        <w:pStyle w:val="TOC2"/>
        <w:tabs>
          <w:tab w:val="right" w:leader="dot" w:pos="8306"/>
        </w:tabs>
      </w:pPr>
      <w:hyperlink w:anchor="_Toc21968" w:history="1">
        <w:r>
          <w:rPr>
            <w:rFonts w:ascii="仿宋" w:eastAsia="仿宋" w:hAnsi="仿宋" w:cs="仿宋" w:hint="eastAsia"/>
            <w:lang w:eastAsia="zh-CN"/>
          </w:rPr>
          <w:t>(一)、供应链战略规划</w:t>
        </w:r>
        <w:r>
          <w:tab/>
        </w:r>
        <w:r>
          <w:fldChar w:fldCharType="begin"/>
        </w:r>
        <w:r>
          <w:instrText xml:space="preserve"> PAGEREF _Toc21968 \h </w:instrText>
        </w:r>
        <w:r>
          <w:fldChar w:fldCharType="separate"/>
        </w:r>
        <w:r>
          <w:t>46</w:t>
        </w:r>
        <w:r>
          <w:fldChar w:fldCharType="end"/>
        </w:r>
      </w:hyperlink>
    </w:p>
    <w:p>
      <w:pPr>
        <w:pStyle w:val="TOC2"/>
        <w:tabs>
          <w:tab w:val="right" w:leader="dot" w:pos="8306"/>
        </w:tabs>
      </w:pPr>
      <w:hyperlink w:anchor="_Toc10433" w:history="1">
        <w:r>
          <w:rPr>
            <w:rFonts w:ascii="仿宋" w:eastAsia="仿宋" w:hAnsi="仿宋" w:cs="仿宋" w:hint="eastAsia"/>
            <w:lang w:eastAsia="zh-CN"/>
          </w:rPr>
          <w:t>(二)、供应商选择与评估</w:t>
        </w:r>
        <w:r>
          <w:tab/>
        </w:r>
        <w:r>
          <w:fldChar w:fldCharType="begin"/>
        </w:r>
        <w:r>
          <w:instrText xml:space="preserve"> PAGEREF _Toc10433 \h </w:instrText>
        </w:r>
        <w:r>
          <w:fldChar w:fldCharType="separate"/>
        </w:r>
        <w:r>
          <w:t>47</w:t>
        </w:r>
        <w:r>
          <w:fldChar w:fldCharType="end"/>
        </w:r>
      </w:hyperlink>
    </w:p>
    <w:p>
      <w:pPr>
        <w:pStyle w:val="TOC2"/>
        <w:tabs>
          <w:tab w:val="right" w:leader="dot" w:pos="8306"/>
        </w:tabs>
      </w:pPr>
      <w:hyperlink w:anchor="_Toc10035" w:history="1">
        <w:r>
          <w:rPr>
            <w:rFonts w:ascii="仿宋" w:eastAsia="仿宋" w:hAnsi="仿宋" w:cs="仿宋" w:hint="eastAsia"/>
            <w:lang w:eastAsia="zh-CN"/>
          </w:rPr>
          <w:t>(三)、物流与库存管理</w:t>
        </w:r>
        <w:r>
          <w:tab/>
        </w:r>
        <w:r>
          <w:fldChar w:fldCharType="begin"/>
        </w:r>
        <w:r>
          <w:instrText xml:space="preserve"> PAGEREF _Toc10035 \h </w:instrText>
        </w:r>
        <w:r>
          <w:fldChar w:fldCharType="separate"/>
        </w:r>
        <w:r>
          <w:t>48</w:t>
        </w:r>
        <w:r>
          <w:fldChar w:fldCharType="end"/>
        </w:r>
      </w:hyperlink>
    </w:p>
    <w:p>
      <w:pPr>
        <w:pStyle w:val="TOC2"/>
        <w:tabs>
          <w:tab w:val="right" w:leader="dot" w:pos="8306"/>
        </w:tabs>
      </w:pPr>
      <w:hyperlink w:anchor="_Toc11329" w:history="1">
        <w:r>
          <w:rPr>
            <w:rFonts w:ascii="仿宋" w:eastAsia="仿宋" w:hAnsi="仿宋" w:cs="仿宋" w:hint="eastAsia"/>
            <w:lang w:eastAsia="zh-CN"/>
          </w:rPr>
          <w:t>(四)、供应链风险管理</w:t>
        </w:r>
        <w:r>
          <w:tab/>
        </w:r>
        <w:r>
          <w:fldChar w:fldCharType="begin"/>
        </w:r>
        <w:r>
          <w:instrText xml:space="preserve"> PAGEREF _Toc11329 \h </w:instrText>
        </w:r>
        <w:r>
          <w:fldChar w:fldCharType="separate"/>
        </w:r>
        <w:r>
          <w:t>49</w:t>
        </w:r>
        <w:r>
          <w:fldChar w:fldCharType="end"/>
        </w:r>
      </w:hyperlink>
    </w:p>
    <w:p>
      <w:pPr>
        <w:pStyle w:val="TOC1"/>
        <w:tabs>
          <w:tab w:val="right" w:leader="dot" w:pos="8306"/>
        </w:tabs>
      </w:pPr>
      <w:hyperlink w:anchor="_Toc10585" w:history="1">
        <w:r>
          <w:rPr>
            <w:rFonts w:ascii="仿宋" w:eastAsia="仿宋" w:hAnsi="仿宋" w:cs="仿宋" w:hint="eastAsia"/>
            <w:lang w:eastAsia="zh-CN"/>
          </w:rPr>
          <w:t>十一、员工福利与团队建设</w:t>
        </w:r>
        <w:r>
          <w:tab/>
        </w:r>
        <w:r>
          <w:fldChar w:fldCharType="begin"/>
        </w:r>
        <w:r>
          <w:instrText xml:space="preserve"> PAGEREF _Toc10585 \h </w:instrText>
        </w:r>
        <w:r>
          <w:fldChar w:fldCharType="separate"/>
        </w:r>
        <w:r>
          <w:t>50</w:t>
        </w:r>
        <w:r>
          <w:fldChar w:fldCharType="end"/>
        </w:r>
      </w:hyperlink>
    </w:p>
    <w:p>
      <w:pPr>
        <w:pStyle w:val="TOC2"/>
        <w:tabs>
          <w:tab w:val="right" w:leader="dot" w:pos="8306"/>
        </w:tabs>
      </w:pPr>
      <w:hyperlink w:anchor="_Toc9466" w:history="1">
        <w:r>
          <w:rPr>
            <w:rFonts w:ascii="仿宋" w:eastAsia="仿宋" w:hAnsi="仿宋" w:cs="仿宋" w:hint="eastAsia"/>
            <w:lang w:eastAsia="zh-CN"/>
          </w:rPr>
          <w:t>(一)、员工福利政策制定</w:t>
        </w:r>
        <w:r>
          <w:tab/>
        </w:r>
        <w:r>
          <w:fldChar w:fldCharType="begin"/>
        </w:r>
        <w:r>
          <w:instrText xml:space="preserve"> PAGEREF _Toc9466 \h </w:instrText>
        </w:r>
        <w:r>
          <w:fldChar w:fldCharType="separate"/>
        </w:r>
        <w:r>
          <w:t>50</w:t>
        </w:r>
        <w:r>
          <w:fldChar w:fldCharType="end"/>
        </w:r>
      </w:hyperlink>
    </w:p>
    <w:p>
      <w:pPr>
        <w:pStyle w:val="TOC2"/>
        <w:tabs>
          <w:tab w:val="right" w:leader="dot" w:pos="8306"/>
        </w:tabs>
      </w:pPr>
      <w:hyperlink w:anchor="_Toc21068" w:history="1">
        <w:r>
          <w:rPr>
            <w:rFonts w:ascii="仿宋" w:eastAsia="仿宋" w:hAnsi="仿宋" w:cs="仿宋" w:hint="eastAsia"/>
            <w:lang w:eastAsia="zh-CN"/>
          </w:rPr>
          <w:t>(二)、团队建设活动规划</w:t>
        </w:r>
        <w:r>
          <w:tab/>
        </w:r>
        <w:r>
          <w:fldChar w:fldCharType="begin"/>
        </w:r>
        <w:r>
          <w:instrText xml:space="preserve"> PAGEREF _Toc21068 \h </w:instrText>
        </w:r>
        <w:r>
          <w:fldChar w:fldCharType="separate"/>
        </w:r>
        <w:r>
          <w:t>51</w:t>
        </w:r>
        <w:r>
          <w:fldChar w:fldCharType="end"/>
        </w:r>
      </w:hyperlink>
    </w:p>
    <w:p>
      <w:pPr>
        <w:pStyle w:val="TOC2"/>
        <w:tabs>
          <w:tab w:val="right" w:leader="dot" w:pos="8306"/>
        </w:tabs>
      </w:pPr>
      <w:hyperlink w:anchor="_Toc16107" w:history="1">
        <w:r>
          <w:rPr>
            <w:rFonts w:ascii="仿宋" w:eastAsia="仿宋" w:hAnsi="仿宋" w:cs="仿宋" w:hint="eastAsia"/>
            <w:lang w:eastAsia="zh-CN"/>
          </w:rPr>
          <w:t>(三)、员工关怀与激励措施</w:t>
        </w:r>
        <w:r>
          <w:tab/>
        </w:r>
        <w:r>
          <w:fldChar w:fldCharType="begin"/>
        </w:r>
        <w:r>
          <w:instrText xml:space="preserve"> PAGEREF _Toc16107 \h </w:instrText>
        </w:r>
        <w:r>
          <w:fldChar w:fldCharType="separate"/>
        </w:r>
        <w:r>
          <w:t>52</w:t>
        </w:r>
        <w:r>
          <w:fldChar w:fldCharType="end"/>
        </w:r>
      </w:hyperlink>
    </w:p>
    <w:p>
      <w:pPr>
        <w:pStyle w:val="TOC2"/>
        <w:tabs>
          <w:tab w:val="right" w:leader="dot" w:pos="8306"/>
        </w:tabs>
      </w:pPr>
      <w:hyperlink w:anchor="_Toc23485" w:history="1">
        <w:r>
          <w:rPr>
            <w:rFonts w:ascii="仿宋" w:eastAsia="仿宋" w:hAnsi="仿宋" w:cs="仿宋" w:hint="eastAsia"/>
            <w:lang w:eastAsia="zh-CN"/>
          </w:rPr>
          <w:t>(四)、团队文化与价值观塑造</w:t>
        </w:r>
        <w:r>
          <w:tab/>
        </w:r>
        <w:r>
          <w:fldChar w:fldCharType="begin"/>
        </w:r>
        <w:r>
          <w:instrText xml:space="preserve"> PAGEREF _Toc23485 \h </w:instrText>
        </w:r>
        <w:r>
          <w:fldChar w:fldCharType="separate"/>
        </w:r>
        <w:r>
          <w:t>53</w:t>
        </w:r>
        <w:r>
          <w:fldChar w:fldCharType="end"/>
        </w:r>
      </w:hyperlink>
    </w:p>
    <w:p>
      <w:pPr>
        <w:pStyle w:val="TOC1"/>
        <w:tabs>
          <w:tab w:val="right" w:leader="dot" w:pos="8306"/>
        </w:tabs>
      </w:pPr>
      <w:hyperlink w:anchor="_Toc23526" w:history="1">
        <w:r>
          <w:rPr>
            <w:rFonts w:ascii="仿宋" w:eastAsia="仿宋" w:hAnsi="仿宋" w:cs="仿宋" w:hint="eastAsia"/>
            <w:lang w:eastAsia="zh-CN"/>
          </w:rPr>
          <w:t>十二、市场营销与品牌推广</w:t>
        </w:r>
        <w:r>
          <w:tab/>
        </w:r>
        <w:r>
          <w:fldChar w:fldCharType="begin"/>
        </w:r>
        <w:r>
          <w:instrText xml:space="preserve"> PAGEREF _Toc23526 \h </w:instrText>
        </w:r>
        <w:r>
          <w:fldChar w:fldCharType="separate"/>
        </w:r>
        <w:r>
          <w:t>55</w:t>
        </w:r>
        <w:r>
          <w:fldChar w:fldCharType="end"/>
        </w:r>
      </w:hyperlink>
    </w:p>
    <w:p>
      <w:pPr>
        <w:pStyle w:val="TOC2"/>
        <w:tabs>
          <w:tab w:val="right" w:leader="dot" w:pos="8306"/>
        </w:tabs>
      </w:pPr>
      <w:hyperlink w:anchor="_Toc7034" w:history="1">
        <w:r>
          <w:rPr>
            <w:rFonts w:ascii="仿宋" w:eastAsia="仿宋" w:hAnsi="仿宋" w:cs="仿宋" w:hint="eastAsia"/>
            <w:lang w:eastAsia="zh-CN"/>
          </w:rPr>
          <w:t>(一)、市场调研与定位</w:t>
        </w:r>
        <w:r>
          <w:tab/>
        </w:r>
        <w:r>
          <w:fldChar w:fldCharType="begin"/>
        </w:r>
        <w:r>
          <w:instrText xml:space="preserve"> PAGEREF _Toc7034 \h </w:instrText>
        </w:r>
        <w:r>
          <w:fldChar w:fldCharType="separate"/>
        </w:r>
        <w:r>
          <w:t>55</w:t>
        </w:r>
        <w:r>
          <w:fldChar w:fldCharType="end"/>
        </w:r>
      </w:hyperlink>
    </w:p>
    <w:p>
      <w:pPr>
        <w:pStyle w:val="TOC2"/>
        <w:tabs>
          <w:tab w:val="right" w:leader="dot" w:pos="8306"/>
        </w:tabs>
      </w:pPr>
      <w:hyperlink w:anchor="_Toc4290" w:history="1">
        <w:r>
          <w:rPr>
            <w:rFonts w:ascii="仿宋" w:eastAsia="仿宋" w:hAnsi="仿宋" w:cs="仿宋" w:hint="eastAsia"/>
            <w:lang w:eastAsia="zh-CN"/>
          </w:rPr>
          <w:t>(二)、营销策略与推广计划</w:t>
        </w:r>
        <w:r>
          <w:tab/>
        </w:r>
        <w:r>
          <w:fldChar w:fldCharType="begin"/>
        </w:r>
        <w:r>
          <w:instrText xml:space="preserve"> PAGEREF _Toc4290 \h </w:instrText>
        </w:r>
        <w:r>
          <w:fldChar w:fldCharType="separate"/>
        </w:r>
        <w:r>
          <w:t>56</w:t>
        </w:r>
        <w:r>
          <w:fldChar w:fldCharType="end"/>
        </w:r>
      </w:hyperlink>
    </w:p>
    <w:p>
      <w:pPr>
        <w:pStyle w:val="TOC2"/>
        <w:tabs>
          <w:tab w:val="right" w:leader="dot" w:pos="8306"/>
        </w:tabs>
      </w:pPr>
      <w:hyperlink w:anchor="_Toc30804" w:history="1">
        <w:r>
          <w:rPr>
            <w:rFonts w:ascii="仿宋" w:eastAsia="仿宋" w:hAnsi="仿宋" w:cs="仿宋" w:hint="eastAsia"/>
            <w:lang w:eastAsia="zh-CN"/>
          </w:rPr>
          <w:t>(三)、客户关系管理</w:t>
        </w:r>
        <w:r>
          <w:tab/>
        </w:r>
        <w:r>
          <w:fldChar w:fldCharType="begin"/>
        </w:r>
        <w:r>
          <w:instrText xml:space="preserve"> PAGEREF _Toc30804 \h </w:instrText>
        </w:r>
        <w:r>
          <w:fldChar w:fldCharType="separate"/>
        </w:r>
        <w:r>
          <w:t>57</w:t>
        </w:r>
        <w:r>
          <w:fldChar w:fldCharType="end"/>
        </w:r>
      </w:hyperlink>
    </w:p>
    <w:p>
      <w:pPr>
        <w:pStyle w:val="TOC2"/>
        <w:tabs>
          <w:tab w:val="right" w:leader="dot" w:pos="8306"/>
        </w:tabs>
      </w:pPr>
      <w:hyperlink w:anchor="_Toc271" w:history="1">
        <w:r>
          <w:rPr>
            <w:rFonts w:ascii="仿宋" w:eastAsia="仿宋" w:hAnsi="仿宋" w:cs="仿宋" w:hint="eastAsia"/>
            <w:lang w:eastAsia="zh-CN"/>
          </w:rPr>
          <w:t>(四)、品牌建设与维护</w:t>
        </w:r>
        <w:r>
          <w:tab/>
        </w:r>
        <w:r>
          <w:fldChar w:fldCharType="begin"/>
        </w:r>
        <w:r>
          <w:instrText xml:space="preserve"> PAGEREF _Toc271 \h </w:instrText>
        </w:r>
        <w:r>
          <w:fldChar w:fldCharType="separate"/>
        </w:r>
        <w:r>
          <w:t>59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6320"/>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快速变化的商业世界中，硫代硫酸盐企业要想保持竞争力和持续增长，就必须进行战略层面的思考和规划。本方案提供了一个框架，帮助硫代硫酸盐企业识别核心竞争力，评估市场机会，以及制定必要的战略行动以保持其市场地位。本方案介绍了制定企业发展战略的方法论，并提出了一系列战略计划的关键元素。本文档明确指出，其内容仅供学习交流，不可做为商业用途。</w:t>
      </w:r>
    </w:p>
    <w:p>
      <w:pPr>
        <w:pStyle w:val="Heading1"/>
        <w:ind w:firstLine="560" w:firstLineChars="200"/>
        <w:rPr>
          <w:rFonts w:ascii="仿宋" w:eastAsia="仿宋" w:hAnsi="仿宋" w:cs="仿宋" w:hint="eastAsia"/>
          <w:sz w:val="28"/>
          <w:lang w:eastAsia="zh-CN"/>
        </w:rPr>
      </w:pPr>
      <w:bookmarkStart w:id="2" w:name="_Toc32092"/>
      <w:r>
        <w:rPr>
          <w:rFonts w:ascii="仿宋" w:eastAsia="仿宋" w:hAnsi="仿宋" w:cs="仿宋" w:hint="eastAsia"/>
          <w:sz w:val="28"/>
          <w:lang w:eastAsia="zh-CN"/>
        </w:rPr>
        <w:t>一、建设规划分析</w:t>
      </w:r>
      <w:bookmarkEnd w:id="2"/>
    </w:p>
    <w:p>
      <w:pPr>
        <w:pStyle w:val="Heading2"/>
        <w:rPr>
          <w:rFonts w:ascii="仿宋" w:eastAsia="仿宋" w:hAnsi="仿宋" w:cs="仿宋" w:hint="eastAsia"/>
          <w:lang w:eastAsia="zh-CN"/>
        </w:rPr>
      </w:pPr>
      <w:bookmarkStart w:id="3" w:name="_Toc2033"/>
      <w:r>
        <w:rPr>
          <w:rFonts w:ascii="仿宋" w:eastAsia="仿宋" w:hAnsi="仿宋" w:cs="仿宋" w:hint="eastAsia"/>
          <w:lang w:eastAsia="zh-CN"/>
        </w:rPr>
        <w:t>(一)、产品规划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一、产品方案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硫代硫酸盐项目产品方案的确定是基于多方面因素的综合考虑。我们充分考虑了国家及地方产业发展政策、市场需求状况、资源供应情况、企业资金筹措能力、生产工艺技术水平的先进程度以及硫代硫酸盐项目经济效益和投资风险性等方面。主要产品定位于XX，具体品种将灵活调整以适应市场需求的变化。年生产计划根据人员及装备生产能力水平，结合市场需求预测情况，并将产量和销量紧密匹配。本报告按照初步产品方案进行测算，基于确定的产品方案、建设规模和预测的XX产品价格，预计年产量为XXX，预计年产值为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二、营销策略</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坚持以市场需求为创业工作的核心，将硫代硫酸盐项目产品需求市场作为出发点和落脚点。根据市场的动态变化，我们将灵活调整产品结构，真正做到市场需求决定产品生产。市场热点在哪里，我们的创新工作就紧随其后。为了适应市场需求的变化，我们将合理确定硫代硫酸盐项目产品生产方案，并通过增加产品高附加值的方式，满足人们对硫代硫酸盐项目产品的多样需求。在市场变化中不断调整产品生产方案，是我们持续提高产品竞争力和满足市场需求的关键策略。</w:t>
      </w:r>
    </w:p>
    <w:p>
      <w:pPr>
        <w:pStyle w:val="Heading2"/>
        <w:ind w:firstLine="560" w:firstLineChars="200"/>
        <w:rPr>
          <w:rFonts w:ascii="仿宋" w:eastAsia="仿宋" w:hAnsi="仿宋" w:cs="仿宋" w:hint="eastAsia"/>
          <w:sz w:val="28"/>
          <w:lang w:eastAsia="zh-CN"/>
        </w:rPr>
      </w:pPr>
      <w:bookmarkStart w:id="4" w:name="_Toc27885"/>
      <w:r>
        <w:rPr>
          <w:rFonts w:ascii="仿宋" w:eastAsia="仿宋" w:hAnsi="仿宋" w:cs="仿宋" w:hint="eastAsia"/>
          <w:sz w:val="28"/>
          <w:lang w:eastAsia="zh-CN"/>
        </w:rPr>
        <w:t>(二)、建设规模</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该硫代硫酸盐项目总征地面积为XX平方米，相当于约XX亩，其中净用地面积为XX平方米，处于红线范围内，折合约XX亩。硫代硫酸盐项目规划的总建筑面积为XX平方米，其中规划建设主体工程占据XX平方米，计容建筑面积为XX平方米。预计建筑工程的投资将达到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硫代硫酸盐项目计划购置的设备总数为XX台（套），设备购置费用将达到XX万元。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硫代硫酸盐项目的计划总投资为XX万元，预计年实现的营业收入将达到XX万元。这一投资将为硫代硫酸盐项目提供充足的资金支持，确保硫代硫酸盐项目能够高效运营并实现可观的经济效益。</w:t>
      </w:r>
    </w:p>
    <w:p>
      <w:pPr>
        <w:pStyle w:val="Heading1"/>
        <w:ind w:firstLine="560" w:firstLineChars="200"/>
        <w:rPr>
          <w:rFonts w:ascii="仿宋" w:eastAsia="仿宋" w:hAnsi="仿宋" w:cs="仿宋" w:hint="eastAsia"/>
          <w:sz w:val="28"/>
          <w:lang w:eastAsia="zh-CN"/>
        </w:rPr>
      </w:pPr>
      <w:bookmarkStart w:id="5" w:name="_Toc759"/>
      <w:r>
        <w:rPr>
          <w:rFonts w:ascii="仿宋" w:eastAsia="仿宋" w:hAnsi="仿宋" w:cs="仿宋" w:hint="eastAsia"/>
          <w:sz w:val="28"/>
          <w:lang w:eastAsia="zh-CN"/>
        </w:rPr>
        <w:t>二、硫代硫酸盐项目建设地分析</w:t>
      </w:r>
      <w:bookmarkEnd w:id="5"/>
    </w:p>
    <w:p>
      <w:pPr>
        <w:pStyle w:val="Heading2"/>
        <w:rPr>
          <w:rFonts w:ascii="仿宋" w:eastAsia="仿宋" w:hAnsi="仿宋" w:cs="仿宋" w:hint="eastAsia"/>
          <w:lang w:eastAsia="zh-CN"/>
        </w:rPr>
      </w:pPr>
      <w:bookmarkStart w:id="6" w:name="_Toc14411"/>
      <w:r>
        <w:rPr>
          <w:rFonts w:ascii="仿宋" w:eastAsia="仿宋" w:hAnsi="仿宋" w:cs="仿宋" w:hint="eastAsia"/>
          <w:lang w:eastAsia="zh-CN"/>
        </w:rPr>
        <w:t>(一)、硫代硫酸盐项目选址原则</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确保硫代硫酸盐项目建设不会对周围环境造成污染，或者任何潜在的污染都将控制在国家法律和标准允许的范围内。硫代硫酸盐项目建设的区域将依据城市总体规划，以确保布局相对独立，便于进行科研、生产经营和管理活动。同时，硫代硫酸盐项目建设区域与城市建设地的联系也将得到全面考虑，以促使硫代硫酸盐项目与城市的发展更为协调。</w:t>
      </w:r>
    </w:p>
    <w:p>
      <w:pPr>
        <w:ind w:firstLine="560" w:firstLineChars="200"/>
        <w:rPr>
          <w:rFonts w:ascii="仿宋" w:eastAsia="仿宋" w:hAnsi="仿宋" w:cs="仿宋" w:hint="eastAsia"/>
          <w:sz w:val="28"/>
        </w:rPr>
      </w:pPr>
      <w:r>
        <w:rPr>
          <w:rFonts w:ascii="仿宋" w:eastAsia="仿宋" w:hAnsi="仿宋" w:cs="仿宋" w:hint="eastAsia"/>
          <w:sz w:val="28"/>
          <w:lang w:eastAsia="zh-CN"/>
        </w:rPr>
        <w:t>硫代硫酸盐项目建设方案将在满足硫代硫酸盐项目产品生产工艺、消防安全、环境保护卫生等要求的前提下，尽量合并建筑，以提高资源利用效率。在布置方面，将充分利用自然空间，贯彻执行“十分珍惜和合理利用土地”的基本国策，根据具体情况因地制宜，合理布置硫代硫酸盐项目建设，确保土地利用的合理性和可持续性。这样的硫代硫酸盐项目规划将确保在硫代硫酸盐项目建设和运营过程中对当地居民和社会不会造成不满和不良影响。</w:t>
      </w:r>
    </w:p>
    <w:p>
      <w:pPr>
        <w:pStyle w:val="Heading2"/>
        <w:ind w:firstLine="560" w:firstLineChars="200"/>
        <w:rPr>
          <w:rFonts w:ascii="仿宋" w:eastAsia="仿宋" w:hAnsi="仿宋" w:cs="仿宋" w:hint="eastAsia"/>
          <w:sz w:val="28"/>
          <w:lang w:eastAsia="zh-CN"/>
        </w:rPr>
      </w:pPr>
      <w:bookmarkStart w:id="7" w:name="_Toc7845"/>
      <w:r>
        <w:rPr>
          <w:rFonts w:ascii="仿宋" w:eastAsia="仿宋" w:hAnsi="仿宋" w:cs="仿宋" w:hint="eastAsia"/>
          <w:sz w:val="28"/>
          <w:lang w:eastAsia="zh-CN"/>
        </w:rPr>
        <w:t>(二)、硫代硫酸盐项目选址</w:t>
      </w:r>
      <w:bookmarkEnd w:id="7"/>
    </w:p>
    <w:p>
      <w:pPr>
        <w:ind w:firstLine="560" w:firstLineChars="200"/>
        <w:rPr>
          <w:rFonts w:ascii="仿宋" w:eastAsia="仿宋" w:hAnsi="仿宋" w:cs="仿宋" w:hint="eastAsia"/>
          <w:sz w:val="28"/>
        </w:rPr>
      </w:pP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硫代硫酸盐项目选址在</w:t>
      </w:r>
      <w:r>
        <w:rPr>
          <w:rFonts w:ascii="仿宋" w:eastAsia="仿宋" w:hAnsi="仿宋" w:cs="仿宋" w:hint="eastAsia"/>
          <w:sz w:val="28"/>
          <w:lang w:eastAsia="zh-CN"/>
        </w:rPr>
        <w:t xml:space="preserve"> xxx</w:t>
      </w:r>
      <w:r>
        <w:rPr>
          <w:rFonts w:ascii="仿宋" w:eastAsia="仿宋" w:hAnsi="仿宋" w:cs="仿宋" w:hint="eastAsia"/>
          <w:sz w:val="28"/>
          <w:lang w:eastAsia="zh-CN"/>
        </w:rPr>
        <w:t xml:space="preserve"> 产业示范园区，这一选址的决定经过了充分的论证和考量。首先，xxx</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产业示范园区作为地区内产业发展的重要引擎，具备了先进的基础设施和产业配套条件，为硫代硫酸盐项目的顺利开展提供了有力支持。其次，该示范园区拥有便捷的交通网络和优越的地理位置，有利于原材料供应、产品流通以及人员往来，提高了硫代硫酸盐项目的运营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此外，xxx 产业示范园区还注重生态环保和绿色发展，与硫代硫酸盐项目的环保理念高度契合。选址于示范园区，不仅可以有效整合各类资源，降低硫代硫酸盐项目建设和运营的成本，同时也有助于提升硫代硫酸盐项目的整体竞争力。综合考虑产业集聚效应、交通便捷性以及生态环保等多方面因素，选址于 xxx 产业示范园区对硫代硫酸盐项目的可持续发展具有积极的促进作用。</w:t>
      </w:r>
    </w:p>
    <w:p>
      <w:pPr>
        <w:pStyle w:val="Heading2"/>
        <w:ind w:firstLine="560" w:firstLineChars="200"/>
        <w:rPr>
          <w:rFonts w:ascii="仿宋" w:eastAsia="仿宋" w:hAnsi="仿宋" w:cs="仿宋" w:hint="eastAsia"/>
          <w:sz w:val="28"/>
          <w:lang w:eastAsia="zh-CN"/>
        </w:rPr>
      </w:pPr>
      <w:bookmarkStart w:id="8" w:name="_Toc21125"/>
      <w:r>
        <w:rPr>
          <w:rFonts w:ascii="仿宋" w:eastAsia="仿宋" w:hAnsi="仿宋" w:cs="仿宋" w:hint="eastAsia"/>
          <w:sz w:val="28"/>
          <w:lang w:eastAsia="zh-CN"/>
        </w:rPr>
        <w:t>(三)、建设条件分析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硫代硫酸盐项目承办单位目前资产运营状况良好，财务管理制度健全且完善，企业财务雄厚。凭借卓越的产品质量、科学的管理模式以及灵活畅通的销售网络，该单位连年实现盈利，为硫代硫酸盐项目建设提供充足的计划自筹资金。当地人民政府和主管部门高度重视硫代硫酸盐项目建设，土地、规划、建设等管理部门提出了切实可行的实施方案和保障措施，并给予充分的认可。此外，硫代硫酸盐项目建设区域拥有充足的水、电、气等资源供给，足以满足硫代硫酸盐项目正常生产的需求。</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投资硫代硫酸盐项目可依托硫代硫酸盐项目建设地成熟的公用工程、辅助工程、储运设施等富余资源，同时拥有丰富的劳动力资源和完善的社会服务体系。这将有助于加速硫代硫酸盐项目建设进度，降低建设成本，实现硫代硫酸盐项目投资的节约，提升硫代硫酸盐项目承办单位的综合经济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硫代硫酸盐项目承办单位具备一大批丰富经验的硫代硫酸盐项目产品生产专业技术和管理人才。通过引进和内部培养，形成了一个研究方向多元、完整的专业研发团队，包括核心技术专家、关键技术骨干和一般技术人员，构建了完整的人才梯队。该单位在当地相关行业拥有显著的人才优势。与此同时，硫代硫酸盐项目承办单位还与多家科研院所建立了长期的合作关系，并设立了向科研开发倾斜的奖励机制，每年投入专项资金用于重点产品和关键工艺的研发奖励。这为硫代硫酸盐项目的科研创新提供了有力的支持。</w:t>
      </w:r>
    </w:p>
    <w:p>
      <w:pPr>
        <w:pStyle w:val="Heading2"/>
        <w:ind w:firstLine="560" w:firstLineChars="200"/>
        <w:rPr>
          <w:rFonts w:ascii="仿宋" w:eastAsia="仿宋" w:hAnsi="仿宋" w:cs="仿宋" w:hint="eastAsia"/>
          <w:sz w:val="28"/>
          <w:lang w:eastAsia="zh-CN"/>
        </w:rPr>
      </w:pPr>
      <w:bookmarkStart w:id="9" w:name="_Toc21578"/>
      <w:r>
        <w:rPr>
          <w:rFonts w:ascii="仿宋" w:eastAsia="仿宋" w:hAnsi="仿宋" w:cs="仿宋" w:hint="eastAsia"/>
          <w:sz w:val="28"/>
          <w:lang w:eastAsia="zh-CN"/>
        </w:rPr>
        <w:t>(四)、用地控制指标</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硫代硫酸盐项目选址于 xxx 产业示范园区，关于用地控制指标的规划与管理，本硫代硫酸盐项目将严格遵循国家和地方的相关法规和标准。用地控制指标包括但不限于以下几个方面：</w:t>
      </w:r>
    </w:p>
    <w:p>
      <w:pPr>
        <w:ind w:firstLine="560" w:firstLineChars="200"/>
        <w:rPr>
          <w:rFonts w:ascii="仿宋" w:eastAsia="仿宋" w:hAnsi="仿宋" w:cs="仿宋" w:hint="eastAsia"/>
          <w:sz w:val="28"/>
        </w:rPr>
      </w:pPr>
      <w:r>
        <w:rPr>
          <w:rFonts w:ascii="仿宋" w:eastAsia="仿宋" w:hAnsi="仿宋" w:cs="仿宋" w:hint="eastAsia"/>
          <w:sz w:val="28"/>
          <w:lang w:eastAsia="zh-CN"/>
        </w:rPr>
        <w:t>1. 建筑物基底占地面积： 硫代硫酸盐项目将严格按照规划建设主体工程的需要，确保建筑物基底占地面积在符合法规的范围内，以最大限度地利用土地，提高用地利用效率。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建筑密度： 根据示范园区的总体规划，硫代硫酸盐项目将遵循相应的建筑密度标准，合理规划建设，保障硫代硫酸盐项目建设的紧凑性和高效性。</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绿化率：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在硫代硫酸盐项目建设中，将注重绿化工作，确保绿化率达到或超过规划要求。通过科学合理的绿化设计，提升硫代硫酸盐项目周边的生态环境，使其更加宜居宜业。</w:t>
      </w:r>
    </w:p>
    <w:p>
      <w:pPr>
        <w:ind w:firstLine="560" w:firstLineChars="200"/>
        <w:rPr>
          <w:rFonts w:ascii="仿宋" w:eastAsia="仿宋" w:hAnsi="仿宋" w:cs="仿宋" w:hint="eastAsia"/>
          <w:sz w:val="28"/>
        </w:rPr>
      </w:pPr>
      <w:r>
        <w:rPr>
          <w:rFonts w:ascii="仿宋" w:eastAsia="仿宋" w:hAnsi="仿宋" w:cs="仿宋" w:hint="eastAsia"/>
          <w:sz w:val="28"/>
          <w:lang w:eastAsia="zh-CN"/>
        </w:rPr>
        <w:t>4. 建筑高度： 遵循规划规定的建筑高度限制，确保建筑在垂直空间的合理利用，不超过规划范围，保持与周边建筑的协调性。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地上层数和地下层数： 硫代硫酸盐项目将根据规划要求，合理规划地上和地下层数，确保建设的稳定性和安全性。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其他控制要素： 根据示范园区的具体规划和相关法规，硫代硫酸盐项目还将遵循其他用地控制指标，如建筑线、退让线等，确保硫代硫酸盐项目的建设与周边环境的和谐相处。</w:t>
      </w:r>
    </w:p>
    <w:p>
      <w:pPr>
        <w:pStyle w:val="Heading2"/>
        <w:ind w:firstLine="560" w:firstLineChars="200"/>
        <w:rPr>
          <w:rFonts w:ascii="仿宋" w:eastAsia="仿宋" w:hAnsi="仿宋" w:cs="仿宋" w:hint="eastAsia"/>
          <w:sz w:val="28"/>
          <w:lang w:eastAsia="zh-CN"/>
        </w:rPr>
      </w:pPr>
      <w:bookmarkStart w:id="10" w:name="_Toc16447"/>
      <w:r>
        <w:rPr>
          <w:rFonts w:ascii="仿宋" w:eastAsia="仿宋" w:hAnsi="仿宋" w:cs="仿宋" w:hint="eastAsia"/>
          <w:sz w:val="28"/>
          <w:lang w:eastAsia="zh-CN"/>
        </w:rPr>
        <w:t>(五)、用地总体要求</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在本期工程硫代硫酸盐项目的建设规划中，涉及到一系列关键的建设指标，这些指标将有助于确保硫代硫酸盐项目的合理规划和高效建设。具体而言：</w:t>
      </w:r>
    </w:p>
    <w:p>
      <w:pPr>
        <w:ind w:firstLine="560" w:firstLineChars="200"/>
        <w:rPr>
          <w:rFonts w:ascii="仿宋" w:eastAsia="仿宋" w:hAnsi="仿宋" w:cs="仿宋" w:hint="eastAsia"/>
          <w:sz w:val="28"/>
        </w:rPr>
      </w:pPr>
      <w:r>
        <w:rPr>
          <w:rFonts w:ascii="仿宋" w:eastAsia="仿宋" w:hAnsi="仿宋" w:cs="仿宋" w:hint="eastAsia"/>
          <w:sz w:val="28"/>
          <w:lang w:eastAsia="zh-CN"/>
        </w:rPr>
        <w:t>1. 建筑系数： 本期工程硫代硫酸盐项目的建筑系数为XXX%。该系数是对硫代硫酸盐项目建筑面积与用地面积的比例控制，通过设定合理的建筑系数，可以确保硫代硫酸盐项目在有限的用地资源下实现最大的建筑利用率，达到用地经济效益的最佳平衡。</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2. 建筑容积率： 硫代硫酸盐项目的建筑容积率为XXX。该率值衡量了建筑物总体积与用地面积的比例，是规划中用来控制建筑高度和密度的关键参数。通过合理控制建筑容积率，可以在确保建筑物结构合理的同时，使硫代硫酸盐项目整体外观更协调。</w:t>
      </w:r>
    </w:p>
    <w:p>
      <w:pPr>
        <w:ind w:firstLine="560" w:firstLineChars="200"/>
        <w:rPr>
          <w:rFonts w:ascii="仿宋" w:eastAsia="仿宋" w:hAnsi="仿宋" w:cs="仿宋" w:hint="eastAsia"/>
          <w:sz w:val="28"/>
        </w:rPr>
      </w:pPr>
      <w:r>
        <w:rPr>
          <w:rFonts w:ascii="仿宋" w:eastAsia="仿宋" w:hAnsi="仿宋" w:cs="仿宋" w:hint="eastAsia"/>
          <w:sz w:val="28"/>
          <w:lang w:eastAsia="zh-CN"/>
        </w:rPr>
        <w:t>3. 绿化覆盖率： 为保护自然环境和提升硫代硫酸盐项目的生态品质，本期工程硫代硫酸盐项目将严格执行绿化覆盖率标准，目标值为XXX%。这意味着在硫代硫酸盐项目建设区域，将有相应的绿化面积，以促进生态平衡、改善空气质量，并提供良好的休闲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4. 固定资产投资强度： 本期工程硫代硫酸盐项目的固定资产投资强度为XXX万元/亩。该指标表征了每亩土地上的固定资产投资额，是评估硫代硫酸盐项目投资规模的重要参考。通过科学合理地控制投资强度，可以实现资金的有效利用，确保硫代硫酸盐项目的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这些建设规划指标将有助于硫代硫酸盐项目在建设过程中充分考虑资源利用效率、环境保护、投资效益等多个方面，实现可持续发展的目标。</w:t>
      </w:r>
    </w:p>
    <w:p>
      <w:pPr>
        <w:pStyle w:val="Heading2"/>
        <w:ind w:firstLine="560" w:firstLineChars="200"/>
        <w:rPr>
          <w:rFonts w:ascii="仿宋" w:eastAsia="仿宋" w:hAnsi="仿宋" w:cs="仿宋" w:hint="eastAsia"/>
          <w:sz w:val="28"/>
          <w:lang w:eastAsia="zh-CN"/>
        </w:rPr>
      </w:pPr>
      <w:bookmarkStart w:id="11" w:name="_Toc3136"/>
      <w:r>
        <w:rPr>
          <w:rFonts w:ascii="仿宋" w:eastAsia="仿宋" w:hAnsi="仿宋" w:cs="仿宋" w:hint="eastAsia"/>
          <w:sz w:val="28"/>
          <w:lang w:eastAsia="zh-CN"/>
        </w:rPr>
        <w:t>(六)、节约用地措施</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为有效利用土地资源，采取以下措施：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1. 大跨度连跨厂房设计：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采用大跨度连跨厂房布局，有助于方便生产设备的布置，提高厂房面积的利用率。这种设计能够最大程度地减少结构支撑柱，从而节约土地资源。</w:t>
      </w:r>
    </w:p>
    <w:p>
      <w:pPr>
        <w:ind w:firstLine="560" w:firstLineChars="200"/>
        <w:rPr>
          <w:rFonts w:ascii="仿宋" w:eastAsia="仿宋" w:hAnsi="仿宋" w:cs="仿宋" w:hint="eastAsia"/>
          <w:sz w:val="28"/>
        </w:rPr>
      </w:pPr>
      <w:r>
        <w:rPr>
          <w:rFonts w:ascii="仿宋" w:eastAsia="仿宋" w:hAnsi="仿宋" w:cs="仿宋" w:hint="eastAsia"/>
          <w:sz w:val="28"/>
          <w:lang w:eastAsia="zh-CN"/>
        </w:rPr>
        <w:t>2. 简易货架优化仓库布局：</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在原料及辅助材料仓库采用简易货架，通过合理布局提高库房的面积和空间利用率。这不仅有效地优化了仓库存储结构，还达到了节约土地资源的目的。</w:t>
      </w:r>
    </w:p>
    <w:p>
      <w:pPr>
        <w:ind w:firstLine="560" w:firstLineChars="200"/>
        <w:rPr>
          <w:rFonts w:ascii="仿宋" w:eastAsia="仿宋" w:hAnsi="仿宋" w:cs="仿宋" w:hint="eastAsia"/>
          <w:sz w:val="28"/>
        </w:rPr>
      </w:pPr>
      <w:r>
        <w:rPr>
          <w:rFonts w:ascii="仿宋" w:eastAsia="仿宋" w:hAnsi="仿宋" w:cs="仿宋" w:hint="eastAsia"/>
          <w:sz w:val="28"/>
          <w:lang w:eastAsia="zh-CN"/>
        </w:rPr>
        <w:t>3. 外协(外购)方式降低建设需求：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硫代硫酸盐项目建设坚持专业化生产原则，将主要生产过程和关键工序由硫代硫酸盐项目承办单位实施，而其他附属商品则采用外协(外购)的方式。通过这种方式，能够避免重复建设，达到节约资金、能源和土地资源的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4. 高效生产工艺和设备布局：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硫代硫酸盐项目采用高效的生产工艺，通过科学的设备布局，最大程度地提高生产效率，减少生产空间的浪费。这包括合理的生产流程设计，避免不必要的物料运输和仓储空间占用。</w:t>
      </w:r>
    </w:p>
    <w:p>
      <w:pPr>
        <w:ind w:firstLine="560" w:firstLineChars="200"/>
        <w:rPr>
          <w:rFonts w:ascii="仿宋" w:eastAsia="仿宋" w:hAnsi="仿宋" w:cs="仿宋" w:hint="eastAsia"/>
          <w:sz w:val="28"/>
        </w:rPr>
      </w:pPr>
      <w:r>
        <w:rPr>
          <w:rFonts w:ascii="仿宋" w:eastAsia="仿宋" w:hAnsi="仿宋" w:cs="仿宋" w:hint="eastAsia"/>
          <w:sz w:val="28"/>
          <w:lang w:eastAsia="zh-CN"/>
        </w:rPr>
        <w:t>5. 绿色建筑和生态环境保护：</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在土地利用的同时，硫代硫酸盐项目建设将考虑采用绿色建筑理念，以减少对周边自然环境的影响。通过科学规划和环保措施，确保生产过程中的废弃物处理和排放均符合环保标准，最小化对土地生态的冲击。</w:t>
      </w:r>
    </w:p>
    <w:p>
      <w:pPr>
        <w:ind w:firstLine="560" w:firstLineChars="200"/>
        <w:rPr>
          <w:rFonts w:ascii="仿宋" w:eastAsia="仿宋" w:hAnsi="仿宋" w:cs="仿宋" w:hint="eastAsia"/>
          <w:sz w:val="28"/>
        </w:rPr>
      </w:pPr>
      <w:r>
        <w:rPr>
          <w:rFonts w:ascii="仿宋" w:eastAsia="仿宋" w:hAnsi="仿宋" w:cs="仿宋" w:hint="eastAsia"/>
          <w:sz w:val="28"/>
          <w:lang w:eastAsia="zh-CN"/>
        </w:rPr>
        <w:t>6. 资源综合利用：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在生产过程中，硫代硫酸盐项目将注重资源的综合利用，减少废弃物的产生。通过回收再利用、能源回收等手段，最大化地减少对新资源的依赖，实现对土地资源的更为有效的利用。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7. 智能化管理系统的引入：</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引入智能化的生产管理系统，通过精准的数据分析和优化，降低生产中的浪费，包括原材料、能源和生产空间的浪费。这有助于更加智能、高效地利用土地资源。</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以上综合措施的有机结合，硫代硫酸盐项目建设在土地资源的规划和使用上不仅注重高效性和科技性，同时保持对生态环境的尊重。这种全方位的土地资源节约措施将有助于硫代硫酸盐项目的可持续发展和为社会创造更多的经济效益。</w:t>
      </w:r>
    </w:p>
    <w:p>
      <w:pPr>
        <w:pStyle w:val="Heading2"/>
        <w:ind w:firstLine="560" w:firstLineChars="200"/>
        <w:rPr>
          <w:rFonts w:ascii="仿宋" w:eastAsia="仿宋" w:hAnsi="仿宋" w:cs="仿宋" w:hint="eastAsia"/>
          <w:sz w:val="28"/>
          <w:lang w:eastAsia="zh-CN"/>
        </w:rPr>
      </w:pPr>
      <w:bookmarkStart w:id="12" w:name="_Toc3468"/>
      <w:r>
        <w:rPr>
          <w:rFonts w:ascii="仿宋" w:eastAsia="仿宋" w:hAnsi="仿宋" w:cs="仿宋" w:hint="eastAsia"/>
          <w:sz w:val="28"/>
          <w:lang w:eastAsia="zh-CN"/>
        </w:rPr>
        <w:t>(七)、总图布置方案</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在硫代硫酸盐项目规划中，总图布置方案是确保各个组成部分协调有序、高效运作的关键。以下是总图布置方案的主要考虑因素：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1. 整体布局设计：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硫代硫酸盐项目整体布局应基于高效生产流程和员工流动，确保各功能区域之间协调有序。</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确定主要生产区、仓储区、办公区、设备区等功能分区，使得生产过程流畅无阻。</w:t>
      </w:r>
    </w:p>
    <w:p>
      <w:pPr>
        <w:ind w:firstLine="560" w:firstLineChars="200"/>
        <w:rPr>
          <w:rFonts w:ascii="仿宋" w:eastAsia="仿宋" w:hAnsi="仿宋" w:cs="仿宋" w:hint="eastAsia"/>
          <w:sz w:val="28"/>
        </w:rPr>
      </w:pPr>
      <w:r>
        <w:rPr>
          <w:rFonts w:ascii="仿宋" w:eastAsia="仿宋" w:hAnsi="仿宋" w:cs="仿宋" w:hint="eastAsia"/>
          <w:sz w:val="28"/>
          <w:lang w:eastAsia="zh-CN"/>
        </w:rPr>
        <w:t>2. 生产设备配置：</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根据生产工艺和流程，合理配置生产设备，确保设备之间的协同作业，提高生产效率。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采用智能化设备和自动化生产线，最大限度地减少人力介入，提高生产精度和速度。</w:t>
      </w:r>
    </w:p>
    <w:p>
      <w:pPr>
        <w:ind w:firstLine="560" w:firstLineChars="200"/>
        <w:rPr>
          <w:rFonts w:ascii="仿宋" w:eastAsia="仿宋" w:hAnsi="仿宋" w:cs="仿宋" w:hint="eastAsia"/>
          <w:sz w:val="28"/>
        </w:rPr>
      </w:pPr>
      <w:r>
        <w:rPr>
          <w:rFonts w:ascii="仿宋" w:eastAsia="仿宋" w:hAnsi="仿宋" w:cs="仿宋" w:hint="eastAsia"/>
          <w:sz w:val="28"/>
          <w:lang w:eastAsia="zh-CN"/>
        </w:rPr>
        <w:t>3. 绿色空间和环保设计：</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 xml:space="preserve">    在总图布置中考虑绿色空间，例如绿化带和景观区域，提升工作环境质量，有助于员工的生产效率和生活舒适度。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引入环保设计理念，设置废弃物处理区域和环保设施，确保硫代硫酸盐项目对环境的影响最小化。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交通与物流通道规划：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设计合理的交通通道，确保原材料、半成品和成品之间的便捷运输，减少内部物流时间。</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考虑员工出行和物流车辆的通行，制定合理的交通规划，确保交通流畅。</w:t>
      </w:r>
    </w:p>
    <w:p>
      <w:pPr>
        <w:ind w:firstLine="560" w:firstLineChars="200"/>
        <w:rPr>
          <w:rFonts w:ascii="仿宋" w:eastAsia="仿宋" w:hAnsi="仿宋" w:cs="仿宋" w:hint="eastAsia"/>
          <w:sz w:val="28"/>
        </w:rPr>
      </w:pPr>
      <w:r>
        <w:rPr>
          <w:rFonts w:ascii="仿宋" w:eastAsia="仿宋" w:hAnsi="仿宋" w:cs="仿宋" w:hint="eastAsia"/>
          <w:sz w:val="28"/>
          <w:lang w:eastAsia="zh-CN"/>
        </w:rPr>
        <w:t>5. 安全与紧急应对：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设置安全通道和紧急疏散通道，确保在紧急情况下员工能够快速有序地撤离。</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安排紧急设备和安全设备的布局，提高应急处理效率，确保硫代硫酸盐项目安全运行。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6. 未来扩建和更新考虑：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留出足够的空间，以便未来硫代硫酸盐项目扩建和设备更新。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采用模块化设计，方便未来根据业务需求进行灵活调整和拓展。</w:t>
      </w:r>
    </w:p>
    <w:p>
      <w:pPr>
        <w:ind w:firstLine="560" w:firstLineChars="200"/>
        <w:rPr>
          <w:rFonts w:ascii="仿宋" w:eastAsia="仿宋" w:hAnsi="仿宋" w:cs="仿宋" w:hint="eastAsia"/>
          <w:sz w:val="28"/>
        </w:rPr>
      </w:pPr>
      <w:r>
        <w:rPr>
          <w:rFonts w:ascii="仿宋" w:eastAsia="仿宋" w:hAnsi="仿宋" w:cs="仿宋" w:hint="eastAsia"/>
          <w:sz w:val="28"/>
          <w:lang w:eastAsia="zh-CN"/>
        </w:rPr>
        <w:t>总图布置方案应充分考虑以上因素，以确保硫代硫酸盐项目在运作中能够高效、安全、可持续地发展。该方案的设计应符合硫代硫酸盐项目的整体战略规划和长期发展目标。</w:t>
      </w:r>
    </w:p>
    <w:p>
      <w:pPr>
        <w:pStyle w:val="Heading2"/>
        <w:ind w:firstLine="560" w:firstLineChars="200"/>
        <w:rPr>
          <w:rFonts w:ascii="仿宋" w:eastAsia="仿宋" w:hAnsi="仿宋" w:cs="仿宋" w:hint="eastAsia"/>
          <w:sz w:val="28"/>
          <w:lang w:eastAsia="zh-CN"/>
        </w:rPr>
      </w:pPr>
      <w:bookmarkStart w:id="13" w:name="_Toc23278"/>
      <w:r>
        <w:rPr>
          <w:rFonts w:ascii="仿宋" w:eastAsia="仿宋" w:hAnsi="仿宋" w:cs="仿宋" w:hint="eastAsia"/>
          <w:sz w:val="28"/>
          <w:lang w:eastAsia="zh-CN"/>
        </w:rPr>
        <w:t>(八)、运输组成</w:t>
      </w:r>
      <w:bookmarkEnd w:id="13"/>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(一) 物流系统整体设计：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1. 在硫代硫酸盐项目建设规划区，注重实现物料流向的合理布局，使内部和外部运输形成高效的工作系统。通过统一考虑场内外运输、接卸和贮存，确保整个物流链条的连贯性和连续性。特别强调将场内外运输与车间内部运输紧密结合，以形成有机的整体物流系统。</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2. 采用送货制，选择合适的运输方式和路线，优化企业的物流组成。通过将企业的物料流动，从原材料输入到产品外运，以及车间内部各工序之间的物料流动作为整体系统进行设计，打造有机而高效的全场物料运输系统。</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场内运输系统设计：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1. 场内运输系统的设计应注重物料支撑状态的选择，以确保物料不落地，有利于搬运。运输线路的布置应最小化货流与人流的交叉，确保运输操作的安全。</w:t>
      </w:r>
    </w:p>
    <w:p>
      <w:pPr>
        <w:ind w:firstLine="560" w:firstLineChars="200"/>
        <w:rPr>
          <w:rFonts w:ascii="仿宋" w:eastAsia="仿宋" w:hAnsi="仿宋" w:cs="仿宋" w:hint="eastAsia"/>
          <w:sz w:val="28"/>
        </w:rPr>
      </w:pPr>
      <w:r>
        <w:rPr>
          <w:rFonts w:ascii="仿宋" w:eastAsia="仿宋" w:hAnsi="仿宋" w:cs="仿宋" w:hint="eastAsia"/>
          <w:sz w:val="28"/>
          <w:lang w:eastAsia="zh-CN"/>
        </w:rPr>
        <w:t>2. 场内运输主要包括原材料的卸车进库、生产过程中的原材料、半成品和成品的转运，以及成品的装车外运。这些任务由装载机、叉车和胶轮车承担，费用计入主车间设备配套费用中。本期工程硫代硫酸盐项目资源配置可满足场内运输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(三) 场外运输系统设计：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1. 场外运输主要包括原材料的供给和产品的外运。远距离运输采用汽车或铁路解决，而区域内社会运输力量充足，可以满足本期工程硫代硫酸盐项目场外远距离运输需求。</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2.</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短距离运输将利用社会运力解决，不考虑增加汽车运输设备。外部运输应充分依托社会运输力量，降低固定资产投资。主要产成品和大宗原材料的运输避免多次倒运，降低运输成本并提高效率。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(四) 运输方式选择：</w:t>
      </w:r>
    </w:p>
    <w:p>
      <w:pPr>
        <w:ind w:firstLine="560" w:firstLineChars="200"/>
        <w:rPr>
          <w:rFonts w:ascii="仿宋" w:eastAsia="仿宋" w:hAnsi="仿宋" w:cs="仿宋" w:hint="eastAsia"/>
          <w:sz w:val="28"/>
        </w:rPr>
      </w:pPr>
      <w:r>
        <w:rPr>
          <w:rFonts w:ascii="仿宋" w:eastAsia="仿宋" w:hAnsi="仿宋" w:cs="仿宋" w:hint="eastAsia"/>
          <w:sz w:val="28"/>
          <w:lang w:eastAsia="zh-CN"/>
        </w:rPr>
        <w:t>考虑到XX产品所涉及的原辅材料和成品运输需求较大，初步采用铁路运输与公路运输相结合的方式。此方式有望在运输成本和效率上取得平衡，确保原辅材料的顺畅运入和成品的高效运出。</w:t>
      </w:r>
    </w:p>
    <w:p>
      <w:pPr>
        <w:ind w:firstLine="560" w:firstLineChars="200"/>
        <w:rPr>
          <w:rFonts w:ascii="仿宋" w:eastAsia="仿宋" w:hAnsi="仿宋" w:cs="仿宋" w:hint="eastAsia"/>
          <w:sz w:val="28"/>
        </w:rPr>
      </w:pPr>
      <w:r>
        <w:rPr>
          <w:rFonts w:ascii="仿宋" w:eastAsia="仿宋" w:hAnsi="仿宋" w:cs="仿宋" w:hint="eastAsia"/>
          <w:sz w:val="28"/>
          <w:lang w:eastAsia="zh-CN"/>
        </w:rPr>
        <w:t>(五) 运输安全和效率：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1. 为确保运输的安全性，将采用合适的物料支撑状态，使搬运过程中物料不落地。在场内运输线路的设计中，注重降低货流与人流的交叉，从而保障运输操作的安全。</w:t>
      </w:r>
    </w:p>
    <w:p>
      <w:pPr>
        <w:ind w:firstLine="560" w:firstLineChars="200"/>
        <w:rPr>
          <w:rFonts w:ascii="仿宋" w:eastAsia="仿宋" w:hAnsi="仿宋" w:cs="仿宋" w:hint="eastAsia"/>
          <w:sz w:val="28"/>
        </w:rPr>
      </w:pPr>
      <w:r>
        <w:rPr>
          <w:rFonts w:ascii="仿宋" w:eastAsia="仿宋" w:hAnsi="仿宋" w:cs="仿宋" w:hint="eastAsia"/>
          <w:sz w:val="28"/>
          <w:lang w:eastAsia="zh-CN"/>
        </w:rPr>
        <w:t>2. 在场外运输方面，通过依托社会运输力量，降低多次倒运的可能性，减少运输过程中的风险。运输中应充分考虑物料稳定性和车辆运输条件，以确保产品在运输过程中的安全和完整性。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(六) 环保和社会影响：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1. 硫代硫酸盐项目选址位于XXX产业示范园区，将确保运输活动对周围环境不产生污染，且不超过国家法律和标准允许的范围。硫代硫酸盐项目建设区域布局相对独立，便于科研、生产和管理活动，同时与建成区有便捷联系，确保硫代硫酸盐项目的整体运营与周边社区和居民的和谐相处。</w:t>
      </w:r>
    </w:p>
    <w:p>
      <w:pPr>
        <w:ind w:firstLine="560" w:firstLineChars="200"/>
        <w:rPr>
          <w:rFonts w:ascii="仿宋" w:eastAsia="仿宋" w:hAnsi="仿宋" w:cs="仿宋" w:hint="eastAsia"/>
          <w:sz w:val="28"/>
        </w:rPr>
      </w:pPr>
      <w:r>
        <w:rPr>
          <w:rFonts w:ascii="仿宋" w:eastAsia="仿宋" w:hAnsi="仿宋" w:cs="仿宋" w:hint="eastAsia"/>
          <w:sz w:val="28"/>
          <w:lang w:eastAsia="zh-CN"/>
        </w:rPr>
        <w:t>2. 硫代硫酸盐项目建设方案将遵循土地利用的基本国策，采用因地制宜的方式进行合理布置，最大限度地减少土地利用的负面影响。</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(七) 运输成本优化：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1. 在运输方案设计中，采用合适的运输方式和路线，以优化物流组成。通过合并建筑和充分利用自然空间，减少运输线路的长度，降低运输成本。运输系统整体设计将追求经济性和效率，以提高硫代硫酸盐项目的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2. 外部运输将依托社会运输力量，降低固定资产投资，减少企业自身承担的运输成本。通过有效的物流管理，降低运输环节的费用，提高运输效率，从而实现成本的优化。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综合考虑了物流系统的整体设计、运输安全、环保和社会影响、运输成本优化等方面，硫代硫酸盐项目将致力于打造高效、安全、环保的物流体系，以支持硫代硫酸盐项目的顺利实施和可持续发展。</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4" w:name="_Toc15211"/>
      <w:r>
        <w:rPr>
          <w:rFonts w:ascii="仿宋" w:eastAsia="仿宋" w:hAnsi="仿宋" w:cs="仿宋" w:hint="eastAsia"/>
          <w:sz w:val="28"/>
          <w:lang w:eastAsia="zh-CN"/>
        </w:rPr>
        <w:t>(九)、选址综合评价</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硫代硫酸盐项目选址地理位置优越，交通便利，具有显著的区位优势。该地区通讯便捷，水资源丰富，能源供应充足，这为硫代硫酸盐项目的生产、运输和运营提供了便利条件。选址所在位置有利于获取所需的原材料和辅助材料，同时也方便成品的运输。因此，该区域是发展产品制造行业的理想场所。</w:t>
      </w:r>
    </w:p>
    <w:p>
      <w:pPr>
        <w:pStyle w:val="Heading1"/>
        <w:ind w:firstLine="560" w:firstLineChars="200"/>
        <w:rPr>
          <w:rFonts w:ascii="仿宋" w:eastAsia="仿宋" w:hAnsi="仿宋" w:cs="仿宋" w:hint="eastAsia"/>
          <w:sz w:val="28"/>
          <w:lang w:eastAsia="zh-CN"/>
        </w:rPr>
      </w:pPr>
      <w:bookmarkStart w:id="15" w:name="_Toc19132"/>
      <w:r>
        <w:rPr>
          <w:rFonts w:ascii="仿宋" w:eastAsia="仿宋" w:hAnsi="仿宋" w:cs="仿宋" w:hint="eastAsia"/>
          <w:sz w:val="28"/>
          <w:lang w:eastAsia="zh-CN"/>
        </w:rPr>
        <w:t>三、工艺先进性</w:t>
      </w:r>
      <w:bookmarkEnd w:id="15"/>
    </w:p>
    <w:p>
      <w:pPr>
        <w:pStyle w:val="Heading2"/>
        <w:rPr>
          <w:rFonts w:ascii="仿宋" w:eastAsia="仿宋" w:hAnsi="仿宋" w:cs="仿宋" w:hint="eastAsia"/>
          <w:lang w:eastAsia="zh-CN"/>
        </w:rPr>
      </w:pPr>
      <w:bookmarkStart w:id="16" w:name="_Toc10850"/>
      <w:r>
        <w:rPr>
          <w:rFonts w:ascii="仿宋" w:eastAsia="仿宋" w:hAnsi="仿宋" w:cs="仿宋" w:hint="eastAsia"/>
          <w:lang w:eastAsia="zh-CN"/>
        </w:rPr>
        <w:t>(一)、硫代硫酸盐项目建设期的原辅材料保障</w:t>
      </w:r>
      <w:bookmarkEnd w:id="16"/>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XX硫代硫酸盐项目在施工期间的原辅材料采购主要涵盖以下几个方面：钢材、木材、水泥以及各种建筑和装饰材料。硫代硫酸盐项目所在地周边市场拥有丰富的供应资源，有多家供货厂家和商户，能够满足硫代硫酸盐项目建设期间的原辅材料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其中，钢材是硫代硫酸盐项目施工不可或缺的主要材料之一，涵盖结构钢、型钢等多个种类，市场上存在多家专业生产厂家，提供了多样化的选择。木材作为建筑和装饰的重要原材料，周边供应商可提供各类木材品种，以满足硫代硫酸盐项目的具体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水泥是建筑施工中的基础材料，硫代硫酸盐项目所在地区有多家水泥生产厂家，保障了硫代硫酸盐项目对水泥的供应。此外，各种建筑及装饰材料，如砖瓦、涂料、地板等，也能在周边市场找到丰富的品种和供应商，确保硫代硫酸盐项目在施工过程中有足够的选择空间。</w:t>
      </w:r>
    </w:p>
    <w:p>
      <w:pPr>
        <w:pStyle w:val="Heading2"/>
        <w:ind w:firstLine="560" w:firstLineChars="200"/>
        <w:rPr>
          <w:rFonts w:ascii="仿宋" w:eastAsia="仿宋" w:hAnsi="仿宋" w:cs="仿宋" w:hint="eastAsia"/>
          <w:sz w:val="28"/>
          <w:lang w:eastAsia="zh-CN"/>
        </w:rPr>
      </w:pPr>
      <w:bookmarkStart w:id="17" w:name="_Toc17103"/>
      <w:r>
        <w:rPr>
          <w:rFonts w:ascii="仿宋" w:eastAsia="仿宋" w:hAnsi="仿宋" w:cs="仿宋" w:hint="eastAsia"/>
          <w:sz w:val="28"/>
          <w:lang w:eastAsia="zh-CN"/>
        </w:rPr>
        <w:t>(二)、硫代硫酸盐项目运营期的原辅材料采购与管理</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在硫代硫酸盐项目运营期，原辅材料的采购及管理是确保生产顺利进行和产品质量稳定的关键环节。以下是对该方面的运营策略：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分类仓库贮存：</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成品及包装材料将分别储存在各分类仓库内，实现合理分区，便于物料管理和快速取料。</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仓库的设计应考虑不同物品的存储条件，如温湿度要求，确保物料贮存环境符合标准。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2. 建立责任体系：</w:t>
      </w:r>
    </w:p>
    <w:p>
      <w:pPr>
        <w:ind w:firstLine="560" w:firstLineChars="200"/>
        <w:rPr>
          <w:rFonts w:ascii="仿宋" w:eastAsia="仿宋" w:hAnsi="仿宋" w:cs="仿宋" w:hint="eastAsia"/>
          <w:sz w:val="28"/>
        </w:rPr>
        <w:sectPr>
          <w:headerReference w:type="default" r:id="rId36"/>
          <w:footerReference w:type="default" r:id="rId37"/>
          <w:type w:val="nextPage"/>
          <w:pgSz w:w="11906" w:h="16838"/>
          <w:pgMar w:top="1440" w:right="1800" w:bottom="1440" w:left="1800" w:header="851" w:footer="992" w:gutter="0"/>
          <w:pgNumType w:start="17"/>
          <w:cols w:num="1" w:space="425"/>
          <w:titlePg w:val="0"/>
          <w:docGrid w:type="lines" w:linePitch="312" w:charSpace="0"/>
        </w:sect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设立明确的责任体系，明确各仓库管理人员的职责和权限，确保每位管理人员能够有效地负责所管辖仓库的物料管理。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实施定期培训，提升管理人员对物料存储、保管和出入库流程的专业水平。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3. 保障存放安全：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引入现代化安防系统，确保仓库存放安全，包括视频监控、入侵报警系统等。</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建立定期巡检和维护机制，确保仓库设施设备的正常运行，提高存放安全性。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4. IS09000 质量管理体系：</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硫代硫酸盐项目承办单位将建立健全IS09000质量管理和质量保证体系，确保物料的质量控制和管理符合国际标准。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引入先进的检验手段，包括质检设备和检测技术，以保障原辅材料的质量和符合产品生产的要求。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5. 稳定可靠的原料来源：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硫代硫酸盐项目在建设时应确保原料来源的稳定可靠，建立长期合作关系，确保建成后原料的质量和连续供应。</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开展供应商评估和管理，以确保供应商的质量体系和交货准时性。</w:t>
      </w:r>
    </w:p>
    <w:p>
      <w:pPr>
        <w:pStyle w:val="Heading2"/>
        <w:ind w:firstLine="560" w:firstLineChars="200"/>
        <w:rPr>
          <w:rFonts w:ascii="仿宋" w:eastAsia="仿宋" w:hAnsi="仿宋" w:cs="仿宋" w:hint="eastAsia"/>
          <w:sz w:val="28"/>
          <w:lang w:eastAsia="zh-CN"/>
        </w:rPr>
      </w:pPr>
      <w:bookmarkStart w:id="18" w:name="_Toc29398"/>
      <w:r>
        <w:rPr>
          <w:rFonts w:ascii="仿宋" w:eastAsia="仿宋" w:hAnsi="仿宋" w:cs="仿宋" w:hint="eastAsia"/>
          <w:sz w:val="28"/>
          <w:lang w:eastAsia="zh-CN"/>
        </w:rPr>
        <w:t>(三)、技术管理的独特特色</w:t>
      </w:r>
      <w:bookmarkEnd w:id="18"/>
    </w:p>
    <w:p>
      <w:pPr>
        <w:ind w:firstLine="560" w:firstLineChars="200"/>
        <w:rPr>
          <w:rFonts w:ascii="仿宋" w:eastAsia="仿宋" w:hAnsi="仿宋" w:cs="仿宋" w:hint="eastAsia"/>
          <w:sz w:val="28"/>
        </w:rPr>
        <w:sectPr>
          <w:headerReference w:type="default" r:id="rId38"/>
          <w:footerReference w:type="default" r:id="rId39"/>
          <w:type w:val="nextPage"/>
          <w:pgSz w:w="11906" w:h="16838"/>
          <w:pgMar w:top="1440" w:right="1800" w:bottom="1440" w:left="1800" w:header="851" w:footer="992" w:gutter="0"/>
          <w:pgNumType w:start="1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在硫代硫酸盐项目建设和实施阶段，我们将严格遵循环境保护和安全生产的“三同时”原则，全面贯彻环境保护、职业安全卫生、消防及节能等法律法规和相关措施。关键要求如下：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环境保护要求：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制定并执行符合环保法规的排放标准，确保硫代硫酸盐项目不对周边环境造成污染。</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引入清洁生产工艺，降低排放物和废弃物的产生，最大程度减轻对生态环境的压力。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2. 职业安全卫生：</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设立职业安全卫生管理体系，确保工作场所符合卫生标准，员工的职业健康得到保障。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提供必要的职业安全培训，确保员工熟悉并遵守安全操作规程，预防职业伤害。</w:t>
      </w:r>
    </w:p>
    <w:p>
      <w:pPr>
        <w:ind w:firstLine="560" w:firstLineChars="200"/>
        <w:rPr>
          <w:rFonts w:ascii="仿宋" w:eastAsia="仿宋" w:hAnsi="仿宋" w:cs="仿宋" w:hint="eastAsia"/>
          <w:sz w:val="28"/>
        </w:rPr>
      </w:pPr>
      <w:r>
        <w:rPr>
          <w:rFonts w:ascii="仿宋" w:eastAsia="仿宋" w:hAnsi="仿宋" w:cs="仿宋" w:hint="eastAsia"/>
          <w:sz w:val="28"/>
          <w:lang w:eastAsia="zh-CN"/>
        </w:rPr>
        <w:t>3. 消防安全：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采用先进的消防设备，建立健全的消防安全系统，确保一旦发生火灾能够迅速控制和扑灭。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定期进行消防演练，提高员工的火灾应急处理能力，确保人员安全撤离。</w:t>
      </w:r>
    </w:p>
    <w:p>
      <w:pPr>
        <w:ind w:firstLine="560" w:firstLineChars="200"/>
        <w:rPr>
          <w:rFonts w:ascii="仿宋" w:eastAsia="仿宋" w:hAnsi="仿宋" w:cs="仿宋" w:hint="eastAsia"/>
          <w:sz w:val="28"/>
        </w:rPr>
      </w:pPr>
      <w:r>
        <w:rPr>
          <w:rFonts w:ascii="仿宋" w:eastAsia="仿宋" w:hAnsi="仿宋" w:cs="仿宋" w:hint="eastAsia"/>
          <w:sz w:val="28"/>
          <w:lang w:eastAsia="zh-CN"/>
        </w:rPr>
        <w:t>4. 节能措施：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采用先进的节能设施，降低能源消耗，提高生产效益。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实施定期的能耗评估，优化生产流程，确保硫代硫酸盐项目运行成本最低化。</w:t>
      </w:r>
    </w:p>
    <w:p>
      <w:pPr>
        <w:ind w:firstLine="560" w:firstLineChars="200"/>
        <w:rPr>
          <w:rFonts w:ascii="仿宋" w:eastAsia="仿宋" w:hAnsi="仿宋" w:cs="仿宋" w:hint="eastAsia"/>
          <w:sz w:val="28"/>
        </w:rPr>
      </w:pPr>
      <w:r>
        <w:rPr>
          <w:rFonts w:ascii="仿宋" w:eastAsia="仿宋" w:hAnsi="仿宋" w:cs="仿宋" w:hint="eastAsia"/>
          <w:sz w:val="28"/>
          <w:lang w:eastAsia="zh-CN"/>
        </w:rPr>
        <w:t>二、硫代硫酸盐项目技术优势分析</w:t>
      </w:r>
    </w:p>
    <w:p>
      <w:pPr>
        <w:ind w:firstLine="560" w:firstLineChars="200"/>
        <w:rPr>
          <w:rFonts w:ascii="仿宋" w:eastAsia="仿宋" w:hAnsi="仿宋" w:cs="仿宋" w:hint="eastAsia"/>
          <w:sz w:val="28"/>
        </w:rPr>
        <w:sectPr>
          <w:headerReference w:type="default" r:id="rId40"/>
          <w:footerReference w:type="default" r:id="rId41"/>
          <w:type w:val="nextPage"/>
          <w:pgSz w:w="11906" w:h="16838"/>
          <w:pgMar w:top="1440" w:right="1800" w:bottom="1440" w:left="1800" w:header="851" w:footer="992" w:gutter="0"/>
          <w:pgNumType w:start="19"/>
          <w:cols w:num="1" w:space="425"/>
          <w:titlePg w:val="0"/>
          <w:docGrid w:type="lines" w:linePitch="312" w:charSpace="0"/>
        </w:sectPr>
      </w:pPr>
      <w:r>
        <w:rPr>
          <w:rFonts w:ascii="仿宋" w:eastAsia="仿宋" w:hAnsi="仿宋" w:cs="仿宋" w:hint="eastAsia"/>
          <w:sz w:val="28"/>
          <w:lang w:eastAsia="zh-CN"/>
        </w:rPr>
        <w:t>投资硫代硫酸盐项目具备明显的技术优势，主要体现在以下方面：</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先进的节能设施：</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硫代硫酸盐项目采用先进的节能设施，具备多规格产品转换能力，灵活适应市场需求，运行成本相对较低。</w:t>
      </w:r>
    </w:p>
    <w:p>
      <w:pPr>
        <w:ind w:firstLine="560" w:firstLineChars="200"/>
        <w:rPr>
          <w:rFonts w:ascii="仿宋" w:eastAsia="仿宋" w:hAnsi="仿宋" w:cs="仿宋" w:hint="eastAsia"/>
          <w:sz w:val="28"/>
        </w:rPr>
      </w:pPr>
      <w:r>
        <w:rPr>
          <w:rFonts w:ascii="仿宋" w:eastAsia="仿宋" w:hAnsi="仿宋" w:cs="仿宋" w:hint="eastAsia"/>
          <w:sz w:val="28"/>
          <w:lang w:eastAsia="zh-CN"/>
        </w:rPr>
        <w:t>2. 良好的技术适应性：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投资硫代硫酸盐项目所采用的技术与国内资源条件相适应，具有良好的技术适应性。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技术工艺路线简洁，能够适应国内主要原材料的特性，有利于流程控制和设备操作。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技术成熟和可靠性：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硫代硫酸盐项目采用的技术工艺路线在国内生产实践中已经得到验证，证明技术成熟可行。</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技术支援条件良好，具备较强的可靠性，有助于确保硫代硫酸盐项目的平稳运行和高效生产。</w:t>
      </w:r>
    </w:p>
    <w:p>
      <w:pPr>
        <w:pStyle w:val="Heading2"/>
        <w:ind w:firstLine="560" w:firstLineChars="200"/>
        <w:rPr>
          <w:rFonts w:ascii="仿宋" w:eastAsia="仿宋" w:hAnsi="仿宋" w:cs="仿宋" w:hint="eastAsia"/>
          <w:sz w:val="28"/>
          <w:lang w:eastAsia="zh-CN"/>
        </w:rPr>
      </w:pPr>
      <w:bookmarkStart w:id="19" w:name="_Toc22668"/>
      <w:r>
        <w:rPr>
          <w:rFonts w:ascii="仿宋" w:eastAsia="仿宋" w:hAnsi="仿宋" w:cs="仿宋" w:hint="eastAsia"/>
          <w:sz w:val="28"/>
          <w:lang w:eastAsia="zh-CN"/>
        </w:rPr>
        <w:t>(四)、硫代硫酸盐项目工艺技术设计方案</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(一) 工艺技术方案要求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在硫代硫酸盐项目的建设和实施过程中，我们坚定贯彻执行“三同时”原则，即环境保护、职业安全卫生、消防及节能的原则。我们注重遵循与环境保护、职业安全卫生、消防及节能相关的法律法规，并全面贯彻各项措施，确保硫代硫酸盐项目建设和运营过程中的环境友好、安全可控。</w:t>
      </w:r>
    </w:p>
    <w:p>
      <w:pPr>
        <w:ind w:firstLine="560" w:firstLineChars="200"/>
        <w:rPr>
          <w:rFonts w:ascii="仿宋" w:eastAsia="仿宋" w:hAnsi="仿宋" w:cs="仿宋" w:hint="eastAsia"/>
          <w:sz w:val="28"/>
        </w:rPr>
      </w:pPr>
      <w:r>
        <w:rPr>
          <w:rFonts w:ascii="仿宋" w:eastAsia="仿宋" w:hAnsi="仿宋" w:cs="仿宋" w:hint="eastAsia"/>
          <w:sz w:val="28"/>
          <w:lang w:eastAsia="zh-CN"/>
        </w:rPr>
        <w:t>(二) 硫代硫酸盐项目技术优势分析</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2" w:history="1">
        <w:r>
          <w:rPr>
            <w:rFonts w:ascii="SimSun" w:eastAsia="SimSun" w:hAnsi="SimSun" w:cs="SimSun"/>
            <w:b/>
            <w:bCs/>
            <w:color w:val="0000EE"/>
            <w:kern w:val="0"/>
            <w:sz w:val="30"/>
            <w:szCs w:val="30"/>
            <w:u w:val="single" w:color="0000EE"/>
          </w:rPr>
          <w:t>https://d.book118.com/316042015001010102</w:t>
        </w:r>
      </w:hyperlink>
    </w:p>
    <w:p>
      <w:pPr>
        <w:ind w:firstLine="560" w:firstLineChars="200"/>
        <w:rPr>
          <w:rFonts w:ascii="仿宋" w:eastAsia="仿宋" w:hAnsi="仿宋" w:cs="仿宋" w:hint="eastAsia"/>
          <w:sz w:val="28"/>
        </w:rPr>
      </w:pPr>
    </w:p>
    <w:sectPr>
      <w:headerReference w:type="default" r:id="rId43"/>
      <w:footerReference w:type="default" r:id="rId44"/>
      <w:type w:val="nextPage"/>
      <w:pgSz w:w="11906" w:h="16838"/>
      <w:pgMar w:top="1440" w:right="1800" w:bottom="1440" w:left="1800" w:header="851" w:footer="992" w:gutter="0"/>
      <w:pgNumType w:start="20"/>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20</w:t>
    </w:r>
    <w:r>
      <w:rPr>
        <w:rStyle w:val="PageNumber"/>
      </w:rPr>
      <w:fldChar w:fldCharType="end"/>
    </w:r>
  </w:p>
  <w:p>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20</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硫代硫酸盐项目建议书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硫代硫酸盐项目建议书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硫代硫酸盐项目建议书</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硫代硫酸盐项目建议书</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硫代硫酸盐项目建议书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硫代硫酸盐项目建议书</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硫代硫酸盐项目建议书</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硫代硫酸盐项目建议书</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硫代硫酸盐项目建议书</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硫代硫酸盐项目建议书</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硫代硫酸盐项目建议书</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硫代硫酸盐项目建议书</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硫代硫酸盐项目建议书</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硫代硫酸盐项目建议书</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硫代硫酸盐项目建议书</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硫代硫酸盐项目建议书</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硫代硫酸盐项目建议书</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硫代硫酸盐项目建议书</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硫代硫酸盐项目建议书</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硫代硫酸盐项目建议书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DB1047C"/>
    <w:rsid w:val="2CCA2C19"/>
    <w:rsid w:val="2DB1047C"/>
    <w:rsid w:val="79F24EA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footer" Target="footer19.xml" /><Relationship Id="rId42" Type="http://schemas.openxmlformats.org/officeDocument/2006/relationships/hyperlink" Target="https://d.book118.com/316042015001010102" TargetMode="Externa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theme" Target="theme/theme1.xml" /><Relationship Id="rId46"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28</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小丑</dc:creator>
  <cp:lastModifiedBy>小丑</cp:lastModifiedBy>
  <cp:revision>1</cp:revision>
  <dcterms:created xsi:type="dcterms:W3CDTF">2024-02-16T22:55:00Z</dcterms:created>
  <dcterms:modified xsi:type="dcterms:W3CDTF">2024-02-16T22:55:27Z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0A4548A14A414206880A3532B0B628D9_11</vt:lpwstr>
  </property>
  <property fmtid="{D5CDD505-2E9C-101B-9397-08002B2CF9AE}" pid="3" name="KSOProductBuildVer">
    <vt:lpwstr>2052-12.1.0.16250</vt:lpwstr>
  </property>
</Properties>
</file>