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55" w:line="280" w:lineRule="exact"/>
        <w:ind w:left="8034"/>
        <w:rPr>
          <w:rFonts w:ascii="Calibri" w:eastAsia="Calibri" w:hAnsi="Calibri" w:cs="Calibri"/>
          <w:sz w:val="20"/>
          <w:szCs w:val="20"/>
        </w:rPr>
      </w:pP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spacing w:line="290" w:lineRule="auto"/>
        <w:rPr>
          <w:rFonts w:ascii="Arial"/>
          <w:sz w:val="21"/>
        </w:rPr>
      </w:pPr>
    </w:p>
    <w:p>
      <w:pPr>
        <w:spacing w:line="291" w:lineRule="auto"/>
        <w:rPr>
          <w:rFonts w:ascii="Arial"/>
          <w:sz w:val="21"/>
        </w:rPr>
      </w:pPr>
    </w:p>
    <w:p>
      <w:pPr>
        <w:spacing w:line="291" w:lineRule="auto"/>
        <w:rPr>
          <w:rFonts w:ascii="Arial"/>
          <w:sz w:val="21"/>
        </w:rPr>
      </w:pPr>
    </w:p>
    <w:p>
      <w:pPr>
        <w:spacing w:before="101" w:line="226" w:lineRule="auto"/>
        <w:ind w:left="1880"/>
        <w:outlineLvl w:val="0"/>
        <w:rPr>
          <w:rFonts w:ascii="SimHei" w:eastAsia="SimHei" w:hAnsi="SimHei" w:cs="SimHei"/>
          <w:sz w:val="31"/>
          <w:szCs w:val="31"/>
        </w:rPr>
      </w:pPr>
      <w:r>
        <w:rPr>
          <w:rFonts w:ascii="SimHei" w:eastAsia="SimHei" w:hAnsi="SimHei" w:cs="SimHei"/>
          <w:spacing w:val="9"/>
          <w:sz w:val="31"/>
          <w:szCs w:val="31"/>
        </w:rPr>
        <w:t>产品碳足迹量化方法</w:t>
      </w:r>
      <w:r>
        <w:rPr>
          <w:rFonts w:ascii="SimHei" w:eastAsia="SimHei" w:hAnsi="SimHei" w:cs="SimHei"/>
          <w:spacing w:val="9"/>
          <w:sz w:val="31"/>
          <w:szCs w:val="31"/>
        </w:rPr>
        <w:t xml:space="preserve"> </w:t>
      </w:r>
      <w:r>
        <w:rPr>
          <w:rFonts w:ascii="SimHei" w:eastAsia="SimHei" w:hAnsi="SimHei" w:cs="SimHei"/>
          <w:spacing w:val="9"/>
          <w:sz w:val="31"/>
          <w:szCs w:val="31"/>
        </w:rPr>
        <w:t>风力发电机组叶片</w:t>
      </w:r>
    </w:p>
    <w:p>
      <w:pPr>
        <w:spacing w:line="264" w:lineRule="auto"/>
        <w:rPr>
          <w:rFonts w:ascii="Arial"/>
          <w:sz w:val="21"/>
        </w:rPr>
      </w:pPr>
    </w:p>
    <w:p>
      <w:pPr>
        <w:spacing w:line="265" w:lineRule="auto"/>
        <w:rPr>
          <w:rFonts w:ascii="Arial"/>
          <w:sz w:val="21"/>
        </w:rPr>
      </w:pPr>
    </w:p>
    <w:p>
      <w:pPr>
        <w:spacing w:before="65" w:line="231" w:lineRule="auto"/>
        <w:ind w:left="12"/>
        <w:rPr>
          <w:rFonts w:ascii="SimHei" w:eastAsia="SimHei" w:hAnsi="SimHei" w:cs="SimHei"/>
          <w:sz w:val="20"/>
          <w:szCs w:val="20"/>
        </w:rPr>
      </w:pPr>
      <w:r>
        <w:rPr>
          <w:rFonts w:ascii="SimHei" w:eastAsia="SimHei" w:hAnsi="SimHei" w:cs="SimHei"/>
          <w:spacing w:val="-3"/>
          <w:sz w:val="20"/>
          <w:szCs w:val="20"/>
        </w:rPr>
        <w:t>1</w:t>
      </w:r>
      <w:r>
        <w:rPr>
          <w:rFonts w:ascii="SimHei" w:eastAsia="SimHei" w:hAnsi="SimHei" w:cs="SimHei"/>
          <w:spacing w:val="11"/>
          <w:sz w:val="20"/>
          <w:szCs w:val="20"/>
        </w:rPr>
        <w:t xml:space="preserve">  </w:t>
      </w:r>
      <w:r>
        <w:rPr>
          <w:rFonts w:ascii="SimHei" w:eastAsia="SimHei" w:hAnsi="SimHei" w:cs="SimHei"/>
          <w:spacing w:val="-3"/>
          <w:sz w:val="20"/>
          <w:szCs w:val="20"/>
        </w:rPr>
        <w:t>范围</w:t>
      </w:r>
    </w:p>
    <w:p>
      <w:pPr>
        <w:spacing w:line="306" w:lineRule="auto"/>
        <w:rPr>
          <w:rFonts w:ascii="Arial"/>
          <w:sz w:val="21"/>
        </w:rPr>
      </w:pPr>
    </w:p>
    <w:p>
      <w:pPr>
        <w:pStyle w:val="BodyText"/>
        <w:spacing w:before="65" w:line="257" w:lineRule="auto"/>
        <w:ind w:left="1" w:firstLine="420"/>
      </w:pPr>
      <w:r>
        <w:rPr>
          <w:spacing w:val="9"/>
        </w:rPr>
        <w:t>本文件规定了风力发电机组叶片产品碳足迹量化的基本规则和要求，包括术语和定义、量化</w:t>
      </w:r>
      <w:r>
        <w:rPr>
          <w:spacing w:val="8"/>
        </w:rPr>
        <w:t>目的、</w:t>
      </w:r>
      <w:r>
        <w:t xml:space="preserve"> </w:t>
      </w:r>
      <w:r>
        <w:rPr>
          <w:spacing w:val="9"/>
        </w:rPr>
        <w:t>量化范围、清单分析、影响评价、结果解释、产品碳足迹报告和产品碳足迹声明等。</w:t>
      </w:r>
    </w:p>
    <w:p>
      <w:pPr>
        <w:pStyle w:val="BodyText"/>
        <w:spacing w:before="67" w:line="624" w:lineRule="exact"/>
        <w:ind w:left="422"/>
      </w:pPr>
      <w:r>
        <w:rPr>
          <w:spacing w:val="9"/>
          <w:position w:val="32"/>
        </w:rPr>
        <w:t>本文件适用于风力发电机组叶片的产品碳足迹评价。</w:t>
      </w:r>
    </w:p>
    <w:p>
      <w:pPr>
        <w:spacing w:before="1" w:line="229" w:lineRule="auto"/>
        <w:rPr>
          <w:rFonts w:ascii="SimHei" w:eastAsia="SimHei" w:hAnsi="SimHei" w:cs="SimHei"/>
          <w:sz w:val="20"/>
          <w:szCs w:val="20"/>
        </w:rPr>
      </w:pPr>
      <w:r>
        <w:rPr>
          <w:rFonts w:ascii="SimHei" w:eastAsia="SimHei" w:hAnsi="SimHei" w:cs="SimHei"/>
          <w:spacing w:val="7"/>
          <w:sz w:val="20"/>
          <w:szCs w:val="20"/>
        </w:rPr>
        <w:t>2</w:t>
      </w:r>
      <w:r>
        <w:rPr>
          <w:rFonts w:ascii="SimHei" w:eastAsia="SimHei" w:hAnsi="SimHei" w:cs="SimHei"/>
          <w:spacing w:val="7"/>
          <w:sz w:val="20"/>
          <w:szCs w:val="20"/>
        </w:rPr>
        <w:t xml:space="preserve">  </w:t>
      </w:r>
      <w:r>
        <w:rPr>
          <w:rFonts w:ascii="SimHei" w:eastAsia="SimHei" w:hAnsi="SimHei" w:cs="SimHei"/>
          <w:spacing w:val="7"/>
          <w:sz w:val="20"/>
          <w:szCs w:val="20"/>
        </w:rPr>
        <w:t>规范性引用文件</w:t>
      </w:r>
    </w:p>
    <w:p>
      <w:pPr>
        <w:spacing w:line="306" w:lineRule="auto"/>
        <w:rPr>
          <w:rFonts w:ascii="Arial"/>
          <w:sz w:val="21"/>
        </w:rPr>
      </w:pPr>
    </w:p>
    <w:p>
      <w:pPr>
        <w:pStyle w:val="BodyText"/>
        <w:spacing w:before="66" w:line="268" w:lineRule="auto"/>
        <w:ind w:right="53" w:firstLine="427"/>
      </w:pPr>
      <w:r>
        <w:rPr>
          <w:spacing w:val="13"/>
        </w:rPr>
        <w:t>下列文件中的内容通过文中的规范性引用而构</w:t>
      </w:r>
      <w:r>
        <w:rPr>
          <w:spacing w:val="12"/>
        </w:rPr>
        <w:t>成本文件必不可少的条款。其中，注日期的引用文</w:t>
      </w:r>
      <w:r>
        <w:t xml:space="preserve"> </w:t>
      </w:r>
      <w:r>
        <w:rPr>
          <w:spacing w:val="13"/>
        </w:rPr>
        <w:t>件，仅该日期对应的版本适用于本文件；不注日期的</w:t>
      </w:r>
      <w:r>
        <w:rPr>
          <w:spacing w:val="12"/>
        </w:rPr>
        <w:t>引用文件，其最新版本（包括所有的修改单）适</w:t>
      </w:r>
      <w:r>
        <w:t xml:space="preserve"> </w:t>
      </w:r>
      <w:r>
        <w:rPr>
          <w:spacing w:val="6"/>
        </w:rPr>
        <w:t>用于本文件。</w:t>
      </w:r>
    </w:p>
    <w:p>
      <w:pPr>
        <w:pStyle w:val="BodyText"/>
        <w:spacing w:before="66" w:line="228" w:lineRule="auto"/>
        <w:ind w:left="419"/>
      </w:pPr>
      <w:r>
        <w:t>GB</w:t>
      </w:r>
      <w:r>
        <w:rPr>
          <w:spacing w:val="8"/>
        </w:rPr>
        <w:t>/T 24025  环境标志和声明 Ш型环境声明 原则和程序</w:t>
      </w:r>
    </w:p>
    <w:p>
      <w:pPr>
        <w:pStyle w:val="BodyText"/>
        <w:spacing w:before="65" w:line="226" w:lineRule="auto"/>
        <w:ind w:left="419"/>
      </w:pPr>
      <w:r>
        <w:t>GB</w:t>
      </w:r>
      <w:r>
        <w:rPr>
          <w:spacing w:val="7"/>
        </w:rPr>
        <w:t>/T 24040  环境管理 生命周期评价</w:t>
      </w:r>
      <w:r>
        <w:rPr>
          <w:spacing w:val="31"/>
        </w:rPr>
        <w:t xml:space="preserve"> </w:t>
      </w:r>
      <w:r>
        <w:rPr>
          <w:spacing w:val="7"/>
        </w:rPr>
        <w:t>原则与框架</w:t>
      </w:r>
    </w:p>
    <w:p>
      <w:pPr>
        <w:pStyle w:val="BodyText"/>
        <w:spacing w:before="67" w:line="226" w:lineRule="auto"/>
        <w:ind w:left="419"/>
      </w:pPr>
      <w:r>
        <w:t>GB</w:t>
      </w:r>
      <w:r>
        <w:rPr>
          <w:spacing w:val="7"/>
        </w:rPr>
        <w:t>/T 24044  环境管理 生命周期评价</w:t>
      </w:r>
      <w:r>
        <w:rPr>
          <w:spacing w:val="31"/>
        </w:rPr>
        <w:t xml:space="preserve"> </w:t>
      </w:r>
      <w:r>
        <w:rPr>
          <w:spacing w:val="7"/>
        </w:rPr>
        <w:t>要求与指南</w:t>
      </w:r>
    </w:p>
    <w:p>
      <w:pPr>
        <w:pStyle w:val="BodyText"/>
        <w:spacing w:before="68" w:line="226" w:lineRule="auto"/>
        <w:ind w:left="419"/>
      </w:pPr>
      <w:r>
        <w:t>GB</w:t>
      </w:r>
      <w:r>
        <w:rPr>
          <w:spacing w:val="8"/>
        </w:rPr>
        <w:t>/T 32150  工业企业温室气体排放核算和报告通则</w:t>
      </w:r>
    </w:p>
    <w:p>
      <w:pPr>
        <w:spacing w:line="311" w:lineRule="auto"/>
        <w:rPr>
          <w:rFonts w:ascii="Arial"/>
          <w:sz w:val="21"/>
        </w:rPr>
      </w:pPr>
    </w:p>
    <w:p>
      <w:pPr>
        <w:spacing w:before="65" w:line="231" w:lineRule="auto"/>
        <w:ind w:left="1"/>
        <w:rPr>
          <w:rFonts w:ascii="SimHei" w:eastAsia="SimHei" w:hAnsi="SimHei" w:cs="SimHei"/>
          <w:sz w:val="20"/>
          <w:szCs w:val="20"/>
        </w:rPr>
      </w:pPr>
      <w:r>
        <w:rPr>
          <w:rFonts w:ascii="SimHei" w:eastAsia="SimHei" w:hAnsi="SimHei" w:cs="SimHei"/>
          <w:spacing w:val="6"/>
          <w:sz w:val="20"/>
          <w:szCs w:val="20"/>
        </w:rPr>
        <w:t>3</w:t>
      </w:r>
      <w:r>
        <w:rPr>
          <w:rFonts w:ascii="SimHei" w:eastAsia="SimHei" w:hAnsi="SimHei" w:cs="SimHei"/>
          <w:spacing w:val="10"/>
          <w:sz w:val="20"/>
          <w:szCs w:val="20"/>
        </w:rPr>
        <w:t xml:space="preserve">  </w:t>
      </w:r>
      <w:r>
        <w:rPr>
          <w:rFonts w:ascii="SimHei" w:eastAsia="SimHei" w:hAnsi="SimHei" w:cs="SimHei"/>
          <w:spacing w:val="6"/>
          <w:sz w:val="20"/>
          <w:szCs w:val="20"/>
        </w:rPr>
        <w:t>术语和定义</w:t>
      </w:r>
    </w:p>
    <w:p>
      <w:pPr>
        <w:spacing w:line="307" w:lineRule="auto"/>
        <w:rPr>
          <w:rFonts w:ascii="Arial"/>
          <w:sz w:val="21"/>
        </w:rPr>
      </w:pPr>
    </w:p>
    <w:p>
      <w:pPr>
        <w:pStyle w:val="BodyText"/>
        <w:spacing w:before="66" w:line="498" w:lineRule="exact"/>
        <w:ind w:left="419"/>
      </w:pPr>
      <w:r>
        <w:rPr>
          <w:position w:val="22"/>
        </w:rPr>
        <w:t>GB</w:t>
      </w:r>
      <w:r>
        <w:rPr>
          <w:spacing w:val="8"/>
          <w:position w:val="22"/>
        </w:rPr>
        <w:t>/T 24040、</w:t>
      </w:r>
      <w:r>
        <w:rPr>
          <w:position w:val="22"/>
        </w:rPr>
        <w:t>GB</w:t>
      </w:r>
      <w:r>
        <w:rPr>
          <w:spacing w:val="8"/>
          <w:position w:val="22"/>
        </w:rPr>
        <w:t>/T 24044、</w:t>
      </w:r>
      <w:r>
        <w:rPr>
          <w:position w:val="22"/>
        </w:rPr>
        <w:t>GB</w:t>
      </w:r>
      <w:r>
        <w:rPr>
          <w:spacing w:val="8"/>
          <w:position w:val="22"/>
        </w:rPr>
        <w:t>/T 240</w:t>
      </w:r>
      <w:r>
        <w:rPr>
          <w:spacing w:val="7"/>
          <w:position w:val="22"/>
        </w:rPr>
        <w:t>25和</w:t>
      </w:r>
      <w:r>
        <w:rPr>
          <w:position w:val="22"/>
        </w:rPr>
        <w:t>GB</w:t>
      </w:r>
      <w:r>
        <w:rPr>
          <w:spacing w:val="7"/>
          <w:position w:val="22"/>
        </w:rPr>
        <w:t>/T 32150界定的以及下列术语和定义适用于本文件。</w:t>
      </w:r>
    </w:p>
    <w:p>
      <w:pPr>
        <w:spacing w:line="191" w:lineRule="auto"/>
        <w:ind w:left="1"/>
        <w:rPr>
          <w:rFonts w:ascii="SimHei" w:eastAsia="SimHei" w:hAnsi="SimHei" w:cs="SimHei"/>
          <w:sz w:val="20"/>
          <w:szCs w:val="20"/>
        </w:rPr>
      </w:pPr>
      <w:r>
        <w:rPr>
          <w:rFonts w:ascii="SimHei" w:eastAsia="SimHei" w:hAnsi="SimHei" w:cs="SimHei"/>
          <w:spacing w:val="2"/>
          <w:sz w:val="20"/>
          <w:szCs w:val="20"/>
        </w:rPr>
        <w:t>3.1</w:t>
      </w:r>
    </w:p>
    <w:p>
      <w:pPr>
        <w:spacing w:before="231" w:line="226" w:lineRule="auto"/>
        <w:ind w:left="420"/>
        <w:rPr>
          <w:rFonts w:ascii="SimHei" w:eastAsia="SimHei" w:hAnsi="SimHei" w:cs="SimHei"/>
          <w:sz w:val="20"/>
          <w:szCs w:val="20"/>
        </w:rPr>
      </w:pPr>
      <w:r>
        <w:rPr>
          <w:rFonts w:ascii="SimHei" w:eastAsia="SimHei" w:hAnsi="SimHei" w:cs="SimHei"/>
          <w:spacing w:val="20"/>
          <w:sz w:val="20"/>
          <w:szCs w:val="20"/>
        </w:rPr>
        <w:t>产品碳足迹</w:t>
      </w:r>
      <w:r>
        <w:rPr>
          <w:rFonts w:ascii="SimHei" w:eastAsia="SimHei" w:hAnsi="SimHei" w:cs="SimHei"/>
          <w:spacing w:val="20"/>
          <w:sz w:val="20"/>
          <w:szCs w:val="20"/>
        </w:rPr>
        <w:t xml:space="preserve"> </w:t>
      </w:r>
      <w:r>
        <w:rPr>
          <w:rFonts w:ascii="SimHei" w:eastAsia="SimHei" w:hAnsi="SimHei" w:cs="SimHei"/>
          <w:sz w:val="20"/>
          <w:szCs w:val="20"/>
        </w:rPr>
        <w:t>carbon</w:t>
      </w:r>
      <w:r>
        <w:rPr>
          <w:rFonts w:ascii="SimHei" w:eastAsia="SimHei" w:hAnsi="SimHei" w:cs="SimHei"/>
          <w:spacing w:val="20"/>
          <w:sz w:val="20"/>
          <w:szCs w:val="20"/>
        </w:rPr>
        <w:t xml:space="preserve"> </w:t>
      </w:r>
      <w:r>
        <w:rPr>
          <w:rFonts w:ascii="SimHei" w:eastAsia="SimHei" w:hAnsi="SimHei" w:cs="SimHei"/>
          <w:sz w:val="20"/>
          <w:szCs w:val="20"/>
        </w:rPr>
        <w:t>footprint</w:t>
      </w:r>
      <w:r>
        <w:rPr>
          <w:rFonts w:ascii="SimHei" w:eastAsia="SimHei" w:hAnsi="SimHei" w:cs="SimHei"/>
          <w:spacing w:val="20"/>
          <w:sz w:val="20"/>
          <w:szCs w:val="20"/>
        </w:rPr>
        <w:t xml:space="preserve"> </w:t>
      </w:r>
      <w:r>
        <w:rPr>
          <w:rFonts w:ascii="SimHei" w:eastAsia="SimHei" w:hAnsi="SimHei" w:cs="SimHei"/>
          <w:sz w:val="20"/>
          <w:szCs w:val="20"/>
        </w:rPr>
        <w:t>of</w:t>
      </w:r>
      <w:r>
        <w:rPr>
          <w:rFonts w:ascii="SimHei" w:eastAsia="SimHei" w:hAnsi="SimHei" w:cs="SimHei"/>
          <w:spacing w:val="16"/>
          <w:sz w:val="20"/>
          <w:szCs w:val="20"/>
        </w:rPr>
        <w:t xml:space="preserve"> </w:t>
      </w:r>
      <w:r>
        <w:rPr>
          <w:rFonts w:ascii="SimHei" w:eastAsia="SimHei" w:hAnsi="SimHei" w:cs="SimHei"/>
          <w:sz w:val="20"/>
          <w:szCs w:val="20"/>
        </w:rPr>
        <w:t>a</w:t>
      </w:r>
      <w:r>
        <w:rPr>
          <w:rFonts w:ascii="SimHei" w:eastAsia="SimHei" w:hAnsi="SimHei" w:cs="SimHei"/>
          <w:spacing w:val="20"/>
          <w:sz w:val="20"/>
          <w:szCs w:val="20"/>
        </w:rPr>
        <w:t xml:space="preserve"> </w:t>
      </w:r>
      <w:r>
        <w:rPr>
          <w:rFonts w:ascii="SimHei" w:eastAsia="SimHei" w:hAnsi="SimHei" w:cs="SimHei"/>
          <w:sz w:val="20"/>
          <w:szCs w:val="20"/>
        </w:rPr>
        <w:t>product</w:t>
      </w:r>
    </w:p>
    <w:p>
      <w:pPr>
        <w:pStyle w:val="BodyText"/>
        <w:spacing w:before="67" w:line="257" w:lineRule="auto"/>
        <w:ind w:left="2" w:right="53" w:firstLine="419"/>
      </w:pPr>
      <w:r>
        <w:rPr>
          <w:spacing w:val="12"/>
        </w:rPr>
        <w:t>产品系统中的温室气体排放量和温室气体清除量之和，</w:t>
      </w:r>
      <w:r>
        <w:rPr>
          <w:spacing w:val="-57"/>
        </w:rPr>
        <w:t xml:space="preserve"> </w:t>
      </w:r>
      <w:r>
        <w:rPr>
          <w:spacing w:val="12"/>
        </w:rPr>
        <w:t>以二</w:t>
      </w:r>
      <w:r>
        <w:rPr>
          <w:spacing w:val="11"/>
        </w:rPr>
        <w:t>氧化碳当量表示，并基于生命周期评</w:t>
      </w:r>
      <w:r>
        <w:t xml:space="preserve"> </w:t>
      </w:r>
      <w:r>
        <w:rPr>
          <w:spacing w:val="8"/>
        </w:rPr>
        <w:t>价，使用气候变化单一影响类别。</w:t>
      </w:r>
    </w:p>
    <w:p>
      <w:pPr>
        <w:pStyle w:val="BodyText"/>
        <w:spacing w:before="82" w:line="270" w:lineRule="auto"/>
        <w:ind w:left="812" w:right="63" w:hanging="445"/>
        <w:rPr>
          <w:sz w:val="18"/>
          <w:szCs w:val="18"/>
        </w:rPr>
        <w:sectPr>
          <w:footerReference w:type="default" r:id="rId4"/>
          <w:pgSz w:w="11906" w:h="16838"/>
          <w:pgMar w:top="1347" w:right="1075" w:bottom="1533" w:left="1422" w:header="0" w:footer="1369" w:gutter="0"/>
          <w:cols w:space="708"/>
        </w:sectPr>
      </w:pPr>
      <w:r>
        <w:rPr>
          <w:rFonts w:ascii="SimHei" w:eastAsia="SimHei" w:hAnsi="SimHei" w:cs="SimHei"/>
          <w:sz w:val="18"/>
          <w:szCs w:val="18"/>
        </w:rPr>
        <w:t>注</w:t>
      </w:r>
      <w:r>
        <w:rPr>
          <w:rFonts w:ascii="SimHei" w:eastAsia="SimHei" w:hAnsi="SimHei" w:cs="SimHei"/>
          <w:spacing w:val="-25"/>
          <w:sz w:val="18"/>
          <w:szCs w:val="18"/>
        </w:rPr>
        <w:t xml:space="preserve"> </w:t>
      </w:r>
      <w:r>
        <w:rPr>
          <w:rFonts w:ascii="SimHei" w:eastAsia="SimHei" w:hAnsi="SimHei" w:cs="SimHei"/>
          <w:sz w:val="18"/>
          <w:szCs w:val="18"/>
        </w:rPr>
        <w:t>1：</w:t>
      </w:r>
      <w:r>
        <w:rPr>
          <w:sz w:val="18"/>
          <w:szCs w:val="18"/>
        </w:rPr>
        <w:t xml:space="preserve">一个产品碳足迹可分解成一组数字，确定具体的温室气体排放量和清除量。一个产品碳足迹也可以被分解成 </w:t>
      </w:r>
      <w:r>
        <w:rPr>
          <w:spacing w:val="-1"/>
          <w:sz w:val="18"/>
          <w:szCs w:val="18"/>
        </w:rPr>
        <w:t>生命周期的各个阶段。</w:t>
      </w:r>
    </w:p>
    <w:p>
      <w:pPr>
        <w:pStyle w:val="BodyText"/>
        <w:spacing w:before="98" w:line="264" w:lineRule="auto"/>
        <w:ind w:left="444" w:right="841" w:hanging="77"/>
      </w:pPr>
      <w:r>
        <w:rPr>
          <w:rFonts w:ascii="SimHei" w:eastAsia="SimHei" w:hAnsi="SimHei" w:cs="SimHei"/>
          <w:spacing w:val="-1"/>
          <w:sz w:val="18"/>
          <w:szCs w:val="18"/>
        </w:rPr>
        <w:t>注</w:t>
      </w:r>
      <w:r>
        <w:rPr>
          <w:rFonts w:ascii="SimHei" w:eastAsia="SimHei" w:hAnsi="SimHei" w:cs="SimHei"/>
          <w:spacing w:val="-36"/>
          <w:sz w:val="18"/>
          <w:szCs w:val="18"/>
        </w:rPr>
        <w:t xml:space="preserve"> </w:t>
      </w:r>
      <w:r>
        <w:rPr>
          <w:rFonts w:ascii="SimHei" w:eastAsia="SimHei" w:hAnsi="SimHei" w:cs="SimHei"/>
          <w:spacing w:val="-1"/>
          <w:sz w:val="18"/>
          <w:szCs w:val="18"/>
        </w:rPr>
        <w:t>2：</w:t>
      </w:r>
      <w:r>
        <w:rPr>
          <w:spacing w:val="-1"/>
          <w:sz w:val="18"/>
          <w:szCs w:val="18"/>
        </w:rPr>
        <w:t>产品碳足迹研究报告中记录了产品碳足迹的量化结果，以每个功能单元的二氧化碳当量质量表示。</w:t>
      </w:r>
      <w:r>
        <w:rPr>
          <w:sz w:val="18"/>
          <w:szCs w:val="18"/>
        </w:rPr>
        <w:t xml:space="preserve"> </w:t>
      </w:r>
      <w:r>
        <w:rPr>
          <w:spacing w:val="5"/>
        </w:rPr>
        <w:t>[来源：</w:t>
      </w:r>
      <w:r>
        <w:t>ISO</w:t>
      </w:r>
      <w:r>
        <w:rPr>
          <w:spacing w:val="5"/>
        </w:rPr>
        <w:t xml:space="preserve"> 14067:2018，3.1.</w:t>
      </w:r>
      <w:r>
        <w:rPr>
          <w:spacing w:val="4"/>
        </w:rPr>
        <w:t>1.1]</w:t>
      </w:r>
    </w:p>
    <w:p>
      <w:pPr>
        <w:spacing w:before="252" w:line="191" w:lineRule="auto"/>
        <w:ind w:left="1"/>
        <w:rPr>
          <w:rFonts w:ascii="SimHei" w:eastAsia="SimHei" w:hAnsi="SimHei" w:cs="SimHei"/>
          <w:sz w:val="20"/>
          <w:szCs w:val="20"/>
        </w:rPr>
      </w:pPr>
      <w:r>
        <w:rPr>
          <w:rFonts w:ascii="SimHei" w:eastAsia="SimHei" w:hAnsi="SimHei" w:cs="SimHei"/>
          <w:spacing w:val="2"/>
          <w:sz w:val="20"/>
          <w:szCs w:val="20"/>
        </w:rPr>
        <w:t>3.2</w:t>
      </w:r>
    </w:p>
    <w:p>
      <w:pPr>
        <w:spacing w:before="231" w:line="226" w:lineRule="auto"/>
        <w:ind w:left="420"/>
        <w:rPr>
          <w:rFonts w:ascii="SimHei" w:eastAsia="SimHei" w:hAnsi="SimHei" w:cs="SimHei"/>
          <w:sz w:val="20"/>
          <w:szCs w:val="20"/>
        </w:rPr>
      </w:pPr>
      <w:r>
        <w:rPr>
          <w:rFonts w:ascii="SimHei" w:eastAsia="SimHei" w:hAnsi="SimHei" w:cs="SimHei"/>
          <w:spacing w:val="7"/>
          <w:sz w:val="20"/>
          <w:szCs w:val="20"/>
        </w:rPr>
        <w:t>生命周期</w:t>
      </w:r>
      <w:r>
        <w:rPr>
          <w:rFonts w:ascii="SimHei" w:eastAsia="SimHei" w:hAnsi="SimHei" w:cs="SimHei"/>
          <w:spacing w:val="53"/>
          <w:sz w:val="20"/>
          <w:szCs w:val="20"/>
        </w:rPr>
        <w:t xml:space="preserve"> </w:t>
      </w:r>
      <w:r>
        <w:rPr>
          <w:rFonts w:ascii="SimHei" w:eastAsia="SimHei" w:hAnsi="SimHei" w:cs="SimHei"/>
          <w:sz w:val="20"/>
          <w:szCs w:val="20"/>
        </w:rPr>
        <w:t>life</w:t>
      </w:r>
      <w:r>
        <w:rPr>
          <w:rFonts w:ascii="SimHei" w:eastAsia="SimHei" w:hAnsi="SimHei" w:cs="SimHei"/>
          <w:spacing w:val="7"/>
          <w:sz w:val="20"/>
          <w:szCs w:val="20"/>
        </w:rPr>
        <w:t xml:space="preserve"> </w:t>
      </w:r>
      <w:r>
        <w:rPr>
          <w:rFonts w:ascii="SimHei" w:eastAsia="SimHei" w:hAnsi="SimHei" w:cs="SimHei"/>
          <w:sz w:val="20"/>
          <w:szCs w:val="20"/>
        </w:rPr>
        <w:t>cycle</w:t>
      </w:r>
    </w:p>
    <w:p>
      <w:pPr>
        <w:pStyle w:val="BodyText"/>
        <w:spacing w:before="66" w:line="258" w:lineRule="auto"/>
        <w:ind w:left="453" w:right="631" w:hanging="32"/>
      </w:pPr>
      <w:r>
        <w:rPr>
          <w:spacing w:val="9"/>
        </w:rPr>
        <w:t>产品系统中前后衔接的一系列阶段，从自然界或从自然资源中获取原材料，</w:t>
      </w:r>
      <w:r>
        <w:rPr>
          <w:spacing w:val="8"/>
        </w:rPr>
        <w:t>直至最终处置。</w:t>
      </w:r>
      <w:r>
        <w:t xml:space="preserve"> </w:t>
      </w:r>
      <w:r>
        <w:rPr>
          <w:spacing w:val="4"/>
        </w:rPr>
        <w:t>[来源：</w:t>
      </w:r>
      <w:r>
        <w:t>GB</w:t>
      </w:r>
      <w:r>
        <w:rPr>
          <w:spacing w:val="4"/>
        </w:rPr>
        <w:t>/T 24044-2008，3.1]</w:t>
      </w:r>
    </w:p>
    <w:p>
      <w:pPr>
        <w:spacing w:before="252" w:line="191" w:lineRule="auto"/>
        <w:ind w:left="1"/>
        <w:rPr>
          <w:rFonts w:ascii="SimHei" w:eastAsia="SimHei" w:hAnsi="SimHei" w:cs="SimHei"/>
          <w:sz w:val="20"/>
          <w:szCs w:val="20"/>
        </w:rPr>
      </w:pPr>
      <w:r>
        <w:rPr>
          <w:rFonts w:ascii="SimHei" w:eastAsia="SimHei" w:hAnsi="SimHei" w:cs="SimHei"/>
          <w:spacing w:val="2"/>
          <w:sz w:val="20"/>
          <w:szCs w:val="20"/>
        </w:rPr>
        <w:t>3.3</w:t>
      </w:r>
    </w:p>
    <w:p>
      <w:pPr>
        <w:spacing w:before="231" w:line="221" w:lineRule="auto"/>
        <w:ind w:left="420"/>
        <w:rPr>
          <w:rFonts w:ascii="SimHei" w:eastAsia="SimHei" w:hAnsi="SimHei" w:cs="SimHei"/>
          <w:sz w:val="20"/>
          <w:szCs w:val="20"/>
        </w:rPr>
      </w:pPr>
      <w:r>
        <w:rPr>
          <w:rFonts w:ascii="SimHei" w:eastAsia="SimHei" w:hAnsi="SimHei" w:cs="SimHei"/>
          <w:spacing w:val="15"/>
          <w:sz w:val="20"/>
          <w:szCs w:val="20"/>
        </w:rPr>
        <w:t>生命周期评价</w:t>
      </w:r>
      <w:r>
        <w:rPr>
          <w:rFonts w:ascii="SimHei" w:eastAsia="SimHei" w:hAnsi="SimHei" w:cs="SimHei"/>
          <w:spacing w:val="53"/>
          <w:sz w:val="20"/>
          <w:szCs w:val="20"/>
        </w:rPr>
        <w:t xml:space="preserve"> </w:t>
      </w:r>
      <w:r>
        <w:rPr>
          <w:rFonts w:ascii="SimHei" w:eastAsia="SimHei" w:hAnsi="SimHei" w:cs="SimHei"/>
          <w:sz w:val="20"/>
          <w:szCs w:val="20"/>
        </w:rPr>
        <w:t>life</w:t>
      </w:r>
      <w:r>
        <w:rPr>
          <w:rFonts w:ascii="SimHei" w:eastAsia="SimHei" w:hAnsi="SimHei" w:cs="SimHei"/>
          <w:spacing w:val="15"/>
          <w:sz w:val="20"/>
          <w:szCs w:val="20"/>
        </w:rPr>
        <w:t xml:space="preserve"> </w:t>
      </w:r>
      <w:r>
        <w:rPr>
          <w:rFonts w:ascii="SimHei" w:eastAsia="SimHei" w:hAnsi="SimHei" w:cs="SimHei"/>
          <w:sz w:val="20"/>
          <w:szCs w:val="20"/>
        </w:rPr>
        <w:t>cycle</w:t>
      </w:r>
      <w:r>
        <w:rPr>
          <w:rFonts w:ascii="SimHei" w:eastAsia="SimHei" w:hAnsi="SimHei" w:cs="SimHei"/>
          <w:spacing w:val="15"/>
          <w:sz w:val="20"/>
          <w:szCs w:val="20"/>
        </w:rPr>
        <w:t xml:space="preserve"> </w:t>
      </w:r>
      <w:r>
        <w:rPr>
          <w:rFonts w:ascii="SimHei" w:eastAsia="SimHei" w:hAnsi="SimHei" w:cs="SimHei"/>
          <w:sz w:val="20"/>
          <w:szCs w:val="20"/>
        </w:rPr>
        <w:t>assessment</w:t>
      </w:r>
      <w:r>
        <w:rPr>
          <w:rFonts w:ascii="SimHei" w:eastAsia="SimHei" w:hAnsi="SimHei" w:cs="SimHei"/>
          <w:spacing w:val="15"/>
          <w:sz w:val="20"/>
          <w:szCs w:val="20"/>
        </w:rPr>
        <w:t>；</w:t>
      </w:r>
      <w:r>
        <w:rPr>
          <w:rFonts w:ascii="SimHei" w:eastAsia="SimHei" w:hAnsi="SimHei" w:cs="SimHei"/>
          <w:sz w:val="20"/>
          <w:szCs w:val="20"/>
        </w:rPr>
        <w:t>LCA</w:t>
      </w:r>
    </w:p>
    <w:p>
      <w:pPr>
        <w:pStyle w:val="BodyText"/>
        <w:spacing w:before="72" w:line="226" w:lineRule="auto"/>
        <w:ind w:left="420"/>
      </w:pPr>
      <w:r>
        <w:rPr>
          <w:spacing w:val="9"/>
        </w:rPr>
        <w:t>对一个产品系统的生命周期中输入、输出及其潜在环境影响的汇编和评价。</w:t>
      </w:r>
    </w:p>
    <w:p>
      <w:pPr>
        <w:spacing w:line="226" w:lineRule="auto"/>
        <w:sectPr>
          <w:footerReference w:type="default" r:id="rId5"/>
          <w:type w:val="nextPage"/>
          <w:pgSz w:w="11906" w:h="16838"/>
          <w:pgMar w:top="1347" w:right="1075" w:bottom="1533" w:left="1422" w:header="0" w:footer="1369" w:gutter="0"/>
          <w:pgNumType w:start="2"/>
          <w:cols w:space="708"/>
          <w:titlePg w:val="0"/>
        </w:sectPr>
      </w:pPr>
    </w:p>
    <w:p>
      <w:pPr>
        <w:spacing w:before="55" w:line="280" w:lineRule="exact"/>
        <w:ind w:left="8033"/>
        <w:rPr>
          <w:rFonts w:ascii="Calibri" w:eastAsia="Calibri" w:hAnsi="Calibri" w:cs="Calibri"/>
          <w:sz w:val="20"/>
          <w:szCs w:val="20"/>
        </w:rPr>
      </w:pP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pStyle w:val="BodyText"/>
        <w:spacing w:before="294" w:line="228" w:lineRule="auto"/>
        <w:ind w:left="452"/>
      </w:pPr>
      <w:r>
        <w:rPr>
          <w:spacing w:val="4"/>
        </w:rPr>
        <w:t>[来源：</w:t>
      </w:r>
      <w:r>
        <w:t>GB</w:t>
      </w:r>
      <w:r>
        <w:rPr>
          <w:spacing w:val="4"/>
        </w:rPr>
        <w:t>/T 24044-2008，3.2]</w:t>
      </w:r>
    </w:p>
    <w:p>
      <w:pPr>
        <w:spacing w:line="247" w:lineRule="auto"/>
        <w:rPr>
          <w:rFonts w:ascii="Arial"/>
          <w:sz w:val="21"/>
        </w:rPr>
      </w:pPr>
    </w:p>
    <w:p>
      <w:pPr>
        <w:spacing w:line="248" w:lineRule="auto"/>
        <w:rPr>
          <w:rFonts w:ascii="Arial"/>
          <w:sz w:val="21"/>
        </w:rPr>
      </w:pPr>
    </w:p>
    <w:p>
      <w:pPr>
        <w:spacing w:before="65" w:line="191" w:lineRule="auto"/>
        <w:rPr>
          <w:rFonts w:ascii="SimHei" w:eastAsia="SimHei" w:hAnsi="SimHei" w:cs="SimHei"/>
          <w:sz w:val="20"/>
          <w:szCs w:val="20"/>
        </w:rPr>
      </w:pPr>
      <w:r>
        <w:rPr>
          <w:rFonts w:ascii="SimHei" w:eastAsia="SimHei" w:hAnsi="SimHei" w:cs="SimHei"/>
          <w:spacing w:val="2"/>
          <w:sz w:val="20"/>
          <w:szCs w:val="20"/>
        </w:rPr>
        <w:t>3.4</w:t>
      </w:r>
    </w:p>
    <w:p>
      <w:pPr>
        <w:spacing w:before="231" w:line="221" w:lineRule="auto"/>
        <w:ind w:left="418"/>
        <w:rPr>
          <w:rFonts w:ascii="SimHei" w:eastAsia="SimHei" w:hAnsi="SimHei" w:cs="SimHei"/>
          <w:sz w:val="20"/>
          <w:szCs w:val="20"/>
        </w:rPr>
      </w:pPr>
      <w:r>
        <w:rPr>
          <w:rFonts w:ascii="SimHei" w:eastAsia="SimHei" w:hAnsi="SimHei" w:cs="SimHei"/>
          <w:spacing w:val="13"/>
          <w:sz w:val="20"/>
          <w:szCs w:val="20"/>
        </w:rPr>
        <w:t>生命周期清单分析</w:t>
      </w:r>
      <w:r>
        <w:rPr>
          <w:rFonts w:ascii="SimHei" w:eastAsia="SimHei" w:hAnsi="SimHei" w:cs="SimHei"/>
          <w:spacing w:val="52"/>
          <w:sz w:val="20"/>
          <w:szCs w:val="20"/>
        </w:rPr>
        <w:t xml:space="preserve"> </w:t>
      </w:r>
      <w:r>
        <w:rPr>
          <w:rFonts w:ascii="SimHei" w:eastAsia="SimHei" w:hAnsi="SimHei" w:cs="SimHei"/>
          <w:sz w:val="20"/>
          <w:szCs w:val="20"/>
        </w:rPr>
        <w:t>life</w:t>
      </w:r>
      <w:r>
        <w:rPr>
          <w:rFonts w:ascii="SimHei" w:eastAsia="SimHei" w:hAnsi="SimHei" w:cs="SimHei"/>
          <w:spacing w:val="13"/>
          <w:sz w:val="20"/>
          <w:szCs w:val="20"/>
        </w:rPr>
        <w:t xml:space="preserve"> </w:t>
      </w:r>
      <w:r>
        <w:rPr>
          <w:rFonts w:ascii="SimHei" w:eastAsia="SimHei" w:hAnsi="SimHei" w:cs="SimHei"/>
          <w:sz w:val="20"/>
          <w:szCs w:val="20"/>
        </w:rPr>
        <w:t>cycle</w:t>
      </w:r>
      <w:r>
        <w:rPr>
          <w:rFonts w:ascii="SimHei" w:eastAsia="SimHei" w:hAnsi="SimHei" w:cs="SimHei"/>
          <w:spacing w:val="47"/>
          <w:sz w:val="20"/>
          <w:szCs w:val="20"/>
        </w:rPr>
        <w:t xml:space="preserve"> </w:t>
      </w:r>
      <w:r>
        <w:rPr>
          <w:rFonts w:ascii="SimHei" w:eastAsia="SimHei" w:hAnsi="SimHei" w:cs="SimHei"/>
          <w:sz w:val="20"/>
          <w:szCs w:val="20"/>
        </w:rPr>
        <w:t>inventory</w:t>
      </w:r>
      <w:r>
        <w:rPr>
          <w:rFonts w:ascii="SimHei" w:eastAsia="SimHei" w:hAnsi="SimHei" w:cs="SimHei"/>
          <w:spacing w:val="13"/>
          <w:sz w:val="20"/>
          <w:szCs w:val="20"/>
        </w:rPr>
        <w:t xml:space="preserve"> </w:t>
      </w:r>
      <w:r>
        <w:rPr>
          <w:rFonts w:ascii="SimHei" w:eastAsia="SimHei" w:hAnsi="SimHei" w:cs="SimHei"/>
          <w:sz w:val="20"/>
          <w:szCs w:val="20"/>
        </w:rPr>
        <w:t>analysis</w:t>
      </w:r>
      <w:r>
        <w:rPr>
          <w:rFonts w:ascii="SimHei" w:eastAsia="SimHei" w:hAnsi="SimHei" w:cs="SimHei"/>
          <w:spacing w:val="13"/>
          <w:sz w:val="20"/>
          <w:szCs w:val="20"/>
        </w:rPr>
        <w:t>；</w:t>
      </w:r>
      <w:r>
        <w:rPr>
          <w:rFonts w:ascii="SimHei" w:eastAsia="SimHei" w:hAnsi="SimHei" w:cs="SimHei"/>
          <w:sz w:val="20"/>
          <w:szCs w:val="20"/>
        </w:rPr>
        <w:t>LC</w:t>
      </w:r>
      <w:r>
        <w:rPr>
          <w:rFonts w:ascii="SimHei" w:eastAsia="SimHei" w:hAnsi="SimHei" w:cs="SimHei"/>
          <w:spacing w:val="-57"/>
          <w:sz w:val="20"/>
          <w:szCs w:val="20"/>
        </w:rPr>
        <w:t xml:space="preserve"> </w:t>
      </w:r>
      <w:r>
        <w:rPr>
          <w:rFonts w:ascii="SimHei" w:eastAsia="SimHei" w:hAnsi="SimHei" w:cs="SimHei"/>
          <w:sz w:val="20"/>
          <w:szCs w:val="20"/>
        </w:rPr>
        <w:t>I</w:t>
      </w:r>
    </w:p>
    <w:p>
      <w:pPr>
        <w:pStyle w:val="BodyText"/>
        <w:spacing w:before="73" w:line="256" w:lineRule="auto"/>
        <w:ind w:left="451" w:right="1471" w:hanging="30"/>
      </w:pPr>
      <w:r>
        <w:rPr>
          <w:spacing w:val="9"/>
        </w:rPr>
        <w:t>生命周期评价中对所研究产品整个生命周期中输入和输</w:t>
      </w:r>
      <w:r>
        <w:rPr>
          <w:spacing w:val="8"/>
        </w:rPr>
        <w:t>出进行汇编和量化的阶段。</w:t>
      </w:r>
      <w:r>
        <w:t xml:space="preserve"> </w:t>
      </w:r>
      <w:r>
        <w:rPr>
          <w:spacing w:val="4"/>
        </w:rPr>
        <w:t>[来源：</w:t>
      </w:r>
      <w:r>
        <w:t>GB</w:t>
      </w:r>
      <w:r>
        <w:rPr>
          <w:spacing w:val="4"/>
        </w:rPr>
        <w:t>/T 24044-2008, 3.3]</w:t>
      </w:r>
    </w:p>
    <w:p>
      <w:pPr>
        <w:spacing w:before="255" w:line="191" w:lineRule="auto"/>
        <w:rPr>
          <w:rFonts w:ascii="SimHei" w:eastAsia="SimHei" w:hAnsi="SimHei" w:cs="SimHei"/>
          <w:sz w:val="20"/>
          <w:szCs w:val="20"/>
        </w:rPr>
      </w:pPr>
      <w:r>
        <w:rPr>
          <w:rFonts w:ascii="SimHei" w:eastAsia="SimHei" w:hAnsi="SimHei" w:cs="SimHei"/>
          <w:spacing w:val="2"/>
          <w:sz w:val="20"/>
          <w:szCs w:val="20"/>
        </w:rPr>
        <w:t>3.5</w:t>
      </w:r>
    </w:p>
    <w:p>
      <w:pPr>
        <w:spacing w:before="231" w:line="221" w:lineRule="auto"/>
        <w:ind w:left="418"/>
        <w:rPr>
          <w:rFonts w:ascii="SimHei" w:eastAsia="SimHei" w:hAnsi="SimHei" w:cs="SimHei"/>
          <w:sz w:val="20"/>
          <w:szCs w:val="20"/>
        </w:rPr>
      </w:pPr>
      <w:r>
        <w:rPr>
          <w:rFonts w:ascii="SimHei" w:eastAsia="SimHei" w:hAnsi="SimHei" w:cs="SimHei"/>
          <w:spacing w:val="13"/>
          <w:sz w:val="20"/>
          <w:szCs w:val="20"/>
        </w:rPr>
        <w:t>生命周期影响评价</w:t>
      </w:r>
      <w:r>
        <w:rPr>
          <w:rFonts w:ascii="SimHei" w:eastAsia="SimHei" w:hAnsi="SimHei" w:cs="SimHei"/>
          <w:spacing w:val="58"/>
          <w:sz w:val="20"/>
          <w:szCs w:val="20"/>
        </w:rPr>
        <w:t xml:space="preserve"> </w:t>
      </w:r>
      <w:r>
        <w:rPr>
          <w:rFonts w:ascii="SimHei" w:eastAsia="SimHei" w:hAnsi="SimHei" w:cs="SimHei"/>
          <w:sz w:val="20"/>
          <w:szCs w:val="20"/>
        </w:rPr>
        <w:t>life</w:t>
      </w:r>
      <w:r>
        <w:rPr>
          <w:rFonts w:ascii="SimHei" w:eastAsia="SimHei" w:hAnsi="SimHei" w:cs="SimHei"/>
          <w:spacing w:val="13"/>
          <w:sz w:val="20"/>
          <w:szCs w:val="20"/>
        </w:rPr>
        <w:t xml:space="preserve"> </w:t>
      </w:r>
      <w:r>
        <w:rPr>
          <w:rFonts w:ascii="SimHei" w:eastAsia="SimHei" w:hAnsi="SimHei" w:cs="SimHei"/>
          <w:sz w:val="20"/>
          <w:szCs w:val="20"/>
        </w:rPr>
        <w:t>cycle</w:t>
      </w:r>
      <w:r>
        <w:rPr>
          <w:rFonts w:ascii="SimHei" w:eastAsia="SimHei" w:hAnsi="SimHei" w:cs="SimHei"/>
          <w:spacing w:val="47"/>
          <w:sz w:val="20"/>
          <w:szCs w:val="20"/>
        </w:rPr>
        <w:t xml:space="preserve"> </w:t>
      </w:r>
      <w:r>
        <w:rPr>
          <w:rFonts w:ascii="SimHei" w:eastAsia="SimHei" w:hAnsi="SimHei" w:cs="SimHei"/>
          <w:sz w:val="20"/>
          <w:szCs w:val="20"/>
        </w:rPr>
        <w:t>impact</w:t>
      </w:r>
      <w:r>
        <w:rPr>
          <w:rFonts w:ascii="SimHei" w:eastAsia="SimHei" w:hAnsi="SimHei" w:cs="SimHei"/>
          <w:spacing w:val="13"/>
          <w:sz w:val="20"/>
          <w:szCs w:val="20"/>
        </w:rPr>
        <w:t xml:space="preserve"> </w:t>
      </w:r>
      <w:r>
        <w:rPr>
          <w:rFonts w:ascii="SimHei" w:eastAsia="SimHei" w:hAnsi="SimHei" w:cs="SimHei"/>
          <w:sz w:val="20"/>
          <w:szCs w:val="20"/>
        </w:rPr>
        <w:t>assessment</w:t>
      </w:r>
      <w:r>
        <w:rPr>
          <w:rFonts w:ascii="SimHei" w:eastAsia="SimHei" w:hAnsi="SimHei" w:cs="SimHei"/>
          <w:spacing w:val="13"/>
          <w:sz w:val="20"/>
          <w:szCs w:val="20"/>
        </w:rPr>
        <w:t>；</w:t>
      </w:r>
      <w:r>
        <w:rPr>
          <w:rFonts w:ascii="SimHei" w:eastAsia="SimHei" w:hAnsi="SimHei" w:cs="SimHei"/>
          <w:sz w:val="20"/>
          <w:szCs w:val="20"/>
        </w:rPr>
        <w:t>LCIA</w:t>
      </w:r>
    </w:p>
    <w:p>
      <w:pPr>
        <w:pStyle w:val="BodyText"/>
        <w:spacing w:before="72" w:line="258" w:lineRule="auto"/>
        <w:ind w:left="451" w:hanging="30"/>
      </w:pPr>
      <w:r>
        <w:rPr>
          <w:spacing w:val="9"/>
        </w:rPr>
        <w:t>生命周期评价中理解和评价产品系统在产品整个生命周期中的潜在环境影响大小和重要性</w:t>
      </w:r>
      <w:r>
        <w:rPr>
          <w:spacing w:val="8"/>
        </w:rPr>
        <w:t>的阶段。</w:t>
      </w:r>
      <w:r>
        <w:t xml:space="preserve"> </w:t>
      </w:r>
      <w:r>
        <w:rPr>
          <w:spacing w:val="4"/>
        </w:rPr>
        <w:t>[来源：</w:t>
      </w:r>
      <w:r>
        <w:t>GB</w:t>
      </w:r>
      <w:r>
        <w:rPr>
          <w:spacing w:val="4"/>
        </w:rPr>
        <w:t>/T 24044-2008，3.4]</w:t>
      </w:r>
    </w:p>
    <w:p>
      <w:pPr>
        <w:spacing w:before="252" w:line="191" w:lineRule="auto"/>
        <w:rPr>
          <w:rFonts w:ascii="SimHei" w:eastAsia="SimHei" w:hAnsi="SimHei" w:cs="SimHei"/>
          <w:sz w:val="20"/>
          <w:szCs w:val="20"/>
        </w:rPr>
      </w:pPr>
      <w:r>
        <w:rPr>
          <w:rFonts w:ascii="SimHei" w:eastAsia="SimHei" w:hAnsi="SimHei" w:cs="SimHei"/>
          <w:spacing w:val="2"/>
          <w:sz w:val="20"/>
          <w:szCs w:val="20"/>
        </w:rPr>
        <w:t>3.6</w:t>
      </w:r>
    </w:p>
    <w:p>
      <w:pPr>
        <w:spacing w:before="230" w:line="226" w:lineRule="auto"/>
        <w:ind w:left="418"/>
        <w:rPr>
          <w:rFonts w:ascii="SimHei" w:eastAsia="SimHei" w:hAnsi="SimHei" w:cs="SimHei"/>
          <w:sz w:val="20"/>
          <w:szCs w:val="20"/>
        </w:rPr>
      </w:pPr>
      <w:r>
        <w:rPr>
          <w:rFonts w:ascii="SimHei" w:eastAsia="SimHei" w:hAnsi="SimHei" w:cs="SimHei"/>
          <w:spacing w:val="12"/>
          <w:sz w:val="20"/>
          <w:szCs w:val="20"/>
        </w:rPr>
        <w:t>生命周期解释</w:t>
      </w:r>
      <w:r>
        <w:rPr>
          <w:rFonts w:ascii="SimHei" w:eastAsia="SimHei" w:hAnsi="SimHei" w:cs="SimHei"/>
          <w:spacing w:val="54"/>
          <w:sz w:val="20"/>
          <w:szCs w:val="20"/>
        </w:rPr>
        <w:t xml:space="preserve"> </w:t>
      </w:r>
      <w:r>
        <w:rPr>
          <w:rFonts w:ascii="SimHei" w:eastAsia="SimHei" w:hAnsi="SimHei" w:cs="SimHei"/>
          <w:sz w:val="20"/>
          <w:szCs w:val="20"/>
        </w:rPr>
        <w:t>life</w:t>
      </w:r>
      <w:r>
        <w:rPr>
          <w:rFonts w:ascii="SimHei" w:eastAsia="SimHei" w:hAnsi="SimHei" w:cs="SimHei"/>
          <w:spacing w:val="12"/>
          <w:sz w:val="20"/>
          <w:szCs w:val="20"/>
        </w:rPr>
        <w:t xml:space="preserve"> </w:t>
      </w:r>
      <w:r>
        <w:rPr>
          <w:rFonts w:ascii="SimHei" w:eastAsia="SimHei" w:hAnsi="SimHei" w:cs="SimHei"/>
          <w:sz w:val="20"/>
          <w:szCs w:val="20"/>
        </w:rPr>
        <w:t>cycle</w:t>
      </w:r>
      <w:r>
        <w:rPr>
          <w:rFonts w:ascii="SimHei" w:eastAsia="SimHei" w:hAnsi="SimHei" w:cs="SimHei"/>
          <w:spacing w:val="47"/>
          <w:sz w:val="20"/>
          <w:szCs w:val="20"/>
        </w:rPr>
        <w:t xml:space="preserve"> </w:t>
      </w:r>
      <w:r>
        <w:rPr>
          <w:rFonts w:ascii="SimHei" w:eastAsia="SimHei" w:hAnsi="SimHei" w:cs="SimHei"/>
          <w:sz w:val="20"/>
          <w:szCs w:val="20"/>
        </w:rPr>
        <w:t>interpretation</w:t>
      </w:r>
    </w:p>
    <w:p>
      <w:pPr>
        <w:pStyle w:val="BodyText"/>
        <w:spacing w:before="68" w:line="258" w:lineRule="auto"/>
        <w:ind w:left="1" w:right="53" w:firstLine="420"/>
      </w:pPr>
      <w:r>
        <w:rPr>
          <w:spacing w:val="13"/>
        </w:rPr>
        <w:t>生命周期评价中根据规定的目的和范围的要求对清单分析</w:t>
      </w:r>
      <w:r>
        <w:rPr>
          <w:spacing w:val="12"/>
        </w:rPr>
        <w:t>和（或）影响评价的结果进行评估以形</w:t>
      </w:r>
      <w:r>
        <w:t xml:space="preserve"> </w:t>
      </w:r>
      <w:r>
        <w:rPr>
          <w:spacing w:val="7"/>
        </w:rPr>
        <w:t>成结论和建议的阶段。</w:t>
      </w:r>
    </w:p>
    <w:p>
      <w:pPr>
        <w:pStyle w:val="BodyText"/>
        <w:spacing w:before="64" w:line="499" w:lineRule="exact"/>
        <w:ind w:left="452"/>
      </w:pPr>
      <w:r>
        <w:rPr>
          <w:spacing w:val="4"/>
          <w:position w:val="22"/>
        </w:rPr>
        <w:t>[来源：</w:t>
      </w:r>
      <w:r>
        <w:rPr>
          <w:position w:val="22"/>
        </w:rPr>
        <w:t>GB</w:t>
      </w:r>
      <w:r>
        <w:rPr>
          <w:spacing w:val="4"/>
          <w:position w:val="22"/>
        </w:rPr>
        <w:t>/T 24044-2008，3.5]</w:t>
      </w:r>
    </w:p>
    <w:p>
      <w:pPr>
        <w:spacing w:line="191" w:lineRule="auto"/>
        <w:rPr>
          <w:rFonts w:ascii="SimHei" w:eastAsia="SimHei" w:hAnsi="SimHei" w:cs="SimHei"/>
          <w:sz w:val="20"/>
          <w:szCs w:val="20"/>
        </w:rPr>
      </w:pPr>
      <w:r>
        <w:rPr>
          <w:rFonts w:ascii="SimHei" w:eastAsia="SimHei" w:hAnsi="SimHei" w:cs="SimHei"/>
          <w:spacing w:val="2"/>
          <w:sz w:val="20"/>
          <w:szCs w:val="20"/>
        </w:rPr>
        <w:t>3.7</w:t>
      </w:r>
    </w:p>
    <w:p>
      <w:pPr>
        <w:spacing w:before="231" w:line="226" w:lineRule="auto"/>
        <w:ind w:left="418"/>
        <w:rPr>
          <w:rFonts w:ascii="SimHei" w:eastAsia="SimHei" w:hAnsi="SimHei" w:cs="SimHei"/>
          <w:sz w:val="20"/>
          <w:szCs w:val="20"/>
        </w:rPr>
      </w:pPr>
      <w:r>
        <w:rPr>
          <w:rFonts w:ascii="SimHei" w:eastAsia="SimHei" w:hAnsi="SimHei" w:cs="SimHei"/>
          <w:spacing w:val="17"/>
          <w:sz w:val="20"/>
          <w:szCs w:val="20"/>
        </w:rPr>
        <w:t>产品种类规则</w:t>
      </w:r>
      <w:r>
        <w:rPr>
          <w:rFonts w:ascii="SimHei" w:eastAsia="SimHei" w:hAnsi="SimHei" w:cs="SimHei"/>
          <w:spacing w:val="17"/>
          <w:sz w:val="20"/>
          <w:szCs w:val="20"/>
        </w:rPr>
        <w:t xml:space="preserve"> </w:t>
      </w:r>
      <w:r>
        <w:rPr>
          <w:rFonts w:ascii="SimHei" w:eastAsia="SimHei" w:hAnsi="SimHei" w:cs="SimHei"/>
          <w:sz w:val="20"/>
          <w:szCs w:val="20"/>
        </w:rPr>
        <w:t>product</w:t>
      </w:r>
      <w:r>
        <w:rPr>
          <w:rFonts w:ascii="SimHei" w:eastAsia="SimHei" w:hAnsi="SimHei" w:cs="SimHei"/>
          <w:spacing w:val="17"/>
          <w:sz w:val="20"/>
          <w:szCs w:val="20"/>
        </w:rPr>
        <w:t xml:space="preserve"> </w:t>
      </w:r>
      <w:r>
        <w:rPr>
          <w:rFonts w:ascii="SimHei" w:eastAsia="SimHei" w:hAnsi="SimHei" w:cs="SimHei"/>
          <w:sz w:val="20"/>
          <w:szCs w:val="20"/>
        </w:rPr>
        <w:t>category</w:t>
      </w:r>
      <w:r>
        <w:rPr>
          <w:rFonts w:ascii="SimHei" w:eastAsia="SimHei" w:hAnsi="SimHei" w:cs="SimHei"/>
          <w:spacing w:val="26"/>
          <w:sz w:val="20"/>
          <w:szCs w:val="20"/>
        </w:rPr>
        <w:t xml:space="preserve"> </w:t>
      </w:r>
      <w:r>
        <w:rPr>
          <w:rFonts w:ascii="SimHei" w:eastAsia="SimHei" w:hAnsi="SimHei" w:cs="SimHei"/>
          <w:sz w:val="20"/>
          <w:szCs w:val="20"/>
        </w:rPr>
        <w:t>rules</w:t>
      </w:r>
      <w:r>
        <w:rPr>
          <w:rFonts w:ascii="SimHei" w:eastAsia="SimHei" w:hAnsi="SimHei" w:cs="SimHei"/>
          <w:spacing w:val="17"/>
          <w:sz w:val="20"/>
          <w:szCs w:val="20"/>
        </w:rPr>
        <w:t>(</w:t>
      </w:r>
      <w:r>
        <w:rPr>
          <w:rFonts w:ascii="SimHei" w:eastAsia="SimHei" w:hAnsi="SimHei" w:cs="SimHei"/>
          <w:sz w:val="20"/>
          <w:szCs w:val="20"/>
        </w:rPr>
        <w:t>PCR</w:t>
      </w:r>
      <w:r>
        <w:rPr>
          <w:rFonts w:ascii="SimHei" w:eastAsia="SimHei" w:hAnsi="SimHei" w:cs="SimHei"/>
          <w:spacing w:val="17"/>
          <w:sz w:val="20"/>
          <w:szCs w:val="20"/>
        </w:rPr>
        <w:t>)</w:t>
      </w:r>
    </w:p>
    <w:p>
      <w:pPr>
        <w:pStyle w:val="BodyText"/>
        <w:spacing w:before="66" w:line="258" w:lineRule="auto"/>
        <w:ind w:left="452" w:right="1051" w:hanging="33"/>
      </w:pPr>
      <w:r>
        <w:rPr>
          <w:spacing w:val="9"/>
        </w:rPr>
        <w:t>对一个或多个产品种类进行</w:t>
      </w:r>
      <w:r>
        <w:rPr>
          <w:rFonts w:ascii="Times New Roman" w:eastAsia="Times New Roman" w:hAnsi="Times New Roman" w:cs="Times New Roman"/>
        </w:rPr>
        <w:t>III</w:t>
      </w:r>
      <w:r>
        <w:rPr>
          <w:spacing w:val="9"/>
        </w:rPr>
        <w:t>型环境声明所必须满足的一套具体的规则、要求和指南。</w:t>
      </w:r>
      <w:r>
        <w:rPr>
          <w:spacing w:val="1"/>
        </w:rPr>
        <w:t xml:space="preserve"> </w:t>
      </w:r>
      <w:r>
        <w:rPr>
          <w:spacing w:val="4"/>
        </w:rPr>
        <w:t>[来源：</w:t>
      </w:r>
      <w:r>
        <w:t>GB</w:t>
      </w:r>
      <w:r>
        <w:rPr>
          <w:spacing w:val="4"/>
        </w:rPr>
        <w:t>/T 24025-2009，3.5]</w:t>
      </w:r>
    </w:p>
    <w:p>
      <w:pPr>
        <w:spacing w:before="252" w:line="191" w:lineRule="auto"/>
        <w:rPr>
          <w:rFonts w:ascii="SimHei" w:eastAsia="SimHei" w:hAnsi="SimHei" w:cs="SimHei"/>
          <w:sz w:val="20"/>
          <w:szCs w:val="20"/>
        </w:rPr>
      </w:pPr>
      <w:r>
        <w:rPr>
          <w:rFonts w:ascii="SimHei" w:eastAsia="SimHei" w:hAnsi="SimHei" w:cs="SimHei"/>
          <w:spacing w:val="2"/>
          <w:sz w:val="20"/>
          <w:szCs w:val="20"/>
        </w:rPr>
        <w:t>3.8</w:t>
      </w:r>
    </w:p>
    <w:p>
      <w:pPr>
        <w:spacing w:before="231" w:line="226" w:lineRule="auto"/>
        <w:ind w:left="420"/>
        <w:rPr>
          <w:rFonts w:ascii="SimHei" w:eastAsia="SimHei" w:hAnsi="SimHei" w:cs="SimHei"/>
          <w:sz w:val="20"/>
          <w:szCs w:val="20"/>
        </w:rPr>
      </w:pPr>
      <w:r>
        <w:rPr>
          <w:rFonts w:ascii="SimHei" w:eastAsia="SimHei" w:hAnsi="SimHei" w:cs="SimHei"/>
          <w:spacing w:val="17"/>
          <w:sz w:val="20"/>
          <w:szCs w:val="20"/>
        </w:rPr>
        <w:t>温室气体</w:t>
      </w:r>
      <w:r>
        <w:rPr>
          <w:rFonts w:ascii="SimHei" w:eastAsia="SimHei" w:hAnsi="SimHei" w:cs="SimHei"/>
          <w:spacing w:val="17"/>
          <w:sz w:val="20"/>
          <w:szCs w:val="20"/>
        </w:rPr>
        <w:t xml:space="preserve"> </w:t>
      </w:r>
      <w:r>
        <w:rPr>
          <w:rFonts w:ascii="SimHei" w:eastAsia="SimHei" w:hAnsi="SimHei" w:cs="SimHei"/>
          <w:sz w:val="20"/>
          <w:szCs w:val="20"/>
        </w:rPr>
        <w:t>greenhouse</w:t>
      </w:r>
      <w:r>
        <w:rPr>
          <w:rFonts w:ascii="SimHei" w:eastAsia="SimHei" w:hAnsi="SimHei" w:cs="SimHei"/>
          <w:spacing w:val="17"/>
          <w:sz w:val="20"/>
          <w:szCs w:val="20"/>
        </w:rPr>
        <w:t xml:space="preserve"> </w:t>
      </w:r>
      <w:r>
        <w:rPr>
          <w:rFonts w:ascii="SimHei" w:eastAsia="SimHei" w:hAnsi="SimHei" w:cs="SimHei"/>
          <w:sz w:val="20"/>
          <w:szCs w:val="20"/>
        </w:rPr>
        <w:t>gas</w:t>
      </w:r>
    </w:p>
    <w:p>
      <w:pPr>
        <w:pStyle w:val="BodyText"/>
        <w:spacing w:before="66" w:line="258" w:lineRule="auto"/>
        <w:ind w:firstLine="421"/>
      </w:pPr>
      <w:r>
        <w:rPr>
          <w:spacing w:val="9"/>
        </w:rPr>
        <w:t>大气层中自然存在的和由于人类活动产生的能够吸收和散发由地球表面、大气层和云层</w:t>
      </w:r>
      <w:r>
        <w:rPr>
          <w:spacing w:val="8"/>
        </w:rPr>
        <w:t>所产生的、</w:t>
      </w:r>
      <w:r>
        <w:t xml:space="preserve"> </w:t>
      </w:r>
      <w:r>
        <w:rPr>
          <w:spacing w:val="8"/>
        </w:rPr>
        <w:t>波长在红外光谱内的辐射的气态成分。</w:t>
      </w:r>
    </w:p>
    <w:p>
      <w:pPr>
        <w:pStyle w:val="BodyText"/>
        <w:spacing w:before="82" w:line="269" w:lineRule="auto"/>
        <w:ind w:left="1029" w:right="39" w:hanging="539"/>
        <w:rPr>
          <w:sz w:val="18"/>
          <w:szCs w:val="18"/>
        </w:rPr>
      </w:pPr>
      <w:r>
        <w:rPr>
          <w:rFonts w:ascii="SimHei" w:eastAsia="SimHei" w:hAnsi="SimHei" w:cs="SimHei"/>
          <w:spacing w:val="-1"/>
          <w:sz w:val="18"/>
          <w:szCs w:val="18"/>
        </w:rPr>
        <w:t>注</w:t>
      </w:r>
      <w:r>
        <w:rPr>
          <w:rFonts w:ascii="SimHei" w:eastAsia="SimHei" w:hAnsi="SimHei" w:cs="SimHei"/>
          <w:spacing w:val="-28"/>
          <w:sz w:val="18"/>
          <w:szCs w:val="18"/>
        </w:rPr>
        <w:t xml:space="preserve"> </w:t>
      </w:r>
      <w:r>
        <w:rPr>
          <w:rFonts w:ascii="SimHei" w:eastAsia="SimHei" w:hAnsi="SimHei" w:cs="SimHei"/>
          <w:spacing w:val="-1"/>
          <w:sz w:val="18"/>
          <w:szCs w:val="18"/>
        </w:rPr>
        <w:t>1：</w:t>
      </w:r>
      <w:r>
        <w:rPr>
          <w:spacing w:val="-1"/>
          <w:sz w:val="18"/>
          <w:szCs w:val="18"/>
        </w:rPr>
        <w:t>包括二氧化碳（CO</w:t>
      </w:r>
      <w:r>
        <w:rPr>
          <w:spacing w:val="-1"/>
          <w:position w:val="-2"/>
          <w:sz w:val="8"/>
          <w:szCs w:val="8"/>
        </w:rPr>
        <w:t>2</w:t>
      </w:r>
      <w:r>
        <w:rPr>
          <w:spacing w:val="-13"/>
          <w:position w:val="-2"/>
          <w:sz w:val="8"/>
          <w:szCs w:val="8"/>
        </w:rPr>
        <w:t xml:space="preserve"> </w:t>
      </w:r>
      <w:r>
        <w:rPr>
          <w:spacing w:val="-1"/>
          <w:sz w:val="18"/>
          <w:szCs w:val="18"/>
        </w:rPr>
        <w:t>）、甲烷（CH</w:t>
      </w:r>
      <w:r>
        <w:rPr>
          <w:spacing w:val="-1"/>
          <w:position w:val="-2"/>
          <w:sz w:val="8"/>
          <w:szCs w:val="8"/>
        </w:rPr>
        <w:t>4</w:t>
      </w:r>
      <w:r>
        <w:rPr>
          <w:spacing w:val="-13"/>
          <w:position w:val="-2"/>
          <w:sz w:val="8"/>
          <w:szCs w:val="8"/>
        </w:rPr>
        <w:t xml:space="preserve"> </w:t>
      </w:r>
      <w:r>
        <w:rPr>
          <w:spacing w:val="-1"/>
          <w:sz w:val="18"/>
          <w:szCs w:val="18"/>
        </w:rPr>
        <w:t>）、氧化亚</w:t>
      </w:r>
      <w:r>
        <w:rPr>
          <w:spacing w:val="-2"/>
          <w:sz w:val="18"/>
          <w:szCs w:val="18"/>
        </w:rPr>
        <w:t>氮（N</w:t>
      </w:r>
      <w:r>
        <w:rPr>
          <w:spacing w:val="-2"/>
          <w:position w:val="-2"/>
          <w:sz w:val="8"/>
          <w:szCs w:val="8"/>
        </w:rPr>
        <w:t>2</w:t>
      </w:r>
      <w:r>
        <w:rPr>
          <w:spacing w:val="-2"/>
          <w:sz w:val="18"/>
          <w:szCs w:val="18"/>
        </w:rPr>
        <w:t>O）、氢氟碳化合物（HFCs）、全氟碳化合物（PFCs）、</w:t>
      </w:r>
      <w:r>
        <w:rPr>
          <w:sz w:val="18"/>
          <w:szCs w:val="18"/>
        </w:rPr>
        <w:t xml:space="preserve"> </w:t>
      </w:r>
      <w:r>
        <w:rPr>
          <w:spacing w:val="-3"/>
          <w:sz w:val="18"/>
          <w:szCs w:val="18"/>
        </w:rPr>
        <w:t>六氟化硫（SF</w:t>
      </w:r>
      <w:r>
        <w:rPr>
          <w:spacing w:val="-3"/>
          <w:position w:val="-2"/>
          <w:sz w:val="8"/>
          <w:szCs w:val="8"/>
        </w:rPr>
        <w:t xml:space="preserve">6 </w:t>
      </w:r>
      <w:r>
        <w:rPr>
          <w:spacing w:val="-3"/>
          <w:sz w:val="18"/>
          <w:szCs w:val="18"/>
        </w:rPr>
        <w:t>）和三氟化氮（NF</w:t>
      </w:r>
      <w:r>
        <w:rPr>
          <w:spacing w:val="-3"/>
          <w:position w:val="-2"/>
          <w:sz w:val="8"/>
          <w:szCs w:val="8"/>
        </w:rPr>
        <w:t>3</w:t>
      </w:r>
      <w:r>
        <w:rPr>
          <w:spacing w:val="-13"/>
          <w:position w:val="-2"/>
          <w:sz w:val="8"/>
          <w:szCs w:val="8"/>
        </w:rPr>
        <w:t xml:space="preserve"> </w:t>
      </w:r>
      <w:r>
        <w:rPr>
          <w:spacing w:val="-3"/>
          <w:sz w:val="18"/>
          <w:szCs w:val="18"/>
        </w:rPr>
        <w:t>）等。</w:t>
      </w:r>
    </w:p>
    <w:p>
      <w:pPr>
        <w:pStyle w:val="BodyText"/>
        <w:spacing w:before="83" w:line="499" w:lineRule="exact"/>
        <w:ind w:left="452"/>
      </w:pPr>
      <w:r>
        <w:rPr>
          <w:spacing w:val="5"/>
          <w:position w:val="22"/>
        </w:rPr>
        <w:t>[来源：</w:t>
      </w:r>
      <w:r>
        <w:rPr>
          <w:position w:val="22"/>
        </w:rPr>
        <w:t>GB</w:t>
      </w:r>
      <w:r>
        <w:rPr>
          <w:spacing w:val="5"/>
          <w:position w:val="22"/>
        </w:rPr>
        <w:t>/T 32150-2015，3.1，有修改]</w:t>
      </w:r>
    </w:p>
    <w:p>
      <w:pPr>
        <w:spacing w:line="191" w:lineRule="auto"/>
        <w:rPr>
          <w:rFonts w:ascii="SimHei" w:eastAsia="SimHei" w:hAnsi="SimHei" w:cs="SimHei"/>
          <w:sz w:val="20"/>
          <w:szCs w:val="20"/>
        </w:rPr>
      </w:pPr>
      <w:r>
        <w:rPr>
          <w:rFonts w:ascii="SimHei" w:eastAsia="SimHei" w:hAnsi="SimHei" w:cs="SimHei"/>
          <w:spacing w:val="2"/>
          <w:sz w:val="20"/>
          <w:szCs w:val="20"/>
        </w:rPr>
        <w:t>3.9</w:t>
      </w:r>
    </w:p>
    <w:p>
      <w:pPr>
        <w:spacing w:before="230" w:line="231" w:lineRule="auto"/>
        <w:ind w:left="421"/>
        <w:rPr>
          <w:rFonts w:ascii="SimHei" w:eastAsia="SimHei" w:hAnsi="SimHei" w:cs="SimHei"/>
          <w:sz w:val="20"/>
          <w:szCs w:val="20"/>
        </w:rPr>
      </w:pPr>
      <w:r>
        <w:rPr>
          <w:rFonts w:ascii="SimHei" w:eastAsia="SimHei" w:hAnsi="SimHei" w:cs="SimHei"/>
          <w:spacing w:val="20"/>
          <w:sz w:val="20"/>
          <w:szCs w:val="20"/>
        </w:rPr>
        <w:t>功能单位</w:t>
      </w:r>
      <w:r>
        <w:rPr>
          <w:rFonts w:ascii="SimHei" w:eastAsia="SimHei" w:hAnsi="SimHei" w:cs="SimHei"/>
          <w:spacing w:val="20"/>
          <w:sz w:val="20"/>
          <w:szCs w:val="20"/>
        </w:rPr>
        <w:t xml:space="preserve"> </w:t>
      </w:r>
      <w:r>
        <w:rPr>
          <w:rFonts w:ascii="SimHei" w:eastAsia="SimHei" w:hAnsi="SimHei" w:cs="SimHei"/>
          <w:sz w:val="20"/>
          <w:szCs w:val="20"/>
        </w:rPr>
        <w:t>functional</w:t>
      </w:r>
      <w:r>
        <w:rPr>
          <w:rFonts w:ascii="SimHei" w:eastAsia="SimHei" w:hAnsi="SimHei" w:cs="SimHei"/>
          <w:spacing w:val="13"/>
          <w:sz w:val="20"/>
          <w:szCs w:val="20"/>
        </w:rPr>
        <w:t xml:space="preserve"> </w:t>
      </w:r>
      <w:r>
        <w:rPr>
          <w:rFonts w:ascii="SimHei" w:eastAsia="SimHei" w:hAnsi="SimHei" w:cs="SimHei"/>
          <w:sz w:val="20"/>
          <w:szCs w:val="20"/>
        </w:rPr>
        <w:t>unit</w:t>
      </w:r>
    </w:p>
    <w:p>
      <w:pPr>
        <w:pStyle w:val="BodyText"/>
        <w:spacing w:before="62" w:line="312" w:lineRule="exact"/>
        <w:ind w:left="421"/>
      </w:pPr>
      <w:r>
        <w:rPr>
          <w:spacing w:val="8"/>
          <w:position w:val="7"/>
        </w:rPr>
        <w:t>用来作为基准单位的量化的产品系统性能。</w:t>
      </w:r>
    </w:p>
    <w:p>
      <w:pPr>
        <w:pStyle w:val="BodyText"/>
        <w:spacing w:before="1" w:line="227" w:lineRule="auto"/>
        <w:ind w:left="452"/>
        <w:sectPr>
          <w:footerReference w:type="default" r:id="rId6"/>
          <w:pgSz w:w="11906" w:h="16838"/>
          <w:pgMar w:top="1347" w:right="1075" w:bottom="1534" w:left="1424" w:header="0" w:footer="1369" w:gutter="0"/>
          <w:pgNumType w:start="3"/>
          <w:cols w:space="708"/>
        </w:sectPr>
      </w:pPr>
      <w:r>
        <w:rPr>
          <w:spacing w:val="4"/>
        </w:rPr>
        <w:t>[来源：</w:t>
      </w:r>
      <w:r>
        <w:t>GB</w:t>
      </w:r>
      <w:r>
        <w:rPr>
          <w:spacing w:val="4"/>
        </w:rPr>
        <w:t>/T 24040-2008，3.20]</w:t>
      </w:r>
    </w:p>
    <w:p>
      <w:pPr>
        <w:spacing w:before="252" w:line="191" w:lineRule="auto"/>
        <w:rPr>
          <w:rFonts w:ascii="SimHei" w:eastAsia="SimHei" w:hAnsi="SimHei" w:cs="SimHei"/>
          <w:sz w:val="20"/>
          <w:szCs w:val="20"/>
        </w:rPr>
      </w:pPr>
      <w:r>
        <w:rPr>
          <w:rFonts w:ascii="SimHei" w:eastAsia="SimHei" w:hAnsi="SimHei" w:cs="SimHei"/>
          <w:spacing w:val="3"/>
          <w:sz w:val="20"/>
          <w:szCs w:val="20"/>
        </w:rPr>
        <w:t>3.10</w:t>
      </w:r>
    </w:p>
    <w:p>
      <w:pPr>
        <w:spacing w:before="230" w:line="229" w:lineRule="auto"/>
        <w:ind w:left="420"/>
        <w:rPr>
          <w:rFonts w:ascii="SimHei" w:eastAsia="SimHei" w:hAnsi="SimHei" w:cs="SimHei"/>
          <w:sz w:val="20"/>
          <w:szCs w:val="20"/>
        </w:rPr>
      </w:pPr>
      <w:r>
        <w:rPr>
          <w:rFonts w:ascii="SimHei" w:eastAsia="SimHei" w:hAnsi="SimHei" w:cs="SimHei"/>
          <w:spacing w:val="20"/>
          <w:sz w:val="20"/>
          <w:szCs w:val="20"/>
        </w:rPr>
        <w:t>声明单位</w:t>
      </w:r>
      <w:r>
        <w:rPr>
          <w:rFonts w:ascii="SimHei" w:eastAsia="SimHei" w:hAnsi="SimHei" w:cs="SimHei"/>
          <w:spacing w:val="20"/>
          <w:sz w:val="20"/>
          <w:szCs w:val="20"/>
        </w:rPr>
        <w:t xml:space="preserve"> </w:t>
      </w:r>
      <w:r>
        <w:rPr>
          <w:rFonts w:ascii="SimHei" w:eastAsia="SimHei" w:hAnsi="SimHei" w:cs="SimHei"/>
          <w:sz w:val="20"/>
          <w:szCs w:val="20"/>
        </w:rPr>
        <w:t>declaredunit</w:t>
      </w:r>
    </w:p>
    <w:p>
      <w:pPr>
        <w:pStyle w:val="BodyText"/>
        <w:spacing w:before="64" w:line="312" w:lineRule="exact"/>
        <w:ind w:left="420"/>
      </w:pPr>
      <w:r>
        <w:rPr>
          <w:spacing w:val="9"/>
          <w:position w:val="7"/>
        </w:rPr>
        <w:t>产品数量，用来量化部分产品碳足迹的基准单位。</w:t>
      </w:r>
    </w:p>
    <w:p>
      <w:pPr>
        <w:pStyle w:val="BodyText"/>
        <w:spacing w:before="1" w:line="227" w:lineRule="auto"/>
        <w:ind w:left="420"/>
      </w:pPr>
      <w:r>
        <w:rPr>
          <w:spacing w:val="8"/>
        </w:rPr>
        <w:t>注</w:t>
      </w:r>
      <w:r>
        <w:rPr>
          <w:rFonts w:ascii="Times New Roman" w:eastAsia="Times New Roman" w:hAnsi="Times New Roman" w:cs="Times New Roman"/>
          <w:spacing w:val="8"/>
        </w:rPr>
        <w:t>:</w:t>
      </w:r>
      <w:r>
        <w:rPr>
          <w:spacing w:val="8"/>
        </w:rPr>
        <w:t>例如重量（</w:t>
      </w:r>
      <w:r>
        <w:rPr>
          <w:rFonts w:ascii="Times New Roman" w:eastAsia="Times New Roman" w:hAnsi="Times New Roman" w:cs="Times New Roman"/>
          <w:spacing w:val="8"/>
        </w:rPr>
        <w:t>1</w:t>
      </w:r>
      <w:r>
        <w:rPr>
          <w:spacing w:val="8"/>
        </w:rPr>
        <w:t>公斤原钢）、体积（</w:t>
      </w:r>
      <w:r>
        <w:rPr>
          <w:rFonts w:ascii="Times New Roman" w:eastAsia="Times New Roman" w:hAnsi="Times New Roman" w:cs="Times New Roman"/>
          <w:spacing w:val="8"/>
        </w:rPr>
        <w:t>1</w:t>
      </w:r>
      <w:r>
        <w:rPr>
          <w:spacing w:val="8"/>
        </w:rPr>
        <w:t>升原油）等。</w:t>
      </w:r>
    </w:p>
    <w:p>
      <w:pPr>
        <w:pStyle w:val="BodyText"/>
        <w:spacing w:before="65" w:line="228" w:lineRule="auto"/>
        <w:ind w:left="452"/>
      </w:pPr>
      <w:r>
        <w:rPr>
          <w:spacing w:val="2"/>
        </w:rPr>
        <w:t>[来源</w:t>
      </w:r>
      <w:r>
        <w:rPr>
          <w:spacing w:val="-59"/>
        </w:rPr>
        <w:t xml:space="preserve"> </w:t>
      </w:r>
      <w:r>
        <w:rPr>
          <w:spacing w:val="2"/>
        </w:rPr>
        <w:t xml:space="preserve">: </w:t>
      </w:r>
      <w:r>
        <w:t>ISO</w:t>
      </w:r>
      <w:r>
        <w:rPr>
          <w:spacing w:val="28"/>
        </w:rPr>
        <w:t xml:space="preserve"> </w:t>
      </w:r>
      <w:r>
        <w:rPr>
          <w:spacing w:val="2"/>
        </w:rPr>
        <w:t>14067:2018，3.1.3.87]</w:t>
      </w:r>
    </w:p>
    <w:p>
      <w:pPr>
        <w:spacing w:line="228" w:lineRule="auto"/>
        <w:sectPr>
          <w:footerReference w:type="default" r:id="rId7"/>
          <w:type w:val="nextPage"/>
          <w:pgSz w:w="11906" w:h="16838"/>
          <w:pgMar w:top="1347" w:right="1075" w:bottom="1534" w:left="1424" w:header="0" w:footer="1369" w:gutter="0"/>
          <w:pgNumType w:start="4"/>
          <w:cols w:space="708"/>
          <w:titlePg w:val="0"/>
        </w:sectPr>
      </w:pPr>
    </w:p>
    <w:p>
      <w:pPr>
        <w:spacing w:before="55" w:line="280" w:lineRule="exact"/>
        <w:ind w:left="8033"/>
        <w:rPr>
          <w:rFonts w:ascii="Calibri" w:eastAsia="Calibri" w:hAnsi="Calibri" w:cs="Calibri"/>
          <w:sz w:val="20"/>
          <w:szCs w:val="20"/>
        </w:rPr>
      </w:pP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spacing w:line="259" w:lineRule="auto"/>
        <w:rPr>
          <w:rFonts w:ascii="Arial"/>
          <w:sz w:val="21"/>
        </w:rPr>
      </w:pPr>
    </w:p>
    <w:p>
      <w:pPr>
        <w:spacing w:before="65" w:line="191" w:lineRule="auto"/>
        <w:rPr>
          <w:rFonts w:ascii="SimHei" w:eastAsia="SimHei" w:hAnsi="SimHei" w:cs="SimHei"/>
          <w:sz w:val="20"/>
          <w:szCs w:val="20"/>
        </w:rPr>
      </w:pPr>
      <w:r>
        <w:rPr>
          <w:rFonts w:ascii="SimHei" w:eastAsia="SimHei" w:hAnsi="SimHei" w:cs="SimHei"/>
          <w:spacing w:val="3"/>
          <w:sz w:val="20"/>
          <w:szCs w:val="20"/>
        </w:rPr>
        <w:t>3.11</w:t>
      </w:r>
    </w:p>
    <w:p>
      <w:pPr>
        <w:spacing w:before="230" w:line="226" w:lineRule="auto"/>
        <w:ind w:left="425"/>
        <w:rPr>
          <w:rFonts w:ascii="SimHei" w:eastAsia="SimHei" w:hAnsi="SimHei" w:cs="SimHei"/>
          <w:sz w:val="20"/>
          <w:szCs w:val="20"/>
        </w:rPr>
      </w:pPr>
      <w:r>
        <w:rPr>
          <w:rFonts w:ascii="SimHei" w:eastAsia="SimHei" w:hAnsi="SimHei" w:cs="SimHei"/>
          <w:spacing w:val="16"/>
          <w:sz w:val="20"/>
          <w:szCs w:val="20"/>
        </w:rPr>
        <w:t>单元过程</w:t>
      </w:r>
      <w:r>
        <w:rPr>
          <w:rFonts w:ascii="SimHei" w:eastAsia="SimHei" w:hAnsi="SimHei" w:cs="SimHei"/>
          <w:spacing w:val="16"/>
          <w:sz w:val="20"/>
          <w:szCs w:val="20"/>
        </w:rPr>
        <w:t xml:space="preserve"> </w:t>
      </w:r>
      <w:r>
        <w:rPr>
          <w:rFonts w:ascii="SimHei" w:eastAsia="SimHei" w:hAnsi="SimHei" w:cs="SimHei"/>
          <w:sz w:val="20"/>
          <w:szCs w:val="20"/>
        </w:rPr>
        <w:t>unit</w:t>
      </w:r>
      <w:r>
        <w:rPr>
          <w:rFonts w:ascii="SimHei" w:eastAsia="SimHei" w:hAnsi="SimHei" w:cs="SimHei"/>
          <w:spacing w:val="14"/>
          <w:sz w:val="20"/>
          <w:szCs w:val="20"/>
        </w:rPr>
        <w:t xml:space="preserve"> </w:t>
      </w:r>
      <w:r>
        <w:rPr>
          <w:rFonts w:ascii="SimHei" w:eastAsia="SimHei" w:hAnsi="SimHei" w:cs="SimHei"/>
          <w:sz w:val="20"/>
          <w:szCs w:val="20"/>
        </w:rPr>
        <w:t>process</w:t>
      </w:r>
    </w:p>
    <w:p>
      <w:pPr>
        <w:pStyle w:val="BodyText"/>
        <w:spacing w:before="66" w:line="312" w:lineRule="exact"/>
        <w:ind w:left="421"/>
      </w:pPr>
      <w:r>
        <w:rPr>
          <w:spacing w:val="9"/>
          <w:position w:val="7"/>
        </w:rPr>
        <w:t>生命周期评价中为量化输入和输出数据而确定的最基本部分。</w:t>
      </w:r>
    </w:p>
    <w:p>
      <w:pPr>
        <w:pStyle w:val="BodyText"/>
        <w:spacing w:before="1" w:line="227" w:lineRule="auto"/>
        <w:ind w:left="452"/>
      </w:pPr>
      <w:r>
        <w:rPr>
          <w:spacing w:val="4"/>
        </w:rPr>
        <w:t>[来源：</w:t>
      </w:r>
      <w:r>
        <w:t>GB</w:t>
      </w:r>
      <w:r>
        <w:rPr>
          <w:spacing w:val="4"/>
        </w:rPr>
        <w:t>/T 24040-2008，3.34]</w:t>
      </w:r>
    </w:p>
    <w:p>
      <w:pPr>
        <w:spacing w:before="252" w:line="191" w:lineRule="auto"/>
        <w:rPr>
          <w:rFonts w:ascii="SimHei" w:eastAsia="SimHei" w:hAnsi="SimHei" w:cs="SimHei"/>
          <w:sz w:val="20"/>
          <w:szCs w:val="20"/>
        </w:rPr>
      </w:pPr>
      <w:r>
        <w:rPr>
          <w:rFonts w:ascii="SimHei" w:eastAsia="SimHei" w:hAnsi="SimHei" w:cs="SimHei"/>
          <w:spacing w:val="3"/>
          <w:sz w:val="20"/>
          <w:szCs w:val="20"/>
        </w:rPr>
        <w:t>3.12</w:t>
      </w:r>
    </w:p>
    <w:p>
      <w:pPr>
        <w:spacing w:before="230" w:line="229" w:lineRule="auto"/>
        <w:ind w:left="424"/>
        <w:rPr>
          <w:rFonts w:ascii="SimHei" w:eastAsia="SimHei" w:hAnsi="SimHei" w:cs="SimHei"/>
          <w:sz w:val="20"/>
          <w:szCs w:val="20"/>
        </w:rPr>
      </w:pPr>
      <w:r>
        <w:rPr>
          <w:rFonts w:ascii="SimHei" w:eastAsia="SimHei" w:hAnsi="SimHei" w:cs="SimHei"/>
          <w:spacing w:val="17"/>
          <w:sz w:val="20"/>
          <w:szCs w:val="20"/>
        </w:rPr>
        <w:t>取舍准则</w:t>
      </w:r>
      <w:r>
        <w:rPr>
          <w:rFonts w:ascii="SimHei" w:eastAsia="SimHei" w:hAnsi="SimHei" w:cs="SimHei"/>
          <w:spacing w:val="17"/>
          <w:sz w:val="20"/>
          <w:szCs w:val="20"/>
        </w:rPr>
        <w:t xml:space="preserve"> </w:t>
      </w:r>
      <w:r>
        <w:rPr>
          <w:rFonts w:ascii="SimHei" w:eastAsia="SimHei" w:hAnsi="SimHei" w:cs="SimHei"/>
          <w:sz w:val="20"/>
          <w:szCs w:val="20"/>
        </w:rPr>
        <w:t>cut</w:t>
      </w:r>
      <w:r>
        <w:rPr>
          <w:rFonts w:ascii="SimHei" w:eastAsia="SimHei" w:hAnsi="SimHei" w:cs="SimHei"/>
          <w:spacing w:val="17"/>
          <w:sz w:val="20"/>
          <w:szCs w:val="20"/>
        </w:rPr>
        <w:t>—</w:t>
      </w:r>
      <w:r>
        <w:rPr>
          <w:rFonts w:ascii="SimHei" w:eastAsia="SimHei" w:hAnsi="SimHei" w:cs="SimHei"/>
          <w:sz w:val="20"/>
          <w:szCs w:val="20"/>
        </w:rPr>
        <w:t>off</w:t>
      </w:r>
      <w:r>
        <w:rPr>
          <w:rFonts w:ascii="SimHei" w:eastAsia="SimHei" w:hAnsi="SimHei" w:cs="SimHei"/>
          <w:spacing w:val="17"/>
          <w:sz w:val="20"/>
          <w:szCs w:val="20"/>
        </w:rPr>
        <w:t xml:space="preserve"> </w:t>
      </w:r>
      <w:r>
        <w:rPr>
          <w:rFonts w:ascii="SimHei" w:eastAsia="SimHei" w:hAnsi="SimHei" w:cs="SimHei"/>
          <w:sz w:val="20"/>
          <w:szCs w:val="20"/>
        </w:rPr>
        <w:t>criteria</w:t>
      </w:r>
    </w:p>
    <w:p>
      <w:pPr>
        <w:pStyle w:val="BodyText"/>
        <w:spacing w:before="64" w:line="258" w:lineRule="auto"/>
        <w:ind w:left="18" w:right="53" w:firstLine="400"/>
      </w:pPr>
      <w:r>
        <w:rPr>
          <w:spacing w:val="13"/>
        </w:rPr>
        <w:t>对与单元过程或产品系统相关的物质或能量流的数量或环境影</w:t>
      </w:r>
      <w:r>
        <w:rPr>
          <w:spacing w:val="12"/>
        </w:rPr>
        <w:t>响重要性程度是否被排除在评价范</w:t>
      </w:r>
      <w:r>
        <w:t xml:space="preserve"> </w:t>
      </w:r>
      <w:r>
        <w:rPr>
          <w:spacing w:val="5"/>
        </w:rPr>
        <w:t>围之外所作的规定。</w:t>
      </w:r>
    </w:p>
    <w:p>
      <w:pPr>
        <w:pStyle w:val="BodyText"/>
        <w:spacing w:before="65" w:line="499" w:lineRule="exact"/>
        <w:ind w:left="452"/>
      </w:pPr>
      <w:r>
        <w:rPr>
          <w:spacing w:val="4"/>
          <w:position w:val="22"/>
        </w:rPr>
        <w:t>[来源：</w:t>
      </w:r>
      <w:r>
        <w:rPr>
          <w:position w:val="22"/>
        </w:rPr>
        <w:t>GB</w:t>
      </w:r>
      <w:r>
        <w:rPr>
          <w:spacing w:val="4"/>
          <w:position w:val="22"/>
        </w:rPr>
        <w:t>/T 24040-2008，3.18]</w:t>
      </w:r>
    </w:p>
    <w:p>
      <w:pPr>
        <w:spacing w:line="191" w:lineRule="auto"/>
        <w:rPr>
          <w:rFonts w:ascii="SimHei" w:eastAsia="SimHei" w:hAnsi="SimHei" w:cs="SimHei"/>
          <w:sz w:val="20"/>
          <w:szCs w:val="20"/>
        </w:rPr>
      </w:pPr>
      <w:r>
        <w:rPr>
          <w:rFonts w:ascii="SimHei" w:eastAsia="SimHei" w:hAnsi="SimHei" w:cs="SimHei"/>
          <w:spacing w:val="3"/>
          <w:sz w:val="20"/>
          <w:szCs w:val="20"/>
        </w:rPr>
        <w:t>3.13</w:t>
      </w:r>
    </w:p>
    <w:p>
      <w:pPr>
        <w:spacing w:before="231" w:line="226" w:lineRule="auto"/>
        <w:ind w:left="418"/>
        <w:rPr>
          <w:rFonts w:ascii="SimHei" w:eastAsia="SimHei" w:hAnsi="SimHei" w:cs="SimHei"/>
          <w:sz w:val="20"/>
          <w:szCs w:val="20"/>
        </w:rPr>
      </w:pPr>
      <w:r>
        <w:rPr>
          <w:rFonts w:ascii="SimHei" w:eastAsia="SimHei" w:hAnsi="SimHei" w:cs="SimHei"/>
          <w:spacing w:val="17"/>
          <w:sz w:val="20"/>
          <w:szCs w:val="20"/>
        </w:rPr>
        <w:t>初级数据</w:t>
      </w:r>
      <w:r>
        <w:rPr>
          <w:rFonts w:ascii="SimHei" w:eastAsia="SimHei" w:hAnsi="SimHei" w:cs="SimHei"/>
          <w:spacing w:val="-36"/>
          <w:sz w:val="20"/>
          <w:szCs w:val="20"/>
        </w:rPr>
        <w:t xml:space="preserve"> </w:t>
      </w:r>
      <w:r>
        <w:rPr>
          <w:rFonts w:ascii="SimHei" w:eastAsia="SimHei" w:hAnsi="SimHei" w:cs="SimHei"/>
          <w:sz w:val="20"/>
          <w:szCs w:val="20"/>
        </w:rPr>
        <w:t>primary</w:t>
      </w:r>
      <w:r>
        <w:rPr>
          <w:rFonts w:ascii="SimHei" w:eastAsia="SimHei" w:hAnsi="SimHei" w:cs="SimHei"/>
          <w:spacing w:val="17"/>
          <w:sz w:val="20"/>
          <w:szCs w:val="20"/>
        </w:rPr>
        <w:t xml:space="preserve"> </w:t>
      </w:r>
      <w:r>
        <w:rPr>
          <w:rFonts w:ascii="SimHei" w:eastAsia="SimHei" w:hAnsi="SimHei" w:cs="SimHei"/>
          <w:sz w:val="20"/>
          <w:szCs w:val="20"/>
        </w:rPr>
        <w:t>data</w:t>
      </w:r>
    </w:p>
    <w:p>
      <w:pPr>
        <w:pStyle w:val="BodyText"/>
        <w:spacing w:before="66" w:line="228" w:lineRule="auto"/>
        <w:ind w:left="420"/>
      </w:pPr>
      <w:r>
        <w:rPr>
          <w:spacing w:val="9"/>
        </w:rPr>
        <w:t>通过直接测量或基于直接测量的计算而得到的过程或活动的量化值。</w:t>
      </w:r>
    </w:p>
    <w:p>
      <w:pPr>
        <w:pStyle w:val="BodyText"/>
        <w:spacing w:before="80" w:line="270" w:lineRule="auto"/>
        <w:ind w:left="1006" w:right="63" w:hanging="537"/>
        <w:rPr>
          <w:sz w:val="18"/>
          <w:szCs w:val="18"/>
        </w:rPr>
      </w:pPr>
      <w:r>
        <w:rPr>
          <w:rFonts w:ascii="SimHei" w:eastAsia="SimHei" w:hAnsi="SimHei" w:cs="SimHei"/>
          <w:spacing w:val="2"/>
          <w:sz w:val="18"/>
          <w:szCs w:val="18"/>
        </w:rPr>
        <w:t>注</w:t>
      </w:r>
      <w:r>
        <w:rPr>
          <w:rFonts w:ascii="SimHei" w:eastAsia="SimHei" w:hAnsi="SimHei" w:cs="SimHei"/>
          <w:spacing w:val="-26"/>
          <w:sz w:val="18"/>
          <w:szCs w:val="18"/>
        </w:rPr>
        <w:t xml:space="preserve"> </w:t>
      </w:r>
      <w:r>
        <w:rPr>
          <w:rFonts w:ascii="SimHei" w:eastAsia="SimHei" w:hAnsi="SimHei" w:cs="SimHei"/>
          <w:spacing w:val="2"/>
          <w:sz w:val="18"/>
          <w:szCs w:val="18"/>
        </w:rPr>
        <w:t>1：</w:t>
      </w:r>
      <w:r>
        <w:rPr>
          <w:spacing w:val="2"/>
          <w:sz w:val="18"/>
          <w:szCs w:val="18"/>
        </w:rPr>
        <w:t>初级数据不是必须来自所量化的产品系统，因为初级数据可</w:t>
      </w:r>
      <w:r>
        <w:rPr>
          <w:spacing w:val="1"/>
          <w:sz w:val="18"/>
          <w:szCs w:val="18"/>
        </w:rPr>
        <w:t>能涉及其他与所量化的产品系统具有可比性的</w:t>
      </w:r>
      <w:r>
        <w:rPr>
          <w:sz w:val="18"/>
          <w:szCs w:val="18"/>
        </w:rPr>
        <w:t xml:space="preserve"> </w:t>
      </w:r>
      <w:r>
        <w:rPr>
          <w:spacing w:val="-2"/>
          <w:sz w:val="18"/>
          <w:szCs w:val="18"/>
        </w:rPr>
        <w:t>产品系统。</w:t>
      </w:r>
    </w:p>
    <w:p>
      <w:pPr>
        <w:pStyle w:val="BodyText"/>
        <w:spacing w:before="98" w:line="222" w:lineRule="auto"/>
        <w:ind w:left="421"/>
        <w:rPr>
          <w:sz w:val="18"/>
          <w:szCs w:val="18"/>
        </w:rPr>
      </w:pPr>
      <w:r>
        <w:rPr>
          <w:rFonts w:ascii="SimHei" w:eastAsia="SimHei" w:hAnsi="SimHei" w:cs="SimHei"/>
          <w:spacing w:val="-1"/>
          <w:sz w:val="18"/>
          <w:szCs w:val="18"/>
        </w:rPr>
        <w:t>注</w:t>
      </w:r>
      <w:r>
        <w:rPr>
          <w:rFonts w:ascii="SimHei" w:eastAsia="SimHei" w:hAnsi="SimHei" w:cs="SimHei"/>
          <w:spacing w:val="-24"/>
          <w:sz w:val="18"/>
          <w:szCs w:val="18"/>
        </w:rPr>
        <w:t xml:space="preserve"> </w:t>
      </w:r>
      <w:r>
        <w:rPr>
          <w:rFonts w:ascii="SimHei" w:eastAsia="SimHei" w:hAnsi="SimHei" w:cs="SimHei"/>
          <w:spacing w:val="-1"/>
          <w:sz w:val="18"/>
          <w:szCs w:val="18"/>
        </w:rPr>
        <w:t>2：</w:t>
      </w:r>
      <w:r>
        <w:rPr>
          <w:spacing w:val="-1"/>
          <w:sz w:val="18"/>
          <w:szCs w:val="18"/>
        </w:rPr>
        <w:t>初级数据可以包含温室气体排放因子和/或温室气体活动数据。</w:t>
      </w:r>
    </w:p>
    <w:p>
      <w:pPr>
        <w:pStyle w:val="BodyText"/>
        <w:spacing w:before="80" w:line="499" w:lineRule="exact"/>
        <w:ind w:left="452"/>
      </w:pPr>
      <w:r>
        <w:rPr>
          <w:spacing w:val="5"/>
          <w:position w:val="22"/>
        </w:rPr>
        <w:t>[来源：</w:t>
      </w:r>
      <w:r>
        <w:rPr>
          <w:position w:val="22"/>
        </w:rPr>
        <w:t>ISO</w:t>
      </w:r>
      <w:r>
        <w:rPr>
          <w:spacing w:val="5"/>
          <w:position w:val="22"/>
        </w:rPr>
        <w:t xml:space="preserve"> 14067:2018，3.1.</w:t>
      </w:r>
      <w:r>
        <w:rPr>
          <w:spacing w:val="4"/>
          <w:position w:val="22"/>
        </w:rPr>
        <w:t>6.1]</w:t>
      </w:r>
    </w:p>
    <w:p>
      <w:pPr>
        <w:spacing w:line="191" w:lineRule="auto"/>
        <w:rPr>
          <w:rFonts w:ascii="SimHei" w:eastAsia="SimHei" w:hAnsi="SimHei" w:cs="SimHei"/>
          <w:sz w:val="20"/>
          <w:szCs w:val="20"/>
        </w:rPr>
      </w:pPr>
      <w:r>
        <w:rPr>
          <w:rFonts w:ascii="SimHei" w:eastAsia="SimHei" w:hAnsi="SimHei" w:cs="SimHei"/>
          <w:spacing w:val="3"/>
          <w:sz w:val="20"/>
          <w:szCs w:val="20"/>
        </w:rPr>
        <w:t>3.14</w:t>
      </w:r>
    </w:p>
    <w:p>
      <w:pPr>
        <w:spacing w:before="230" w:line="312" w:lineRule="exact"/>
        <w:ind w:left="420"/>
        <w:rPr>
          <w:rFonts w:ascii="SimHei" w:eastAsia="SimHei" w:hAnsi="SimHei" w:cs="SimHei"/>
          <w:sz w:val="20"/>
          <w:szCs w:val="20"/>
        </w:rPr>
      </w:pPr>
      <w:r>
        <w:rPr>
          <w:rFonts w:ascii="SimHei" w:eastAsia="SimHei" w:hAnsi="SimHei" w:cs="SimHei"/>
          <w:spacing w:val="19"/>
          <w:position w:val="7"/>
          <w:sz w:val="20"/>
          <w:szCs w:val="20"/>
        </w:rPr>
        <w:t>次级数据</w:t>
      </w:r>
      <w:r>
        <w:rPr>
          <w:rFonts w:ascii="SimHei" w:eastAsia="SimHei" w:hAnsi="SimHei" w:cs="SimHei"/>
          <w:spacing w:val="19"/>
          <w:position w:val="7"/>
          <w:sz w:val="20"/>
          <w:szCs w:val="20"/>
        </w:rPr>
        <w:t xml:space="preserve"> </w:t>
      </w:r>
      <w:r>
        <w:rPr>
          <w:rFonts w:ascii="SimHei" w:eastAsia="SimHei" w:hAnsi="SimHei" w:cs="SimHei"/>
          <w:position w:val="7"/>
          <w:sz w:val="20"/>
          <w:szCs w:val="20"/>
        </w:rPr>
        <w:t>secondary</w:t>
      </w:r>
      <w:r>
        <w:rPr>
          <w:rFonts w:ascii="SimHei" w:eastAsia="SimHei" w:hAnsi="SimHei" w:cs="SimHei"/>
          <w:spacing w:val="11"/>
          <w:position w:val="7"/>
          <w:sz w:val="20"/>
          <w:szCs w:val="20"/>
        </w:rPr>
        <w:t xml:space="preserve"> </w:t>
      </w:r>
      <w:r>
        <w:rPr>
          <w:rFonts w:ascii="SimHei" w:eastAsia="SimHei" w:hAnsi="SimHei" w:cs="SimHei"/>
          <w:position w:val="7"/>
          <w:sz w:val="20"/>
          <w:szCs w:val="20"/>
        </w:rPr>
        <w:t>data</w:t>
      </w:r>
    </w:p>
    <w:p>
      <w:pPr>
        <w:pStyle w:val="BodyText"/>
        <w:spacing w:before="1" w:line="227" w:lineRule="auto"/>
        <w:ind w:left="423"/>
      </w:pPr>
      <w:r>
        <w:rPr>
          <w:spacing w:val="8"/>
        </w:rPr>
        <w:t>不符合初级数据要求的数据。</w:t>
      </w:r>
    </w:p>
    <w:p>
      <w:pPr>
        <w:pStyle w:val="BodyText"/>
        <w:spacing w:before="80" w:line="270" w:lineRule="auto"/>
        <w:ind w:left="1015" w:right="68" w:hanging="587"/>
        <w:rPr>
          <w:sz w:val="18"/>
          <w:szCs w:val="18"/>
        </w:rPr>
      </w:pPr>
      <w:r>
        <w:rPr>
          <w:rFonts w:ascii="SimHei" w:eastAsia="SimHei" w:hAnsi="SimHei" w:cs="SimHei"/>
          <w:spacing w:val="2"/>
          <w:sz w:val="18"/>
          <w:szCs w:val="18"/>
        </w:rPr>
        <w:t>注</w:t>
      </w:r>
      <w:r>
        <w:rPr>
          <w:rFonts w:ascii="SimHei" w:eastAsia="SimHei" w:hAnsi="SimHei" w:cs="SimHei"/>
          <w:spacing w:val="-10"/>
          <w:sz w:val="18"/>
          <w:szCs w:val="18"/>
        </w:rPr>
        <w:t xml:space="preserve"> </w:t>
      </w:r>
      <w:r>
        <w:rPr>
          <w:rFonts w:ascii="SimHei" w:eastAsia="SimHei" w:hAnsi="SimHei" w:cs="SimHei"/>
          <w:spacing w:val="2"/>
          <w:sz w:val="18"/>
          <w:szCs w:val="18"/>
        </w:rPr>
        <w:t>1：</w:t>
      </w:r>
      <w:r>
        <w:rPr>
          <w:spacing w:val="2"/>
          <w:sz w:val="18"/>
          <w:szCs w:val="18"/>
        </w:rPr>
        <w:t>次级数据可以包括数据库和公开文献中的数据、国家清单中的缺省排放因子、计算数据、估计值或其他经</w:t>
      </w:r>
      <w:r>
        <w:rPr>
          <w:sz w:val="18"/>
          <w:szCs w:val="18"/>
        </w:rPr>
        <w:t xml:space="preserve"> </w:t>
      </w:r>
      <w:r>
        <w:rPr>
          <w:spacing w:val="-1"/>
          <w:sz w:val="18"/>
          <w:szCs w:val="18"/>
        </w:rPr>
        <w:t>主管部门验证的代表性数据。</w:t>
      </w:r>
    </w:p>
    <w:p>
      <w:pPr>
        <w:pStyle w:val="BodyText"/>
        <w:spacing w:before="98" w:line="297" w:lineRule="exact"/>
        <w:ind w:left="428"/>
        <w:rPr>
          <w:sz w:val="18"/>
          <w:szCs w:val="18"/>
        </w:rPr>
      </w:pPr>
      <w:r>
        <w:rPr>
          <w:rFonts w:ascii="SimHei" w:eastAsia="SimHei" w:hAnsi="SimHei" w:cs="SimHei"/>
          <w:spacing w:val="-1"/>
          <w:position w:val="8"/>
          <w:sz w:val="18"/>
          <w:szCs w:val="18"/>
        </w:rPr>
        <w:t>注:2：</w:t>
      </w:r>
      <w:r>
        <w:rPr>
          <w:spacing w:val="-1"/>
          <w:position w:val="8"/>
          <w:sz w:val="18"/>
          <w:szCs w:val="18"/>
        </w:rPr>
        <w:t>辅助数据可以包括从代替过程或估计获得的数据。</w:t>
      </w:r>
    </w:p>
    <w:p>
      <w:pPr>
        <w:pStyle w:val="BodyText"/>
        <w:spacing w:before="1" w:line="227" w:lineRule="auto"/>
        <w:ind w:left="452"/>
      </w:pPr>
      <w:r>
        <w:rPr>
          <w:spacing w:val="5"/>
        </w:rPr>
        <w:t>[来源：</w:t>
      </w:r>
      <w:r>
        <w:t>ISO</w:t>
      </w:r>
      <w:r>
        <w:rPr>
          <w:spacing w:val="5"/>
        </w:rPr>
        <w:t xml:space="preserve"> 14067:2018，3.1.</w:t>
      </w:r>
      <w:r>
        <w:rPr>
          <w:spacing w:val="4"/>
        </w:rPr>
        <w:t>6.3]</w:t>
      </w:r>
    </w:p>
    <w:p>
      <w:pPr>
        <w:spacing w:before="252" w:line="191" w:lineRule="auto"/>
        <w:rPr>
          <w:rFonts w:ascii="SimHei" w:eastAsia="SimHei" w:hAnsi="SimHei" w:cs="SimHei"/>
          <w:sz w:val="20"/>
          <w:szCs w:val="20"/>
        </w:rPr>
      </w:pPr>
      <w:r>
        <w:rPr>
          <w:rFonts w:ascii="SimHei" w:eastAsia="SimHei" w:hAnsi="SimHei" w:cs="SimHei"/>
          <w:spacing w:val="3"/>
          <w:sz w:val="20"/>
          <w:szCs w:val="20"/>
        </w:rPr>
        <w:t>3.15</w:t>
      </w:r>
    </w:p>
    <w:p>
      <w:pPr>
        <w:spacing w:before="230" w:line="231" w:lineRule="auto"/>
        <w:ind w:left="425"/>
        <w:rPr>
          <w:rFonts w:ascii="SimHei" w:eastAsia="SimHei" w:hAnsi="SimHei" w:cs="SimHei"/>
          <w:sz w:val="20"/>
          <w:szCs w:val="20"/>
        </w:rPr>
      </w:pPr>
      <w:r>
        <w:rPr>
          <w:rFonts w:ascii="SimHei" w:eastAsia="SimHei" w:hAnsi="SimHei" w:cs="SimHei"/>
          <w:spacing w:val="21"/>
          <w:sz w:val="20"/>
          <w:szCs w:val="20"/>
        </w:rPr>
        <w:t>分配</w:t>
      </w:r>
      <w:r>
        <w:rPr>
          <w:rFonts w:ascii="SimHei" w:eastAsia="SimHei" w:hAnsi="SimHei" w:cs="SimHei"/>
          <w:spacing w:val="21"/>
          <w:sz w:val="20"/>
          <w:szCs w:val="20"/>
        </w:rPr>
        <w:t xml:space="preserve"> </w:t>
      </w:r>
      <w:r>
        <w:rPr>
          <w:rFonts w:ascii="SimHei" w:eastAsia="SimHei" w:hAnsi="SimHei" w:cs="SimHei"/>
          <w:sz w:val="20"/>
          <w:szCs w:val="20"/>
        </w:rPr>
        <w:t>allocation</w:t>
      </w:r>
    </w:p>
    <w:p>
      <w:pPr>
        <w:pStyle w:val="BodyText"/>
        <w:spacing w:before="62" w:line="258" w:lineRule="auto"/>
        <w:ind w:left="452" w:hanging="34"/>
      </w:pPr>
      <w:r>
        <w:rPr>
          <w:spacing w:val="9"/>
        </w:rPr>
        <w:t>将过程或产品系统中的输入和输出流划分到所研究的产品系统以及一个或更多的其他产品系统中。</w:t>
      </w:r>
      <w:r>
        <w:t xml:space="preserve"> </w:t>
      </w:r>
      <w:r>
        <w:rPr>
          <w:spacing w:val="4"/>
        </w:rPr>
        <w:t>[来源：</w:t>
      </w:r>
      <w:r>
        <w:t>GB</w:t>
      </w:r>
      <w:r>
        <w:rPr>
          <w:spacing w:val="4"/>
        </w:rPr>
        <w:t>/T 24040-2008，3.17]</w:t>
      </w:r>
    </w:p>
    <w:p>
      <w:pPr>
        <w:spacing w:before="252" w:line="191" w:lineRule="auto"/>
        <w:rPr>
          <w:rFonts w:ascii="SimHei" w:eastAsia="SimHei" w:hAnsi="SimHei" w:cs="SimHei"/>
          <w:sz w:val="20"/>
          <w:szCs w:val="20"/>
        </w:rPr>
      </w:pPr>
      <w:r>
        <w:rPr>
          <w:rFonts w:ascii="SimHei" w:eastAsia="SimHei" w:hAnsi="SimHei" w:cs="SimHei"/>
          <w:spacing w:val="3"/>
          <w:sz w:val="20"/>
          <w:szCs w:val="20"/>
        </w:rPr>
        <w:t>3.16</w:t>
      </w:r>
    </w:p>
    <w:p>
      <w:pPr>
        <w:spacing w:before="230" w:line="226" w:lineRule="auto"/>
        <w:ind w:left="421"/>
        <w:rPr>
          <w:rFonts w:ascii="SimHei" w:eastAsia="SimHei" w:hAnsi="SimHei" w:cs="SimHei"/>
          <w:sz w:val="20"/>
          <w:szCs w:val="20"/>
        </w:rPr>
        <w:sectPr>
          <w:footerReference w:type="default" r:id="rId8"/>
          <w:pgSz w:w="11906" w:h="16838"/>
          <w:pgMar w:top="1347" w:right="1075" w:bottom="1534" w:left="1424" w:header="0" w:footer="1369" w:gutter="0"/>
          <w:pgNumType w:start="5"/>
          <w:cols w:space="708"/>
        </w:sectPr>
      </w:pPr>
      <w:r>
        <w:rPr>
          <w:rFonts w:ascii="SimHei" w:eastAsia="SimHei" w:hAnsi="SimHei" w:cs="SimHei"/>
          <w:spacing w:val="14"/>
          <w:sz w:val="20"/>
          <w:szCs w:val="20"/>
        </w:rPr>
        <w:t>全球增温潜势</w:t>
      </w:r>
      <w:r>
        <w:rPr>
          <w:rFonts w:ascii="SimHei" w:eastAsia="SimHei" w:hAnsi="SimHei" w:cs="SimHei"/>
          <w:spacing w:val="14"/>
          <w:sz w:val="20"/>
          <w:szCs w:val="20"/>
        </w:rPr>
        <w:t xml:space="preserve"> </w:t>
      </w:r>
      <w:r>
        <w:rPr>
          <w:rFonts w:ascii="SimHei" w:eastAsia="SimHei" w:hAnsi="SimHei" w:cs="SimHei"/>
          <w:sz w:val="20"/>
          <w:szCs w:val="20"/>
        </w:rPr>
        <w:t>g</w:t>
      </w:r>
      <w:r>
        <w:rPr>
          <w:rFonts w:ascii="SimHei" w:eastAsia="SimHei" w:hAnsi="SimHei" w:cs="SimHei"/>
          <w:spacing w:val="-53"/>
          <w:sz w:val="20"/>
          <w:szCs w:val="20"/>
        </w:rPr>
        <w:t xml:space="preserve"> </w:t>
      </w:r>
      <w:r>
        <w:rPr>
          <w:rFonts w:ascii="SimHei" w:eastAsia="SimHei" w:hAnsi="SimHei" w:cs="SimHei"/>
          <w:sz w:val="20"/>
          <w:szCs w:val="20"/>
        </w:rPr>
        <w:t>lobal</w:t>
      </w:r>
      <w:r>
        <w:rPr>
          <w:rFonts w:ascii="SimHei" w:eastAsia="SimHei" w:hAnsi="SimHei" w:cs="SimHei"/>
          <w:spacing w:val="14"/>
          <w:sz w:val="20"/>
          <w:szCs w:val="20"/>
        </w:rPr>
        <w:t xml:space="preserve"> </w:t>
      </w:r>
      <w:r>
        <w:rPr>
          <w:rFonts w:ascii="SimHei" w:eastAsia="SimHei" w:hAnsi="SimHei" w:cs="SimHei"/>
          <w:sz w:val="20"/>
          <w:szCs w:val="20"/>
        </w:rPr>
        <w:t>warming</w:t>
      </w:r>
      <w:r>
        <w:rPr>
          <w:rFonts w:ascii="SimHei" w:eastAsia="SimHei" w:hAnsi="SimHei" w:cs="SimHei"/>
          <w:spacing w:val="14"/>
          <w:sz w:val="20"/>
          <w:szCs w:val="20"/>
        </w:rPr>
        <w:t xml:space="preserve"> </w:t>
      </w:r>
      <w:r>
        <w:rPr>
          <w:rFonts w:ascii="SimHei" w:eastAsia="SimHei" w:hAnsi="SimHei" w:cs="SimHei"/>
          <w:sz w:val="20"/>
          <w:szCs w:val="20"/>
        </w:rPr>
        <w:t>potential</w:t>
      </w:r>
      <w:r>
        <w:rPr>
          <w:rFonts w:ascii="SimHei" w:eastAsia="SimHei" w:hAnsi="SimHei" w:cs="SimHei"/>
          <w:spacing w:val="14"/>
          <w:sz w:val="20"/>
          <w:szCs w:val="20"/>
        </w:rPr>
        <w:t>（</w:t>
      </w:r>
      <w:r>
        <w:rPr>
          <w:rFonts w:ascii="SimHei" w:eastAsia="SimHei" w:hAnsi="SimHei" w:cs="SimHei"/>
          <w:sz w:val="20"/>
          <w:szCs w:val="20"/>
        </w:rPr>
        <w:t>GWP</w:t>
      </w:r>
      <w:r>
        <w:rPr>
          <w:rFonts w:ascii="SimHei" w:eastAsia="SimHei" w:hAnsi="SimHei" w:cs="SimHei"/>
          <w:spacing w:val="14"/>
          <w:sz w:val="20"/>
          <w:szCs w:val="20"/>
        </w:rPr>
        <w:t>）</w:t>
      </w:r>
    </w:p>
    <w:p>
      <w:pPr>
        <w:pStyle w:val="BodyText"/>
        <w:spacing w:before="67" w:line="258" w:lineRule="auto"/>
        <w:ind w:left="436" w:right="53" w:hanging="18"/>
      </w:pPr>
      <w:r>
        <w:rPr>
          <w:spacing w:val="13"/>
        </w:rPr>
        <w:t>将单位质量的某种温室气体在给定时间段内辐射强迫的影响与等</w:t>
      </w:r>
      <w:r>
        <w:rPr>
          <w:spacing w:val="12"/>
        </w:rPr>
        <w:t>量二氧化碳辐射强度影响相关联</w:t>
      </w:r>
      <w:r>
        <w:t xml:space="preserve"> </w:t>
      </w:r>
      <w:r>
        <w:t>的系数。</w:t>
      </w:r>
    </w:p>
    <w:p>
      <w:pPr>
        <w:pStyle w:val="BodyText"/>
        <w:spacing w:before="65" w:line="499" w:lineRule="exact"/>
        <w:ind w:left="452"/>
      </w:pPr>
      <w:r>
        <w:rPr>
          <w:spacing w:val="4"/>
          <w:position w:val="22"/>
        </w:rPr>
        <w:t>[来源：</w:t>
      </w:r>
      <w:r>
        <w:rPr>
          <w:position w:val="22"/>
        </w:rPr>
        <w:t>GB</w:t>
      </w:r>
      <w:r>
        <w:rPr>
          <w:spacing w:val="4"/>
          <w:position w:val="22"/>
        </w:rPr>
        <w:t>/T 32150-2015，3.15]</w:t>
      </w:r>
    </w:p>
    <w:p>
      <w:pPr>
        <w:spacing w:line="191" w:lineRule="auto"/>
        <w:rPr>
          <w:rFonts w:ascii="SimHei" w:eastAsia="SimHei" w:hAnsi="SimHei" w:cs="SimHei"/>
          <w:sz w:val="20"/>
          <w:szCs w:val="20"/>
        </w:rPr>
      </w:pPr>
      <w:r>
        <w:rPr>
          <w:rFonts w:ascii="SimHei" w:eastAsia="SimHei" w:hAnsi="SimHei" w:cs="SimHei"/>
          <w:spacing w:val="3"/>
          <w:sz w:val="20"/>
          <w:szCs w:val="20"/>
        </w:rPr>
        <w:t>3.17</w:t>
      </w:r>
    </w:p>
    <w:p>
      <w:pPr>
        <w:spacing w:before="230" w:line="231" w:lineRule="auto"/>
        <w:ind w:left="419"/>
        <w:rPr>
          <w:rFonts w:ascii="SimHei" w:eastAsia="SimHei" w:hAnsi="SimHei" w:cs="SimHei"/>
          <w:sz w:val="20"/>
          <w:szCs w:val="20"/>
        </w:rPr>
      </w:pPr>
      <w:r>
        <w:rPr>
          <w:rFonts w:ascii="SimHei" w:eastAsia="SimHei" w:hAnsi="SimHei" w:cs="SimHei"/>
          <w:spacing w:val="18"/>
          <w:sz w:val="20"/>
          <w:szCs w:val="20"/>
        </w:rPr>
        <w:t>排放因子</w:t>
      </w:r>
      <w:r>
        <w:rPr>
          <w:rFonts w:ascii="SimHei" w:eastAsia="SimHei" w:hAnsi="SimHei" w:cs="SimHei"/>
          <w:spacing w:val="18"/>
          <w:sz w:val="20"/>
          <w:szCs w:val="20"/>
        </w:rPr>
        <w:t xml:space="preserve"> </w:t>
      </w:r>
      <w:r>
        <w:rPr>
          <w:rFonts w:ascii="SimHei" w:eastAsia="SimHei" w:hAnsi="SimHei" w:cs="SimHei"/>
          <w:sz w:val="20"/>
          <w:szCs w:val="20"/>
        </w:rPr>
        <w:t>emission</w:t>
      </w:r>
      <w:r>
        <w:rPr>
          <w:rFonts w:ascii="SimHei" w:eastAsia="SimHei" w:hAnsi="SimHei" w:cs="SimHei"/>
          <w:spacing w:val="18"/>
          <w:sz w:val="20"/>
          <w:szCs w:val="20"/>
        </w:rPr>
        <w:t xml:space="preserve"> </w:t>
      </w:r>
      <w:r>
        <w:rPr>
          <w:rFonts w:ascii="SimHei" w:eastAsia="SimHei" w:hAnsi="SimHei" w:cs="SimHei"/>
          <w:sz w:val="20"/>
          <w:szCs w:val="20"/>
        </w:rPr>
        <w:t>factor</w:t>
      </w:r>
    </w:p>
    <w:p>
      <w:pPr>
        <w:pStyle w:val="BodyText"/>
        <w:spacing w:before="62" w:line="312" w:lineRule="exact"/>
        <w:ind w:left="419"/>
      </w:pPr>
      <w:r>
        <w:rPr>
          <w:spacing w:val="9"/>
          <w:position w:val="7"/>
        </w:rPr>
        <w:t>表征单位生产或消费活动量的温室气体排放的系数。</w:t>
      </w:r>
    </w:p>
    <w:p>
      <w:pPr>
        <w:pStyle w:val="BodyText"/>
        <w:spacing w:before="1" w:line="227" w:lineRule="auto"/>
        <w:ind w:left="452"/>
      </w:pPr>
      <w:r>
        <w:rPr>
          <w:spacing w:val="4"/>
        </w:rPr>
        <w:t>[来源：</w:t>
      </w:r>
      <w:r>
        <w:t>GB</w:t>
      </w:r>
      <w:r>
        <w:rPr>
          <w:spacing w:val="4"/>
        </w:rPr>
        <w:t>/T 32150-2015，3.13]</w:t>
      </w:r>
    </w:p>
    <w:p>
      <w:pPr>
        <w:spacing w:line="227" w:lineRule="auto"/>
        <w:sectPr>
          <w:footerReference w:type="default" r:id="rId9"/>
          <w:type w:val="nextPage"/>
          <w:pgSz w:w="11906" w:h="16838"/>
          <w:pgMar w:top="1347" w:right="1075" w:bottom="1534" w:left="1424" w:header="0" w:footer="1369" w:gutter="0"/>
          <w:pgNumType w:start="6"/>
          <w:cols w:space="708"/>
          <w:titlePg w:val="0"/>
        </w:sectPr>
      </w:pPr>
    </w:p>
    <w:p>
      <w:pPr>
        <w:spacing w:before="55" w:line="280" w:lineRule="exact"/>
        <w:ind w:right="7"/>
        <w:jc w:val="right"/>
        <w:rPr>
          <w:rFonts w:ascii="Calibri" w:eastAsia="Calibri" w:hAnsi="Calibri" w:cs="Calibri"/>
          <w:sz w:val="20"/>
          <w:szCs w:val="20"/>
        </w:rPr>
      </w:pPr>
      <w:r>
        <w:drawing>
          <wp:anchor distT="0" distB="0" distL="0" distR="0" simplePos="0" relativeHeight="251668480" behindDoc="0" locked="0" layoutInCell="0" allowOverlap="1">
            <wp:simplePos x="0" y="0"/>
            <wp:positionH relativeFrom="page">
              <wp:posOffset>4250435</wp:posOffset>
            </wp:positionH>
            <wp:positionV relativeFrom="page">
              <wp:posOffset>7034784</wp:posOffset>
            </wp:positionV>
            <wp:extent cx="50292" cy="196596"/>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50292" cy="196596"/>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16.6pt;height:10.85pt;margin-top:572.68pt;margin-left:328.33pt;mso-position-horizontal-relative:page;mso-position-vertical-relative:page;position:absolute;z-index:251662336" o:allowincell="f" filled="f" stroked="f">
            <o:lock v:ext="edit" aspectratio="f"/>
            <v:textbox inset="0,0,0,0">
              <w:txbxContent>
                <w:p>
                  <w:pPr>
                    <w:pStyle w:val="BodyText"/>
                    <w:spacing w:before="19" w:line="233" w:lineRule="auto"/>
                    <w:ind w:left="20"/>
                    <w:rPr>
                      <w:sz w:val="14"/>
                      <w:szCs w:val="14"/>
                    </w:rPr>
                  </w:pPr>
                  <w:r>
                    <w:rPr>
                      <w:spacing w:val="5"/>
                      <w:sz w:val="14"/>
                      <w:szCs w:val="14"/>
                    </w:rPr>
                    <w:t>排放</w:t>
                  </w:r>
                </w:p>
              </w:txbxContent>
            </v:textbox>
          </v:shape>
        </w:pict>
      </w:r>
      <w:r>
        <w:pict>
          <v:shape id="_x0000_s1026" type="#_x0000_t202" style="width:55.55pt;height:46.9pt;margin-top:590.36pt;margin-left:309.8pt;mso-position-horizontal-relative:page;mso-position-vertical-relative:page;position:absolute;z-index:251659264" o:allowincell="f" filled="f" stroked="f">
            <o:lock v:ext="edit" aspectratio="f"/>
            <v:textbox inset="0,0,0,0">
              <w:txbxContent>
                <w:p>
                  <w:pPr>
                    <w:spacing w:line="20" w:lineRule="exact"/>
                  </w:pPr>
                </w:p>
                <w:tbl>
                  <w:tblPr>
                    <w:tblStyle w:val="TableNormal0"/>
                    <w:tblW w:w="1065"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065"/>
                  </w:tblGrid>
                  <w:tr>
                    <w:tblPrEx>
                      <w:tblW w:w="1065"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87"/>
                    </w:trPr>
                    <w:tc>
                      <w:tcPr>
                        <w:tcW w:w="1065" w:type="dxa"/>
                        <w:vAlign w:val="top"/>
                      </w:tcPr>
                      <w:p>
                        <w:pPr>
                          <w:spacing w:line="318" w:lineRule="auto"/>
                          <w:rPr>
                            <w:rFonts w:ascii="Arial"/>
                            <w:sz w:val="21"/>
                          </w:rPr>
                        </w:pPr>
                      </w:p>
                      <w:p>
                        <w:pPr>
                          <w:pStyle w:val="TableText"/>
                          <w:spacing w:before="46" w:line="231" w:lineRule="auto"/>
                          <w:ind w:left="159"/>
                        </w:pPr>
                        <w:r>
                          <w:rPr>
                            <w:spacing w:val="8"/>
                          </w:rPr>
                          <w:t>运输、存储</w:t>
                        </w:r>
                      </w:p>
                    </w:tc>
                  </w:tr>
                </w:tbl>
                <w:p>
                  <w:pPr>
                    <w:rPr>
                      <w:rFonts w:ascii="Arial"/>
                      <w:sz w:val="21"/>
                    </w:rPr>
                  </w:pPr>
                </w:p>
              </w:txbxContent>
            </v:textbox>
          </v:shape>
        </w:pict>
      </w:r>
      <w:r>
        <w:pict>
          <v:shape id="_x0000_s1027" type="#_x0000_t202" style="width:38.9pt;height:10.85pt;margin-top:661pt;margin-left:318.66pt;mso-position-horizontal-relative:page;mso-position-vertical-relative:page;position:absolute;z-index:251661312" o:allowincell="f" filled="f" stroked="f">
            <o:lock v:ext="edit" aspectratio="f"/>
            <v:textbox inset="0,0,0,0">
              <w:txbxContent>
                <w:p>
                  <w:pPr>
                    <w:pStyle w:val="BodyText"/>
                    <w:spacing w:before="19" w:line="233" w:lineRule="auto"/>
                    <w:ind w:left="20"/>
                    <w:rPr>
                      <w:sz w:val="14"/>
                      <w:szCs w:val="14"/>
                    </w:rPr>
                  </w:pPr>
                  <w:r>
                    <w:rPr>
                      <w:spacing w:val="7"/>
                      <w:sz w:val="14"/>
                      <w:szCs w:val="14"/>
                    </w:rPr>
                    <w:t>能源、资源</w:t>
                  </w:r>
                </w:p>
              </w:txbxContent>
            </v:textbox>
          </v:shape>
        </w:pict>
      </w:r>
      <w:r>
        <w:drawing>
          <wp:anchor distT="0" distB="0" distL="0" distR="0" simplePos="0" relativeHeight="251666432" behindDoc="0" locked="0" layoutInCell="0" allowOverlap="1">
            <wp:simplePos x="0" y="0"/>
            <wp:positionH relativeFrom="page">
              <wp:posOffset>4250435</wp:posOffset>
            </wp:positionH>
            <wp:positionV relativeFrom="page">
              <wp:posOffset>8097011</wp:posOffset>
            </wp:positionV>
            <wp:extent cx="50292" cy="201168"/>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50292" cy="201168"/>
                    </a:xfrm>
                    <a:prstGeom prst="rect">
                      <a:avLst/>
                    </a:prstGeom>
                  </pic:spPr>
                </pic:pic>
              </a:graphicData>
            </a:graphic>
          </wp:anchor>
        </w:drawing>
      </w:r>
      <w:r>
        <w:drawing>
          <wp:anchor distT="0" distB="0" distL="0" distR="0" simplePos="0" relativeHeight="251669504" behindDoc="0" locked="0" layoutInCell="0" allowOverlap="1">
            <wp:simplePos x="0" y="0"/>
            <wp:positionH relativeFrom="page">
              <wp:posOffset>3779520</wp:posOffset>
            </wp:positionH>
            <wp:positionV relativeFrom="page">
              <wp:posOffset>7751064</wp:posOffset>
            </wp:positionV>
            <wp:extent cx="169163" cy="762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2"/>
                    <a:stretch>
                      <a:fillRect/>
                    </a:stretch>
                  </pic:blipFill>
                  <pic:spPr>
                    <a:xfrm>
                      <a:off x="0" y="0"/>
                      <a:ext cx="169163" cy="76200"/>
                    </a:xfrm>
                    <a:prstGeom prst="rect">
                      <a:avLst/>
                    </a:prstGeom>
                  </pic:spPr>
                </pic:pic>
              </a:graphicData>
            </a:graphic>
          </wp:anchor>
        </w:drawing>
      </w:r>
      <w:r>
        <w:drawing>
          <wp:anchor distT="0" distB="0" distL="0" distR="0" simplePos="0" relativeHeight="251658240" behindDoc="1" locked="0" layoutInCell="0" allowOverlap="1">
            <wp:simplePos x="0" y="0"/>
            <wp:positionH relativeFrom="page">
              <wp:posOffset>2374391</wp:posOffset>
            </wp:positionH>
            <wp:positionV relativeFrom="page">
              <wp:posOffset>7647432</wp:posOffset>
            </wp:positionV>
            <wp:extent cx="216408" cy="762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3"/>
                    <a:stretch>
                      <a:fillRect/>
                    </a:stretch>
                  </pic:blipFill>
                  <pic:spPr>
                    <a:xfrm>
                      <a:off x="0" y="0"/>
                      <a:ext cx="216408" cy="76200"/>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4634483</wp:posOffset>
            </wp:positionH>
            <wp:positionV relativeFrom="page">
              <wp:posOffset>7787640</wp:posOffset>
            </wp:positionV>
            <wp:extent cx="169164" cy="762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4"/>
                    <a:stretch>
                      <a:fillRect/>
                    </a:stretch>
                  </pic:blipFill>
                  <pic:spPr>
                    <a:xfrm>
                      <a:off x="0" y="0"/>
                      <a:ext cx="169164" cy="76200"/>
                    </a:xfrm>
                    <a:prstGeom prst="rect">
                      <a:avLst/>
                    </a:prstGeom>
                  </pic:spPr>
                </pic:pic>
              </a:graphicData>
            </a:graphic>
          </wp:anchor>
        </w:drawing>
      </w:r>
      <w:r>
        <w:drawing>
          <wp:anchor distT="0" distB="0" distL="0" distR="0" simplePos="0" relativeHeight="251667456" behindDoc="0" locked="0" layoutInCell="0" allowOverlap="1">
            <wp:simplePos x="0" y="0"/>
            <wp:positionH relativeFrom="page">
              <wp:posOffset>5087111</wp:posOffset>
            </wp:positionH>
            <wp:positionV relativeFrom="page">
              <wp:posOffset>7002780</wp:posOffset>
            </wp:positionV>
            <wp:extent cx="51816" cy="195071"/>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5"/>
                    <a:stretch>
                      <a:fillRect/>
                    </a:stretch>
                  </pic:blipFill>
                  <pic:spPr>
                    <a:xfrm>
                      <a:off x="0" y="0"/>
                      <a:ext cx="51816" cy="195071"/>
                    </a:xfrm>
                    <a:prstGeom prst="rect">
                      <a:avLst/>
                    </a:prstGeom>
                  </pic:spPr>
                </pic:pic>
              </a:graphicData>
            </a:graphic>
          </wp:anchor>
        </w:drawing>
      </w:r>
      <w:r>
        <w:pict>
          <v:shape id="_x0000_s1028" type="#_x0000_t202" style="width:55.4pt;height:46.9pt;margin-top:590.36pt;margin-left:378.8pt;mso-position-horizontal-relative:page;mso-position-vertical-relative:page;position:absolute;z-index:251660288" o:allowincell="f" filled="f" stroked="f">
            <o:lock v:ext="edit" aspectratio="f"/>
            <v:textbox inset="0,0,0,0">
              <w:txbxContent>
                <w:p>
                  <w:pPr>
                    <w:spacing w:line="20" w:lineRule="exact"/>
                  </w:pPr>
                </w:p>
                <w:tbl>
                  <w:tblPr>
                    <w:tblStyle w:val="TableNormal0"/>
                    <w:tblW w:w="106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062"/>
                  </w:tblGrid>
                  <w:tr>
                    <w:tblPrEx>
                      <w:tblW w:w="106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887"/>
                    </w:trPr>
                    <w:tc>
                      <w:tcPr>
                        <w:tcW w:w="1062" w:type="dxa"/>
                        <w:vAlign w:val="top"/>
                      </w:tcPr>
                      <w:p>
                        <w:pPr>
                          <w:spacing w:line="318" w:lineRule="auto"/>
                          <w:rPr>
                            <w:rFonts w:ascii="Arial"/>
                            <w:sz w:val="21"/>
                          </w:rPr>
                        </w:pPr>
                      </w:p>
                      <w:p>
                        <w:pPr>
                          <w:pStyle w:val="TableText"/>
                          <w:spacing w:before="46" w:line="231" w:lineRule="auto"/>
                          <w:ind w:left="234"/>
                        </w:pPr>
                        <w:r>
                          <w:rPr>
                            <w:spacing w:val="7"/>
                          </w:rPr>
                          <w:t>使用阶段</w:t>
                        </w:r>
                      </w:p>
                    </w:tc>
                  </w:tr>
                </w:tbl>
                <w:p>
                  <w:pPr>
                    <w:rPr>
                      <w:rFonts w:ascii="Arial"/>
                      <w:sz w:val="21"/>
                    </w:rPr>
                  </w:pPr>
                </w:p>
              </w:txbxContent>
            </v:textbox>
          </v:shape>
        </w:pict>
      </w:r>
      <w:r>
        <w:drawing>
          <wp:anchor distT="0" distB="0" distL="0" distR="0" simplePos="0" relativeHeight="251664384" behindDoc="0" locked="0" layoutInCell="0" allowOverlap="1">
            <wp:simplePos x="0" y="0"/>
            <wp:positionH relativeFrom="page">
              <wp:posOffset>5519928</wp:posOffset>
            </wp:positionH>
            <wp:positionV relativeFrom="page">
              <wp:posOffset>7796784</wp:posOffset>
            </wp:positionV>
            <wp:extent cx="169163" cy="762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6"/>
                    <a:stretch>
                      <a:fillRect/>
                    </a:stretch>
                  </pic:blipFill>
                  <pic:spPr>
                    <a:xfrm>
                      <a:off x="0" y="0"/>
                      <a:ext cx="169163" cy="76200"/>
                    </a:xfrm>
                    <a:prstGeom prst="rect">
                      <a:avLst/>
                    </a:prstGeom>
                  </pic:spPr>
                </pic:pic>
              </a:graphicData>
            </a:graphic>
          </wp:anchor>
        </w:drawing>
      </w:r>
      <w:r>
        <w:drawing>
          <wp:anchor distT="0" distB="0" distL="0" distR="0" simplePos="0" relativeHeight="251665408" behindDoc="0" locked="0" layoutInCell="0" allowOverlap="1">
            <wp:simplePos x="0" y="0"/>
            <wp:positionH relativeFrom="page">
              <wp:posOffset>5151120</wp:posOffset>
            </wp:positionH>
            <wp:positionV relativeFrom="page">
              <wp:posOffset>8087868</wp:posOffset>
            </wp:positionV>
            <wp:extent cx="51815" cy="21945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51815" cy="219455"/>
                    </a:xfrm>
                    <a:prstGeom prst="rect">
                      <a:avLst/>
                    </a:prstGeom>
                  </pic:spPr>
                </pic:pic>
              </a:graphicData>
            </a:graphic>
          </wp:anchor>
        </w:drawing>
      </w: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spacing w:before="295" w:line="229" w:lineRule="auto"/>
        <w:rPr>
          <w:rFonts w:ascii="SimHei" w:eastAsia="SimHei" w:hAnsi="SimHei" w:cs="SimHei"/>
          <w:sz w:val="20"/>
          <w:szCs w:val="20"/>
        </w:rPr>
      </w:pPr>
      <w:r>
        <w:rPr>
          <w:rFonts w:ascii="SimHei" w:eastAsia="SimHei" w:hAnsi="SimHei" w:cs="SimHei"/>
          <w:spacing w:val="5"/>
          <w:sz w:val="20"/>
          <w:szCs w:val="20"/>
        </w:rPr>
        <w:t>4</w:t>
      </w:r>
      <w:r>
        <w:rPr>
          <w:rFonts w:ascii="SimHei" w:eastAsia="SimHei" w:hAnsi="SimHei" w:cs="SimHei"/>
          <w:spacing w:val="13"/>
          <w:sz w:val="20"/>
          <w:szCs w:val="20"/>
        </w:rPr>
        <w:t xml:space="preserve">  </w:t>
      </w:r>
      <w:r>
        <w:rPr>
          <w:rFonts w:ascii="SimHei" w:eastAsia="SimHei" w:hAnsi="SimHei" w:cs="SimHei"/>
          <w:spacing w:val="5"/>
          <w:sz w:val="20"/>
          <w:szCs w:val="20"/>
        </w:rPr>
        <w:t>量化方法</w:t>
      </w:r>
    </w:p>
    <w:p>
      <w:pPr>
        <w:spacing w:line="308" w:lineRule="auto"/>
        <w:rPr>
          <w:rFonts w:ascii="Arial"/>
          <w:sz w:val="21"/>
        </w:rPr>
      </w:pPr>
    </w:p>
    <w:p>
      <w:pPr>
        <w:pStyle w:val="BodyText"/>
        <w:spacing w:before="65" w:line="257" w:lineRule="auto"/>
        <w:ind w:left="10" w:right="7" w:firstLine="414"/>
      </w:pPr>
      <w:r>
        <w:rPr>
          <w:spacing w:val="13"/>
        </w:rPr>
        <w:t>采用生命周期评价方法进行风力发电机组叶片</w:t>
      </w:r>
      <w:r>
        <w:rPr>
          <w:spacing w:val="12"/>
        </w:rPr>
        <w:t>产品碳足迹量化，包括四个阶段，即目的和范围界</w:t>
      </w:r>
      <w:r>
        <w:t xml:space="preserve"> </w:t>
      </w:r>
      <w:r>
        <w:rPr>
          <w:spacing w:val="8"/>
        </w:rPr>
        <w:t>定、清单分析、影响评价和结果解释。</w:t>
      </w:r>
    </w:p>
    <w:p>
      <w:pPr>
        <w:spacing w:line="312" w:lineRule="auto"/>
        <w:rPr>
          <w:rFonts w:ascii="Arial"/>
          <w:sz w:val="21"/>
        </w:rPr>
      </w:pPr>
    </w:p>
    <w:p>
      <w:pPr>
        <w:spacing w:before="65" w:line="231" w:lineRule="auto"/>
        <w:rPr>
          <w:rFonts w:ascii="SimHei" w:eastAsia="SimHei" w:hAnsi="SimHei" w:cs="SimHei"/>
          <w:sz w:val="20"/>
          <w:szCs w:val="20"/>
        </w:rPr>
      </w:pPr>
      <w:r>
        <w:rPr>
          <w:rFonts w:ascii="SimHei" w:eastAsia="SimHei" w:hAnsi="SimHei" w:cs="SimHei"/>
          <w:spacing w:val="5"/>
          <w:sz w:val="20"/>
          <w:szCs w:val="20"/>
        </w:rPr>
        <w:t>5</w:t>
      </w:r>
      <w:r>
        <w:rPr>
          <w:rFonts w:ascii="SimHei" w:eastAsia="SimHei" w:hAnsi="SimHei" w:cs="SimHei"/>
          <w:spacing w:val="12"/>
          <w:sz w:val="20"/>
          <w:szCs w:val="20"/>
        </w:rPr>
        <w:t xml:space="preserve">  </w:t>
      </w:r>
      <w:r>
        <w:rPr>
          <w:rFonts w:ascii="SimHei" w:eastAsia="SimHei" w:hAnsi="SimHei" w:cs="SimHei"/>
          <w:spacing w:val="5"/>
          <w:sz w:val="20"/>
          <w:szCs w:val="20"/>
        </w:rPr>
        <w:t>量化目的</w:t>
      </w:r>
    </w:p>
    <w:p>
      <w:pPr>
        <w:spacing w:line="305" w:lineRule="auto"/>
        <w:rPr>
          <w:rFonts w:ascii="Arial"/>
          <w:sz w:val="21"/>
        </w:rPr>
      </w:pPr>
    </w:p>
    <w:p>
      <w:pPr>
        <w:pStyle w:val="BodyText"/>
        <w:spacing w:before="66" w:line="258" w:lineRule="auto"/>
        <w:ind w:left="8" w:right="7" w:firstLine="416"/>
      </w:pPr>
      <w:r>
        <w:rPr>
          <w:spacing w:val="13"/>
        </w:rPr>
        <w:t>通过量化风力发电机组叶片生命周期过程中</w:t>
      </w:r>
      <w:r>
        <w:rPr>
          <w:spacing w:val="12"/>
        </w:rPr>
        <w:t>气候变化环境影响，提出风力发电机组叶片在产品研</w:t>
      </w:r>
      <w:r>
        <w:t xml:space="preserve"> </w:t>
      </w:r>
      <w:r>
        <w:rPr>
          <w:spacing w:val="9"/>
        </w:rPr>
        <w:t>发设计、生产制造和回收利用等各环节减少温室气体排放的改进方案和建议。</w:t>
      </w:r>
    </w:p>
    <w:p>
      <w:pPr>
        <w:spacing w:line="310" w:lineRule="auto"/>
        <w:rPr>
          <w:rFonts w:ascii="Arial"/>
          <w:sz w:val="21"/>
        </w:rPr>
      </w:pPr>
    </w:p>
    <w:p>
      <w:pPr>
        <w:spacing w:before="66" w:line="624" w:lineRule="exact"/>
        <w:ind w:left="4"/>
        <w:rPr>
          <w:rFonts w:ascii="SimHei" w:eastAsia="SimHei" w:hAnsi="SimHei" w:cs="SimHei"/>
          <w:sz w:val="20"/>
          <w:szCs w:val="20"/>
        </w:rPr>
      </w:pPr>
      <w:r>
        <w:rPr>
          <w:rFonts w:ascii="SimHei" w:eastAsia="SimHei" w:hAnsi="SimHei" w:cs="SimHei"/>
          <w:spacing w:val="4"/>
          <w:position w:val="32"/>
          <w:sz w:val="20"/>
          <w:szCs w:val="20"/>
        </w:rPr>
        <w:t>6</w:t>
      </w:r>
      <w:r>
        <w:rPr>
          <w:rFonts w:ascii="SimHei" w:eastAsia="SimHei" w:hAnsi="SimHei" w:cs="SimHei"/>
          <w:spacing w:val="13"/>
          <w:position w:val="32"/>
          <w:sz w:val="20"/>
          <w:szCs w:val="20"/>
        </w:rPr>
        <w:t xml:space="preserve">  </w:t>
      </w:r>
      <w:r>
        <w:rPr>
          <w:rFonts w:ascii="SimHei" w:eastAsia="SimHei" w:hAnsi="SimHei" w:cs="SimHei"/>
          <w:spacing w:val="4"/>
          <w:position w:val="32"/>
          <w:sz w:val="20"/>
          <w:szCs w:val="20"/>
        </w:rPr>
        <w:t>量化范围</w:t>
      </w:r>
    </w:p>
    <w:p>
      <w:pPr>
        <w:spacing w:line="230" w:lineRule="auto"/>
        <w:ind w:left="4"/>
        <w:rPr>
          <w:rFonts w:ascii="SimHei" w:eastAsia="SimHei" w:hAnsi="SimHei" w:cs="SimHei"/>
          <w:sz w:val="20"/>
          <w:szCs w:val="20"/>
        </w:rPr>
      </w:pPr>
      <w:r>
        <w:rPr>
          <w:rFonts w:ascii="SimHei" w:eastAsia="SimHei" w:hAnsi="SimHei" w:cs="SimHei"/>
          <w:spacing w:val="5"/>
          <w:sz w:val="20"/>
          <w:szCs w:val="20"/>
        </w:rPr>
        <w:t>6.1</w:t>
      </w:r>
      <w:r>
        <w:rPr>
          <w:rFonts w:ascii="SimHei" w:eastAsia="SimHei" w:hAnsi="SimHei" w:cs="SimHei"/>
          <w:spacing w:val="14"/>
          <w:sz w:val="20"/>
          <w:szCs w:val="20"/>
        </w:rPr>
        <w:t xml:space="preserve"> </w:t>
      </w:r>
      <w:r>
        <w:rPr>
          <w:rFonts w:ascii="SimHei" w:eastAsia="SimHei" w:hAnsi="SimHei" w:cs="SimHei"/>
          <w:spacing w:val="5"/>
          <w:sz w:val="20"/>
          <w:szCs w:val="20"/>
        </w:rPr>
        <w:t>功能单位</w:t>
      </w:r>
    </w:p>
    <w:p>
      <w:pPr>
        <w:spacing w:line="306" w:lineRule="auto"/>
        <w:rPr>
          <w:rFonts w:ascii="Arial"/>
          <w:sz w:val="21"/>
        </w:rPr>
      </w:pPr>
    </w:p>
    <w:p>
      <w:pPr>
        <w:pStyle w:val="BodyText"/>
        <w:spacing w:before="66" w:line="262" w:lineRule="auto"/>
        <w:ind w:left="14" w:firstLine="414"/>
      </w:pPr>
      <w:r>
        <w:rPr>
          <w:spacing w:val="13"/>
        </w:rPr>
        <w:t>功能单位包含产品名称、规格型号、重量、功能描述</w:t>
      </w:r>
      <w:r>
        <w:rPr>
          <w:spacing w:val="12"/>
        </w:rPr>
        <w:t>和技术参数（长度，功率，特种材料等）信</w:t>
      </w:r>
      <w:r>
        <w:t xml:space="preserve"> </w:t>
      </w:r>
      <w:r>
        <w:rPr>
          <w:spacing w:val="-5"/>
        </w:rPr>
        <w:t>息。</w:t>
      </w:r>
    </w:p>
    <w:p>
      <w:pPr>
        <w:pStyle w:val="BodyText"/>
        <w:spacing w:before="57" w:line="227" w:lineRule="auto"/>
        <w:ind w:left="426"/>
      </w:pPr>
      <w:r>
        <w:rPr>
          <w:spacing w:val="9"/>
        </w:rPr>
        <w:t>本文件功能单位定义为“一支风力发电机组叶片</w:t>
      </w:r>
      <w:r>
        <w:rPr>
          <w:spacing w:val="-69"/>
        </w:rPr>
        <w:t xml:space="preserve"> </w:t>
      </w:r>
      <w:r>
        <w:rPr>
          <w:spacing w:val="9"/>
        </w:rPr>
        <w:t>”。</w:t>
      </w:r>
    </w:p>
    <w:p>
      <w:pPr>
        <w:spacing w:line="311" w:lineRule="auto"/>
        <w:rPr>
          <w:rFonts w:ascii="Arial"/>
          <w:sz w:val="21"/>
        </w:rPr>
      </w:pPr>
    </w:p>
    <w:p>
      <w:pPr>
        <w:spacing w:before="65" w:line="229" w:lineRule="auto"/>
        <w:ind w:left="4"/>
        <w:rPr>
          <w:rFonts w:ascii="SimHei" w:eastAsia="SimHei" w:hAnsi="SimHei" w:cs="SimHei"/>
          <w:sz w:val="20"/>
          <w:szCs w:val="20"/>
        </w:rPr>
      </w:pPr>
      <w:r>
        <w:rPr>
          <w:rFonts w:ascii="SimHei" w:eastAsia="SimHei" w:hAnsi="SimHei" w:cs="SimHei"/>
          <w:spacing w:val="4"/>
          <w:sz w:val="20"/>
          <w:szCs w:val="20"/>
        </w:rPr>
        <w:t>6.2</w:t>
      </w:r>
      <w:r>
        <w:rPr>
          <w:rFonts w:ascii="SimHei" w:eastAsia="SimHei" w:hAnsi="SimHei" w:cs="SimHei"/>
          <w:spacing w:val="21"/>
          <w:sz w:val="20"/>
          <w:szCs w:val="20"/>
        </w:rPr>
        <w:t xml:space="preserve"> </w:t>
      </w:r>
      <w:r>
        <w:rPr>
          <w:rFonts w:ascii="SimHei" w:eastAsia="SimHei" w:hAnsi="SimHei" w:cs="SimHei"/>
          <w:spacing w:val="4"/>
          <w:sz w:val="20"/>
          <w:szCs w:val="20"/>
        </w:rPr>
        <w:t>系统边界</w:t>
      </w:r>
    </w:p>
    <w:p>
      <w:pPr>
        <w:spacing w:line="309" w:lineRule="auto"/>
        <w:rPr>
          <w:rFonts w:ascii="Arial"/>
          <w:sz w:val="21"/>
        </w:rPr>
      </w:pPr>
    </w:p>
    <w:p>
      <w:pPr>
        <w:spacing w:before="65" w:line="229" w:lineRule="auto"/>
        <w:ind w:left="4"/>
        <w:rPr>
          <w:rFonts w:ascii="SimHei" w:eastAsia="SimHei" w:hAnsi="SimHei" w:cs="SimHei"/>
          <w:sz w:val="20"/>
          <w:szCs w:val="20"/>
        </w:rPr>
      </w:pPr>
      <w:r>
        <w:rPr>
          <w:rFonts w:ascii="SimHei" w:eastAsia="SimHei" w:hAnsi="SimHei" w:cs="SimHei"/>
          <w:spacing w:val="4"/>
          <w:sz w:val="20"/>
          <w:szCs w:val="20"/>
        </w:rPr>
        <w:t>6.2.1</w:t>
      </w:r>
      <w:r>
        <w:rPr>
          <w:rFonts w:ascii="SimHei" w:eastAsia="SimHei" w:hAnsi="SimHei" w:cs="SimHei"/>
          <w:spacing w:val="12"/>
          <w:sz w:val="20"/>
          <w:szCs w:val="20"/>
        </w:rPr>
        <w:t xml:space="preserve"> </w:t>
      </w:r>
      <w:r>
        <w:rPr>
          <w:rFonts w:ascii="SimHei" w:eastAsia="SimHei" w:hAnsi="SimHei" w:cs="SimHei"/>
          <w:spacing w:val="4"/>
          <w:sz w:val="20"/>
          <w:szCs w:val="20"/>
        </w:rPr>
        <w:t>概述</w:t>
      </w:r>
    </w:p>
    <w:p>
      <w:pPr>
        <w:spacing w:line="308" w:lineRule="auto"/>
        <w:rPr>
          <w:rFonts w:ascii="Arial"/>
          <w:sz w:val="21"/>
        </w:rPr>
      </w:pPr>
    </w:p>
    <w:p>
      <w:pPr>
        <w:pStyle w:val="BodyText"/>
        <w:spacing w:before="66" w:line="258" w:lineRule="auto"/>
        <w:ind w:left="12" w:firstLine="413"/>
      </w:pPr>
      <w:r>
        <w:rPr>
          <w:spacing w:val="13"/>
        </w:rPr>
        <w:t>风力发电机组叶片产品的系统边界涵盖原材料获取及加工、</w:t>
      </w:r>
      <w:r>
        <w:rPr>
          <w:spacing w:val="12"/>
        </w:rPr>
        <w:t>生产制造、分销（运输）、使用、回</w:t>
      </w:r>
      <w:r>
        <w:t xml:space="preserve"> </w:t>
      </w:r>
      <w:r>
        <w:rPr>
          <w:spacing w:val="8"/>
        </w:rPr>
        <w:t>收报废五个阶段，具体系统边界内容如图1所示。</w:t>
      </w:r>
    </w:p>
    <w:p>
      <w:pPr>
        <w:spacing w:before="110" w:line="307" w:lineRule="exact"/>
        <w:ind w:left="3633"/>
      </w:pPr>
      <w:r>
        <w:rPr>
          <w:position w:val="-6"/>
        </w:rPr>
        <w:drawing>
          <wp:inline distT="0" distB="0" distL="0" distR="0">
            <wp:extent cx="51815" cy="19507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8"/>
                    <a:stretch>
                      <a:fillRect/>
                    </a:stretch>
                  </pic:blipFill>
                  <pic:spPr>
                    <a:xfrm>
                      <a:off x="0" y="0"/>
                      <a:ext cx="51815" cy="195071"/>
                    </a:xfrm>
                    <a:prstGeom prst="rect">
                      <a:avLst/>
                    </a:prstGeom>
                  </pic:spPr>
                </pic:pic>
              </a:graphicData>
            </a:graphic>
          </wp:inline>
        </w:drawing>
      </w:r>
    </w:p>
    <w:p>
      <w:pPr>
        <w:pStyle w:val="BodyText"/>
        <w:spacing w:before="42" w:line="233" w:lineRule="auto"/>
        <w:ind w:left="3478"/>
        <w:rPr>
          <w:sz w:val="14"/>
          <w:szCs w:val="14"/>
        </w:rPr>
      </w:pPr>
      <w:r>
        <w:rPr>
          <w:spacing w:val="5"/>
          <w:sz w:val="14"/>
          <w:szCs w:val="14"/>
        </w:rPr>
        <w:t>排放</w:t>
      </w:r>
    </w:p>
    <w:p>
      <w:pPr>
        <w:spacing w:line="131" w:lineRule="auto"/>
        <w:rPr>
          <w:rFonts w:ascii="Arial"/>
          <w:sz w:val="2"/>
        </w:rPr>
      </w:pPr>
    </w:p>
    <w:p>
      <w:pPr>
        <w:spacing w:line="131" w:lineRule="auto"/>
        <w:rPr>
          <w:rFonts w:ascii="Arial" w:eastAsia="Arial" w:hAnsi="Arial" w:cs="Arial"/>
          <w:sz w:val="2"/>
          <w:szCs w:val="2"/>
        </w:rPr>
        <w:sectPr>
          <w:footerReference w:type="default" r:id="rId19"/>
          <w:pgSz w:w="11906" w:h="16838"/>
          <w:pgMar w:top="1347" w:right="1129" w:bottom="1533" w:left="1418" w:header="0" w:footer="1369" w:gutter="0"/>
          <w:pgNumType w:start="7"/>
          <w:cols w:num="1" w:space="708" w:equalWidth="0">
            <w:col w:w="9358" w:space="0"/>
          </w:cols>
        </w:sectPr>
      </w:pPr>
    </w:p>
    <w:p>
      <w:pPr>
        <w:spacing w:line="472" w:lineRule="auto"/>
        <w:rPr>
          <w:rFonts w:ascii="Arial"/>
          <w:sz w:val="21"/>
        </w:rPr>
      </w:pPr>
    </w:p>
    <w:p>
      <w:pPr>
        <w:spacing w:line="307" w:lineRule="exact"/>
        <w:ind w:left="1420"/>
      </w:pPr>
      <w:r>
        <w:rPr>
          <w:position w:val="-6"/>
        </w:rPr>
        <w:drawing>
          <wp:inline distT="0" distB="0" distL="0" distR="0">
            <wp:extent cx="51816" cy="195072"/>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0"/>
                    <a:stretch>
                      <a:fillRect/>
                    </a:stretch>
                  </pic:blipFill>
                  <pic:spPr>
                    <a:xfrm>
                      <a:off x="0" y="0"/>
                      <a:ext cx="51816" cy="195072"/>
                    </a:xfrm>
                    <a:prstGeom prst="rect">
                      <a:avLst/>
                    </a:prstGeom>
                  </pic:spPr>
                </pic:pic>
              </a:graphicData>
            </a:graphic>
          </wp:inline>
        </w:drawing>
      </w:r>
    </w:p>
    <w:p>
      <w:pPr>
        <w:pStyle w:val="BodyText"/>
        <w:spacing w:before="167" w:line="233" w:lineRule="auto"/>
        <w:ind w:left="1275"/>
        <w:rPr>
          <w:sz w:val="14"/>
          <w:szCs w:val="14"/>
        </w:rPr>
      </w:pPr>
      <w:r>
        <w:rPr>
          <w:spacing w:val="5"/>
          <w:sz w:val="14"/>
          <w:szCs w:val="14"/>
        </w:rPr>
        <w:t>排放</w:t>
      </w:r>
    </w:p>
    <w:p>
      <w:pPr>
        <w:spacing w:before="3"/>
      </w:pPr>
    </w:p>
    <w:tbl>
      <w:tblPr>
        <w:tblStyle w:val="TableNormal0"/>
        <w:tblW w:w="1708" w:type="dxa"/>
        <w:tblInd w:w="559" w:type="dxa"/>
        <w:tblBorders>
          <w:top w:val="single" w:sz="2" w:space="0" w:color="000000"/>
          <w:left w:val="single" w:sz="2" w:space="0" w:color="000000"/>
          <w:bottom w:val="single" w:sz="2" w:space="0" w:color="000000"/>
          <w:right w:val="single" w:sz="2" w:space="0" w:color="000000"/>
        </w:tblBorders>
        <w:tblLayout w:type="fixed"/>
      </w:tblPr>
      <w:tblGrid>
        <w:gridCol w:w="1708"/>
      </w:tblGrid>
      <w:tr>
        <w:tblPrEx>
          <w:tblW w:w="1708" w:type="dxa"/>
          <w:tblInd w:w="559" w:type="dxa"/>
          <w:tblBorders>
            <w:top w:val="single" w:sz="2" w:space="0" w:color="000000"/>
            <w:left w:val="single" w:sz="2" w:space="0" w:color="000000"/>
            <w:bottom w:val="single" w:sz="2" w:space="0" w:color="000000"/>
            <w:right w:val="single" w:sz="2" w:space="0" w:color="000000"/>
          </w:tblBorders>
          <w:tblLayout w:type="fixed"/>
        </w:tblPrEx>
        <w:trPr>
          <w:trHeight w:val="1420"/>
        </w:trPr>
        <w:tc>
          <w:tcPr>
            <w:tcW w:w="1708" w:type="dxa"/>
            <w:vAlign w:val="top"/>
          </w:tcPr>
          <w:p>
            <w:pPr>
              <w:pStyle w:val="TableText"/>
              <w:spacing w:before="165" w:line="411" w:lineRule="auto"/>
              <w:ind w:left="147" w:right="145" w:firstLine="3"/>
              <w:jc w:val="both"/>
            </w:pPr>
            <w:r>
              <w:rPr>
                <w:spacing w:val="16"/>
              </w:rPr>
              <w:t>原料增强纤维、树脂</w:t>
            </w:r>
            <w:r>
              <w:t xml:space="preserve"> </w:t>
            </w:r>
            <w:r>
              <w:rPr>
                <w:spacing w:val="5"/>
              </w:rPr>
              <w:t>（基</w:t>
            </w:r>
            <w:r>
              <w:rPr>
                <w:spacing w:val="-21"/>
              </w:rPr>
              <w:t xml:space="preserve"> </w:t>
            </w:r>
            <w:r>
              <w:rPr>
                <w:spacing w:val="5"/>
              </w:rPr>
              <w:t>体</w:t>
            </w:r>
            <w:r>
              <w:rPr>
                <w:spacing w:val="-21"/>
              </w:rPr>
              <w:t xml:space="preserve"> </w:t>
            </w:r>
            <w:r>
              <w:rPr>
                <w:spacing w:val="5"/>
              </w:rPr>
              <w:t>材</w:t>
            </w:r>
            <w:r>
              <w:rPr>
                <w:spacing w:val="-21"/>
              </w:rPr>
              <w:t xml:space="preserve"> </w:t>
            </w:r>
            <w:r>
              <w:rPr>
                <w:spacing w:val="5"/>
              </w:rPr>
              <w:t>料</w:t>
            </w:r>
            <w:r>
              <w:rPr>
                <w:spacing w:val="-26"/>
              </w:rPr>
              <w:t xml:space="preserve"> </w:t>
            </w:r>
            <w:r>
              <w:rPr>
                <w:spacing w:val="5"/>
              </w:rPr>
              <w:t>）、</w:t>
            </w:r>
            <w:r>
              <w:rPr>
                <w:spacing w:val="-12"/>
              </w:rPr>
              <w:t xml:space="preserve"> </w:t>
            </w:r>
            <w:r>
              <w:rPr>
                <w:spacing w:val="5"/>
              </w:rPr>
              <w:t>芯</w:t>
            </w:r>
            <w:r>
              <w:t xml:space="preserve"> </w:t>
            </w:r>
            <w:r>
              <w:rPr>
                <w:spacing w:val="16"/>
              </w:rPr>
              <w:t>材、结构胶、金属及</w:t>
            </w:r>
          </w:p>
          <w:p>
            <w:pPr>
              <w:pStyle w:val="TableText"/>
              <w:spacing w:line="230" w:lineRule="auto"/>
              <w:ind w:left="147"/>
            </w:pPr>
            <w:r>
              <w:rPr>
                <w:spacing w:val="9"/>
              </w:rPr>
              <w:t>配件和其他材料</w:t>
            </w:r>
          </w:p>
        </w:tc>
      </w:tr>
    </w:tbl>
    <w:p>
      <w:pPr>
        <w:spacing w:before="48" w:line="317" w:lineRule="exact"/>
        <w:ind w:left="1262"/>
      </w:pPr>
      <w:r>
        <w:rPr>
          <w:position w:val="-6"/>
        </w:rPr>
        <w:drawing>
          <wp:inline distT="0" distB="0" distL="0" distR="0">
            <wp:extent cx="51816" cy="201167"/>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1"/>
                    <a:stretch>
                      <a:fillRect/>
                    </a:stretch>
                  </pic:blipFill>
                  <pic:spPr>
                    <a:xfrm>
                      <a:off x="0" y="0"/>
                      <a:ext cx="51816" cy="201167"/>
                    </a:xfrm>
                    <a:prstGeom prst="rect">
                      <a:avLst/>
                    </a:prstGeom>
                  </pic:spPr>
                </pic:pic>
              </a:graphicData>
            </a:graphic>
          </wp:inline>
        </w:drawing>
      </w:r>
    </w:p>
    <w:p>
      <w:pPr>
        <w:pStyle w:val="BodyText"/>
        <w:spacing w:before="176" w:line="233" w:lineRule="auto"/>
        <w:ind w:left="921"/>
        <w:rPr>
          <w:sz w:val="14"/>
          <w:szCs w:val="14"/>
        </w:rPr>
      </w:pPr>
      <w:r>
        <w:rPr>
          <w:spacing w:val="7"/>
          <w:sz w:val="14"/>
          <w:szCs w:val="14"/>
        </w:rPr>
        <w:t>能源、资源</w:t>
      </w:r>
    </w:p>
    <w:p>
      <w:pPr>
        <w:spacing w:line="14" w:lineRule="auto"/>
        <w:rPr>
          <w:rFonts w:ascii="Arial"/>
          <w:sz w:val="2"/>
        </w:rPr>
        <w:sectPr>
          <w:footerReference w:type="default" r:id="rId22"/>
          <w:type w:val="continuous"/>
          <w:pgSz w:w="11906" w:h="16838"/>
          <w:pgMar w:top="1347" w:right="1129" w:bottom="1533" w:left="1418" w:header="0" w:footer="1369" w:gutter="0"/>
          <w:pgNumType w:start="8"/>
          <w:cols w:num="3" w:space="708" w:equalWidth="0">
            <w:col w:w="2271" w:space="50"/>
            <w:col w:w="3826" w:space="31"/>
            <w:col w:w="3181" w:space="0"/>
          </w:cols>
        </w:sectPr>
      </w:pPr>
      <w:r>
        <w:rPr>
          <w:rFonts w:ascii="Arial" w:eastAsia="Arial" w:hAnsi="Arial" w:cs="Arial"/>
          <w:sz w:val="2"/>
          <w:szCs w:val="2"/>
        </w:rPr>
        <w:br w:type="column"/>
      </w:r>
    </w:p>
    <w:tbl>
      <w:tblPr>
        <w:tblStyle w:val="TableNormal1"/>
        <w:tblW w:w="1871" w:type="dxa"/>
        <w:tblInd w:w="340" w:type="dxa"/>
        <w:tblBorders>
          <w:top w:val="single" w:sz="2" w:space="0" w:color="808080"/>
          <w:left w:val="single" w:sz="2" w:space="0" w:color="808080"/>
          <w:bottom w:val="single" w:sz="2" w:space="0" w:color="808080"/>
          <w:right w:val="single" w:sz="2" w:space="0" w:color="808080"/>
        </w:tblBorders>
        <w:tblLayout w:type="fixed"/>
      </w:tblPr>
      <w:tblGrid>
        <w:gridCol w:w="1871"/>
      </w:tblGrid>
      <w:tr>
        <w:tblPrEx>
          <w:tblW w:w="1871" w:type="dxa"/>
          <w:tblInd w:w="340" w:type="dxa"/>
          <w:tblBorders>
            <w:top w:val="single" w:sz="2" w:space="0" w:color="808080"/>
            <w:left w:val="single" w:sz="2" w:space="0" w:color="808080"/>
            <w:bottom w:val="single" w:sz="2" w:space="0" w:color="808080"/>
            <w:right w:val="single" w:sz="2" w:space="0" w:color="808080"/>
          </w:tblBorders>
          <w:tblLayout w:type="fixed"/>
        </w:tblPrEx>
        <w:trPr>
          <w:trHeight w:val="3730"/>
        </w:trPr>
        <w:tc>
          <w:tcPr>
            <w:tcW w:w="1871" w:type="dxa"/>
            <w:vAlign w:val="top"/>
          </w:tcPr>
          <w:p>
            <w:pPr>
              <w:spacing w:line="214" w:lineRule="exact"/>
            </w:pPr>
          </w:p>
          <w:tbl>
            <w:tblPr>
              <w:tblStyle w:val="TableNormal1"/>
              <w:tblW w:w="1710" w:type="dxa"/>
              <w:tblInd w:w="81" w:type="dxa"/>
              <w:tblBorders>
                <w:top w:val="single" w:sz="6" w:space="0" w:color="000000"/>
                <w:left w:val="single" w:sz="6" w:space="0" w:color="000000"/>
                <w:bottom w:val="single" w:sz="6" w:space="0" w:color="000000"/>
                <w:right w:val="single" w:sz="6" w:space="0" w:color="000000"/>
              </w:tblBorders>
              <w:tblLayout w:type="fixed"/>
            </w:tblPr>
            <w:tblGrid>
              <w:gridCol w:w="1710"/>
            </w:tblGrid>
            <w:tr>
              <w:tblPrEx>
                <w:tblW w:w="1710" w:type="dxa"/>
                <w:tblInd w:w="81" w:type="dxa"/>
                <w:tblBorders>
                  <w:top w:val="single" w:sz="6" w:space="0" w:color="000000"/>
                  <w:left w:val="single" w:sz="6" w:space="0" w:color="000000"/>
                  <w:bottom w:val="single" w:sz="6" w:space="0" w:color="000000"/>
                  <w:right w:val="single" w:sz="6" w:space="0" w:color="000000"/>
                </w:tblBorders>
                <w:tblLayout w:type="fixed"/>
              </w:tblPrEx>
              <w:trPr>
                <w:trHeight w:val="736"/>
              </w:trPr>
              <w:tc>
                <w:tcPr>
                  <w:tcW w:w="1710" w:type="dxa"/>
                  <w:vAlign w:val="top"/>
                </w:tcPr>
                <w:p>
                  <w:pPr>
                    <w:pStyle w:val="TableText"/>
                    <w:spacing w:before="157" w:line="230" w:lineRule="auto"/>
                    <w:ind w:left="401"/>
                  </w:pPr>
                  <w:r>
                    <w:rPr>
                      <w:spacing w:val="8"/>
                    </w:rPr>
                    <w:t>腹板模具准备</w:t>
                  </w:r>
                </w:p>
                <w:p>
                  <w:pPr>
                    <w:pStyle w:val="TableText"/>
                    <w:spacing w:before="137" w:line="231" w:lineRule="auto"/>
                    <w:ind w:left="186"/>
                  </w:pPr>
                  <w:r>
                    <w:rPr>
                      <w:spacing w:val="7"/>
                    </w:rPr>
                    <w:t>（裁剪、放入模具）</w:t>
                  </w:r>
                </w:p>
              </w:tc>
            </w:tr>
          </w:tbl>
          <w:p>
            <w:pPr>
              <w:spacing w:line="320" w:lineRule="exact"/>
              <w:ind w:firstLine="858"/>
            </w:pPr>
            <w:r>
              <w:rPr>
                <w:position w:val="-6"/>
              </w:rPr>
              <w:drawing>
                <wp:inline distT="0" distB="0" distL="0" distR="0">
                  <wp:extent cx="76200" cy="20345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3"/>
                          <a:stretch>
                            <a:fillRect/>
                          </a:stretch>
                        </pic:blipFill>
                        <pic:spPr>
                          <a:xfrm>
                            <a:off x="0" y="0"/>
                            <a:ext cx="76200" cy="203454"/>
                          </a:xfrm>
                          <a:prstGeom prst="rect">
                            <a:avLst/>
                          </a:prstGeom>
                        </pic:spPr>
                      </pic:pic>
                    </a:graphicData>
                  </a:graphic>
                </wp:inline>
              </w:drawing>
            </w:r>
          </w:p>
          <w:p>
            <w:pPr>
              <w:spacing w:line="26" w:lineRule="exact"/>
            </w:pPr>
          </w:p>
          <w:tbl>
            <w:tblPr>
              <w:tblStyle w:val="TableNormal1"/>
              <w:tblW w:w="1710" w:type="dxa"/>
              <w:tblInd w:w="96" w:type="dxa"/>
              <w:tblBorders>
                <w:top w:val="single" w:sz="6" w:space="0" w:color="000000"/>
                <w:left w:val="single" w:sz="6" w:space="0" w:color="000000"/>
                <w:bottom w:val="single" w:sz="6" w:space="0" w:color="000000"/>
                <w:right w:val="single" w:sz="6" w:space="0" w:color="000000"/>
              </w:tblBorders>
              <w:tblLayout w:type="fixed"/>
            </w:tblPr>
            <w:tblGrid>
              <w:gridCol w:w="1710"/>
            </w:tblGrid>
            <w:tr>
              <w:tblPrEx>
                <w:tblW w:w="1710" w:type="dxa"/>
                <w:tblInd w:w="96" w:type="dxa"/>
                <w:tblBorders>
                  <w:top w:val="single" w:sz="6" w:space="0" w:color="000000"/>
                  <w:left w:val="single" w:sz="6" w:space="0" w:color="000000"/>
                  <w:bottom w:val="single" w:sz="6" w:space="0" w:color="000000"/>
                  <w:right w:val="single" w:sz="6" w:space="0" w:color="000000"/>
                </w:tblBorders>
                <w:tblLayout w:type="fixed"/>
              </w:tblPrEx>
              <w:trPr>
                <w:trHeight w:val="476"/>
              </w:trPr>
              <w:tc>
                <w:tcPr>
                  <w:tcW w:w="1710" w:type="dxa"/>
                  <w:vAlign w:val="top"/>
                </w:tcPr>
                <w:p>
                  <w:pPr>
                    <w:pStyle w:val="TableText"/>
                    <w:spacing w:before="164" w:line="231" w:lineRule="auto"/>
                    <w:ind w:left="628"/>
                  </w:pPr>
                  <w:r>
                    <w:rPr>
                      <w:spacing w:val="7"/>
                    </w:rPr>
                    <w:t>抽真空</w:t>
                  </w:r>
                </w:p>
              </w:tc>
            </w:tr>
          </w:tbl>
          <w:p>
            <w:pPr>
              <w:spacing w:line="324" w:lineRule="exact"/>
              <w:ind w:firstLine="873"/>
            </w:pPr>
            <w:r>
              <w:rPr>
                <w:position w:val="-6"/>
              </w:rPr>
              <w:drawing>
                <wp:inline distT="0" distB="0" distL="0" distR="0">
                  <wp:extent cx="76200" cy="20574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4"/>
                          <a:stretch>
                            <a:fillRect/>
                          </a:stretch>
                        </pic:blipFill>
                        <pic:spPr>
                          <a:xfrm>
                            <a:off x="0" y="0"/>
                            <a:ext cx="76200" cy="205740"/>
                          </a:xfrm>
                          <a:prstGeom prst="rect">
                            <a:avLst/>
                          </a:prstGeom>
                        </pic:spPr>
                      </pic:pic>
                    </a:graphicData>
                  </a:graphic>
                </wp:inline>
              </w:drawing>
            </w:r>
          </w:p>
          <w:p>
            <w:pPr>
              <w:spacing w:line="74" w:lineRule="exact"/>
            </w:pPr>
          </w:p>
          <w:tbl>
            <w:tblPr>
              <w:tblStyle w:val="TableNormal1"/>
              <w:tblW w:w="1710" w:type="dxa"/>
              <w:tblInd w:w="96" w:type="dxa"/>
              <w:tblBorders>
                <w:top w:val="single" w:sz="6" w:space="0" w:color="000000"/>
                <w:left w:val="single" w:sz="6" w:space="0" w:color="000000"/>
                <w:bottom w:val="single" w:sz="6" w:space="0" w:color="000000"/>
                <w:right w:val="single" w:sz="6" w:space="0" w:color="000000"/>
              </w:tblBorders>
              <w:tblLayout w:type="fixed"/>
            </w:tblPr>
            <w:tblGrid>
              <w:gridCol w:w="1710"/>
            </w:tblGrid>
            <w:tr>
              <w:tblPrEx>
                <w:tblW w:w="1710" w:type="dxa"/>
                <w:tblInd w:w="96" w:type="dxa"/>
                <w:tblBorders>
                  <w:top w:val="single" w:sz="6" w:space="0" w:color="000000"/>
                  <w:left w:val="single" w:sz="6" w:space="0" w:color="000000"/>
                  <w:bottom w:val="single" w:sz="6" w:space="0" w:color="000000"/>
                  <w:right w:val="single" w:sz="6" w:space="0" w:color="000000"/>
                </w:tblBorders>
                <w:tblLayout w:type="fixed"/>
              </w:tblPrEx>
              <w:trPr>
                <w:trHeight w:val="485"/>
              </w:trPr>
              <w:tc>
                <w:tcPr>
                  <w:tcW w:w="1710" w:type="dxa"/>
                  <w:vAlign w:val="top"/>
                </w:tcPr>
                <w:p>
                  <w:pPr>
                    <w:pStyle w:val="TableText"/>
                    <w:spacing w:before="166" w:line="231" w:lineRule="auto"/>
                    <w:ind w:left="479"/>
                  </w:pPr>
                  <w:r>
                    <w:rPr>
                      <w:spacing w:val="8"/>
                    </w:rPr>
                    <w:t>灌注与固化</w:t>
                  </w:r>
                </w:p>
              </w:tc>
            </w:tr>
          </w:tbl>
          <w:p>
            <w:pPr>
              <w:spacing w:before="21" w:line="329" w:lineRule="exact"/>
              <w:ind w:firstLine="887"/>
            </w:pPr>
            <w:r>
              <w:rPr>
                <w:position w:val="-6"/>
              </w:rPr>
              <w:drawing>
                <wp:inline distT="0" distB="0" distL="0" distR="0">
                  <wp:extent cx="76200" cy="208787"/>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5"/>
                          <a:stretch>
                            <a:fillRect/>
                          </a:stretch>
                        </pic:blipFill>
                        <pic:spPr>
                          <a:xfrm>
                            <a:off x="0" y="0"/>
                            <a:ext cx="76200" cy="208787"/>
                          </a:xfrm>
                          <a:prstGeom prst="rect">
                            <a:avLst/>
                          </a:prstGeom>
                        </pic:spPr>
                      </pic:pic>
                    </a:graphicData>
                  </a:graphic>
                </wp:inline>
              </w:drawing>
            </w:r>
          </w:p>
          <w:p>
            <w:pPr>
              <w:spacing w:line="21" w:lineRule="exact"/>
            </w:pPr>
          </w:p>
          <w:tbl>
            <w:tblPr>
              <w:tblStyle w:val="TableNormal1"/>
              <w:tblW w:w="1710" w:type="dxa"/>
              <w:tblInd w:w="81" w:type="dxa"/>
              <w:tblBorders>
                <w:top w:val="single" w:sz="6" w:space="0" w:color="000000"/>
                <w:left w:val="single" w:sz="6" w:space="0" w:color="000000"/>
                <w:bottom w:val="single" w:sz="6" w:space="0" w:color="000000"/>
                <w:right w:val="single" w:sz="6" w:space="0" w:color="000000"/>
              </w:tblBorders>
              <w:tblLayout w:type="fixed"/>
            </w:tblPr>
            <w:tblGrid>
              <w:gridCol w:w="1710"/>
            </w:tblGrid>
            <w:tr>
              <w:tblPrEx>
                <w:tblW w:w="1710" w:type="dxa"/>
                <w:tblInd w:w="81" w:type="dxa"/>
                <w:tblBorders>
                  <w:top w:val="single" w:sz="6" w:space="0" w:color="000000"/>
                  <w:left w:val="single" w:sz="6" w:space="0" w:color="000000"/>
                  <w:bottom w:val="single" w:sz="6" w:space="0" w:color="000000"/>
                  <w:right w:val="single" w:sz="6" w:space="0" w:color="000000"/>
                </w:tblBorders>
                <w:tblLayout w:type="fixed"/>
              </w:tblPrEx>
              <w:trPr>
                <w:trHeight w:val="500"/>
              </w:trPr>
              <w:tc>
                <w:tcPr>
                  <w:tcW w:w="1710" w:type="dxa"/>
                  <w:vAlign w:val="top"/>
                </w:tcPr>
                <w:p>
                  <w:pPr>
                    <w:pStyle w:val="TableText"/>
                    <w:spacing w:before="154" w:line="231" w:lineRule="auto"/>
                    <w:ind w:left="404"/>
                  </w:pPr>
                  <w:r>
                    <w:rPr>
                      <w:spacing w:val="8"/>
                    </w:rPr>
                    <w:t>脱模与后加工</w:t>
                  </w:r>
                </w:p>
              </w:tc>
            </w:tr>
          </w:tbl>
          <w:p>
            <w:pPr>
              <w:spacing w:line="69" w:lineRule="exact"/>
              <w:rPr>
                <w:rFonts w:ascii="Arial"/>
                <w:sz w:val="5"/>
              </w:rPr>
            </w:pPr>
          </w:p>
        </w:tc>
      </w:tr>
    </w:tbl>
    <w:p>
      <w:pPr>
        <w:spacing w:before="26" w:line="348" w:lineRule="exact"/>
        <w:ind w:firstLine="1264"/>
      </w:pPr>
      <w:r>
        <w:rPr>
          <w:position w:val="-6"/>
        </w:rPr>
        <w:drawing>
          <wp:inline distT="0" distB="0" distL="0" distR="0">
            <wp:extent cx="51816" cy="220979"/>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6"/>
                    <a:stretch>
                      <a:fillRect/>
                    </a:stretch>
                  </pic:blipFill>
                  <pic:spPr>
                    <a:xfrm>
                      <a:off x="0" y="0"/>
                      <a:ext cx="51816" cy="220979"/>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line="312" w:lineRule="auto"/>
        <w:rPr>
          <w:rFonts w:ascii="Arial"/>
          <w:sz w:val="21"/>
        </w:rPr>
      </w:pPr>
    </w:p>
    <w:p>
      <w:pPr>
        <w:spacing w:line="312" w:lineRule="auto"/>
        <w:rPr>
          <w:rFonts w:ascii="Arial"/>
          <w:sz w:val="21"/>
        </w:rPr>
      </w:pPr>
    </w:p>
    <w:p>
      <w:pPr>
        <w:spacing w:line="312" w:lineRule="auto"/>
        <w:rPr>
          <w:rFonts w:ascii="Arial"/>
          <w:sz w:val="21"/>
        </w:rPr>
      </w:pPr>
    </w:p>
    <w:p>
      <w:pPr>
        <w:spacing w:line="309" w:lineRule="exact"/>
        <w:ind w:left="1795"/>
      </w:pPr>
      <w:r>
        <w:rPr>
          <w:position w:val="-6"/>
        </w:rPr>
        <w:drawing>
          <wp:inline distT="0" distB="0" distL="0" distR="0">
            <wp:extent cx="50291" cy="196596"/>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7"/>
                    <a:stretch>
                      <a:fillRect/>
                    </a:stretch>
                  </pic:blipFill>
                  <pic:spPr>
                    <a:xfrm>
                      <a:off x="0" y="0"/>
                      <a:ext cx="50291" cy="196596"/>
                    </a:xfrm>
                    <a:prstGeom prst="rect">
                      <a:avLst/>
                    </a:prstGeom>
                  </pic:spPr>
                </pic:pic>
              </a:graphicData>
            </a:graphic>
          </wp:inline>
        </w:drawing>
      </w:r>
    </w:p>
    <w:p>
      <w:pPr>
        <w:pStyle w:val="BodyText"/>
        <w:spacing w:before="109" w:line="233" w:lineRule="auto"/>
        <w:ind w:left="1695"/>
        <w:rPr>
          <w:sz w:val="14"/>
          <w:szCs w:val="14"/>
        </w:rPr>
      </w:pPr>
      <w:r>
        <w:pict>
          <v:shape id="_x0000_s1029" type="#_x0000_t202" style="width:16.6pt;height:10.85pt;margin-top:5.07pt;margin-left:14.89pt;position:absolute;z-index:251671552" filled="f" stroked="f">
            <o:lock v:ext="edit" aspectratio="f"/>
            <v:textbox inset="0,0,0,0">
              <w:txbxContent>
                <w:p>
                  <w:pPr>
                    <w:pStyle w:val="BodyText"/>
                    <w:spacing w:before="19" w:line="233" w:lineRule="auto"/>
                    <w:ind w:left="20"/>
                    <w:rPr>
                      <w:sz w:val="14"/>
                      <w:szCs w:val="14"/>
                    </w:rPr>
                  </w:pPr>
                  <w:r>
                    <w:rPr>
                      <w:spacing w:val="5"/>
                      <w:sz w:val="14"/>
                      <w:szCs w:val="14"/>
                    </w:rPr>
                    <w:t>排放</w:t>
                  </w:r>
                </w:p>
              </w:txbxContent>
            </v:textbox>
          </v:shape>
        </w:pict>
      </w:r>
      <w:r>
        <w:rPr>
          <w:spacing w:val="5"/>
          <w:sz w:val="14"/>
          <w:szCs w:val="14"/>
        </w:rPr>
        <w:t>排放</w:t>
      </w:r>
    </w:p>
    <w:p>
      <w:pPr>
        <w:spacing w:before="8"/>
      </w:pPr>
    </w:p>
    <w:tbl>
      <w:tblPr>
        <w:tblStyle w:val="TableNormal1"/>
        <w:tblW w:w="1062" w:type="dxa"/>
        <w:tblInd w:w="1384" w:type="dxa"/>
        <w:tblBorders>
          <w:top w:val="single" w:sz="2" w:space="0" w:color="000000"/>
          <w:left w:val="single" w:sz="2" w:space="0" w:color="000000"/>
          <w:bottom w:val="single" w:sz="2" w:space="0" w:color="000000"/>
          <w:right w:val="single" w:sz="2" w:space="0" w:color="000000"/>
        </w:tblBorders>
        <w:tblLayout w:type="fixed"/>
      </w:tblPr>
      <w:tblGrid>
        <w:gridCol w:w="1062"/>
      </w:tblGrid>
      <w:tr>
        <w:tblPrEx>
          <w:tblW w:w="1062" w:type="dxa"/>
          <w:tblInd w:w="1384" w:type="dxa"/>
          <w:tblBorders>
            <w:top w:val="single" w:sz="2" w:space="0" w:color="000000"/>
            <w:left w:val="single" w:sz="2" w:space="0" w:color="000000"/>
            <w:bottom w:val="single" w:sz="2" w:space="0" w:color="000000"/>
            <w:right w:val="single" w:sz="2" w:space="0" w:color="000000"/>
          </w:tblBorders>
          <w:tblLayout w:type="fixed"/>
        </w:tblPrEx>
        <w:trPr>
          <w:trHeight w:val="880"/>
        </w:trPr>
        <w:tc>
          <w:tcPr>
            <w:tcW w:w="1062" w:type="dxa"/>
            <w:vAlign w:val="top"/>
          </w:tcPr>
          <w:p>
            <w:pPr>
              <w:pStyle w:val="TableText"/>
              <w:spacing w:before="150" w:line="231" w:lineRule="auto"/>
              <w:ind w:left="158"/>
            </w:pPr>
            <w:r>
              <w:rPr>
                <w:spacing w:val="8"/>
              </w:rPr>
              <w:t>废物回收处</w:t>
            </w:r>
          </w:p>
          <w:p>
            <w:pPr>
              <w:pStyle w:val="TableText"/>
              <w:spacing w:before="136" w:line="233" w:lineRule="auto"/>
              <w:ind w:left="235"/>
            </w:pPr>
            <w:r>
              <w:rPr>
                <w:spacing w:val="7"/>
              </w:rPr>
              <w:t>理与处置</w:t>
            </w:r>
          </w:p>
        </w:tc>
      </w:tr>
    </w:tbl>
    <w:p>
      <w:pPr>
        <w:spacing w:line="341" w:lineRule="exact"/>
        <w:ind w:firstLine="1896"/>
      </w:pPr>
      <w:r>
        <w:rPr>
          <w:position w:val="-6"/>
        </w:rPr>
        <w:drawing>
          <wp:inline distT="0" distB="0" distL="0" distR="0">
            <wp:extent cx="51815" cy="216408"/>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28"/>
                    <a:stretch>
                      <a:fillRect/>
                    </a:stretch>
                  </pic:blipFill>
                  <pic:spPr>
                    <a:xfrm>
                      <a:off x="0" y="0"/>
                      <a:ext cx="51815" cy="216408"/>
                    </a:xfrm>
                    <a:prstGeom prst="rect">
                      <a:avLst/>
                    </a:prstGeom>
                  </pic:spPr>
                </pic:pic>
              </a:graphicData>
            </a:graphic>
          </wp:inline>
        </w:drawing>
      </w:r>
    </w:p>
    <w:p>
      <w:pPr>
        <w:pStyle w:val="BodyText"/>
        <w:spacing w:before="280" w:line="233" w:lineRule="auto"/>
        <w:ind w:left="1437"/>
        <w:rPr>
          <w:sz w:val="14"/>
          <w:szCs w:val="14"/>
        </w:rPr>
      </w:pPr>
      <w:r>
        <w:pict>
          <v:shape id="_x0000_s1030" type="#_x0000_t202" style="width:38.9pt;height:10.85pt;margin-top:8.31pt;margin-left:6.18pt;position:absolute;z-index:251670528" filled="f" stroked="f">
            <o:lock v:ext="edit" aspectratio="f"/>
            <v:textbox inset="0,0,0,0">
              <w:txbxContent>
                <w:p>
                  <w:pPr>
                    <w:pStyle w:val="BodyText"/>
                    <w:spacing w:before="19" w:line="233" w:lineRule="auto"/>
                    <w:ind w:left="20"/>
                    <w:rPr>
                      <w:sz w:val="14"/>
                      <w:szCs w:val="14"/>
                    </w:rPr>
                  </w:pPr>
                  <w:r>
                    <w:rPr>
                      <w:spacing w:val="7"/>
                      <w:sz w:val="14"/>
                      <w:szCs w:val="14"/>
                    </w:rPr>
                    <w:t>能源、资源</w:t>
                  </w:r>
                </w:p>
              </w:txbxContent>
            </v:textbox>
          </v:shape>
        </w:pict>
      </w:r>
      <w:r>
        <w:rPr>
          <w:spacing w:val="7"/>
          <w:sz w:val="14"/>
          <w:szCs w:val="14"/>
        </w:rPr>
        <w:t>能源、资源</w:t>
      </w:r>
    </w:p>
    <w:p>
      <w:pPr>
        <w:spacing w:line="233" w:lineRule="auto"/>
        <w:rPr>
          <w:sz w:val="14"/>
          <w:szCs w:val="14"/>
        </w:rPr>
        <w:sectPr>
          <w:footerReference w:type="default" r:id="rId29"/>
          <w:type w:val="nextPage"/>
          <w:pgSz w:w="11906" w:h="16838"/>
          <w:pgMar w:top="1347" w:right="1129" w:bottom="1533" w:left="1418" w:header="0" w:footer="1369" w:gutter="0"/>
          <w:pgNumType w:start="9"/>
          <w:cols w:num="3" w:space="708" w:equalWidth="0">
            <w:col w:w="2271" w:space="50"/>
            <w:col w:w="3826" w:space="31"/>
            <w:col w:w="3181" w:space="0"/>
          </w:cols>
          <w:titlePg w:val="0"/>
        </w:sectPr>
      </w:pPr>
    </w:p>
    <w:p>
      <w:pPr>
        <w:pStyle w:val="BodyText"/>
        <w:spacing w:before="83" w:line="233" w:lineRule="auto"/>
        <w:ind w:left="3220"/>
        <w:rPr>
          <w:sz w:val="14"/>
          <w:szCs w:val="14"/>
        </w:rPr>
      </w:pPr>
      <w:r>
        <w:rPr>
          <w:spacing w:val="7"/>
          <w:sz w:val="14"/>
          <w:szCs w:val="14"/>
        </w:rPr>
        <w:t>能源、资源</w:t>
      </w:r>
    </w:p>
    <w:p>
      <w:pPr>
        <w:pStyle w:val="BodyText"/>
        <w:tabs>
          <w:tab w:val="left" w:pos="1295"/>
        </w:tabs>
        <w:spacing w:before="88" w:line="248" w:lineRule="auto"/>
        <w:ind w:left="659"/>
        <w:rPr>
          <w:sz w:val="14"/>
          <w:szCs w:val="14"/>
        </w:rPr>
      </w:pPr>
      <w:r>
        <w:rPr>
          <w:sz w:val="14"/>
          <w:szCs w:val="14"/>
          <w:u w:val="single" w:color="auto"/>
        </w:rPr>
        <w:tab/>
      </w:r>
      <w:r>
        <w:rPr>
          <w:spacing w:val="8"/>
          <w:sz w:val="14"/>
          <w:szCs w:val="14"/>
          <w:u w:val="single" w:color="auto"/>
        </w:rPr>
        <w:t>原材料获取</w:t>
      </w:r>
      <w:r>
        <w:rPr>
          <w:sz w:val="14"/>
          <w:szCs w:val="14"/>
          <w:u w:val="single" w:color="auto"/>
        </w:rPr>
        <w:t xml:space="preserve">          </w:t>
      </w:r>
      <w:r>
        <w:rPr>
          <w:position w:val="-3"/>
          <w:sz w:val="14"/>
          <w:szCs w:val="14"/>
        </w:rPr>
        <w:drawing>
          <wp:inline distT="0" distB="0" distL="0" distR="0">
            <wp:extent cx="9144" cy="205739"/>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30"/>
                    <a:stretch>
                      <a:fillRect/>
                    </a:stretch>
                  </pic:blipFill>
                  <pic:spPr>
                    <a:xfrm>
                      <a:off x="0" y="0"/>
                      <a:ext cx="9144" cy="205739"/>
                    </a:xfrm>
                    <a:prstGeom prst="rect">
                      <a:avLst/>
                    </a:prstGeom>
                  </pic:spPr>
                </pic:pic>
              </a:graphicData>
            </a:graphic>
          </wp:inline>
        </w:drawing>
      </w:r>
      <w:r>
        <w:rPr>
          <w:spacing w:val="3"/>
          <w:position w:val="4"/>
          <w:sz w:val="14"/>
          <w:szCs w:val="14"/>
          <w:u w:val="single" w:color="auto"/>
        </w:rPr>
        <w:t xml:space="preserve">         </w:t>
      </w:r>
      <w:r>
        <w:rPr>
          <w:spacing w:val="8"/>
          <w:position w:val="4"/>
          <w:sz w:val="14"/>
          <w:szCs w:val="14"/>
          <w:u w:val="single" w:color="auto"/>
        </w:rPr>
        <w:t>制造阶段</w:t>
      </w:r>
      <w:r>
        <w:rPr>
          <w:spacing w:val="8"/>
          <w:position w:val="4"/>
          <w:sz w:val="14"/>
          <w:szCs w:val="14"/>
          <w:u w:val="single" w:color="auto"/>
        </w:rPr>
        <w:t xml:space="preserve">      </w:t>
      </w:r>
      <w:r>
        <w:rPr>
          <w:position w:val="-3"/>
          <w:sz w:val="14"/>
          <w:szCs w:val="14"/>
        </w:rPr>
        <w:drawing>
          <wp:inline distT="0" distB="0" distL="0" distR="0">
            <wp:extent cx="6095" cy="20574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31"/>
                    <a:stretch>
                      <a:fillRect/>
                    </a:stretch>
                  </pic:blipFill>
                  <pic:spPr>
                    <a:xfrm>
                      <a:off x="0" y="0"/>
                      <a:ext cx="6095" cy="205740"/>
                    </a:xfrm>
                    <a:prstGeom prst="rect">
                      <a:avLst/>
                    </a:prstGeom>
                  </pic:spPr>
                </pic:pic>
              </a:graphicData>
            </a:graphic>
          </wp:inline>
        </w:drawing>
      </w:r>
      <w:r>
        <w:rPr>
          <w:spacing w:val="8"/>
          <w:position w:val="2"/>
          <w:sz w:val="14"/>
          <w:szCs w:val="14"/>
          <w:u w:val="single" w:color="auto"/>
        </w:rPr>
        <w:t xml:space="preserve">       </w:t>
      </w:r>
      <w:r>
        <w:rPr>
          <w:spacing w:val="8"/>
          <w:position w:val="2"/>
          <w:sz w:val="14"/>
          <w:szCs w:val="14"/>
          <w:u w:val="single" w:color="auto"/>
        </w:rPr>
        <w:t>分销阶段</w:t>
      </w:r>
      <w:r>
        <w:rPr>
          <w:spacing w:val="8"/>
          <w:position w:val="2"/>
          <w:sz w:val="14"/>
          <w:szCs w:val="14"/>
          <w:u w:val="single" w:color="auto"/>
        </w:rPr>
        <w:t xml:space="preserve">  </w:t>
      </w:r>
      <w:r>
        <w:rPr>
          <w:spacing w:val="7"/>
          <w:position w:val="2"/>
          <w:sz w:val="14"/>
          <w:szCs w:val="14"/>
          <w:u w:val="single" w:color="auto"/>
        </w:rPr>
        <w:t xml:space="preserve">   </w:t>
      </w:r>
      <w:r>
        <w:rPr>
          <w:position w:val="-4"/>
          <w:sz w:val="14"/>
          <w:szCs w:val="14"/>
        </w:rPr>
        <w:drawing>
          <wp:inline distT="0" distB="0" distL="0" distR="0">
            <wp:extent cx="6095" cy="20574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2"/>
                    <a:stretch>
                      <a:fillRect/>
                    </a:stretch>
                  </pic:blipFill>
                  <pic:spPr>
                    <a:xfrm>
                      <a:off x="0" y="0"/>
                      <a:ext cx="6095" cy="205740"/>
                    </a:xfrm>
                    <a:prstGeom prst="rect">
                      <a:avLst/>
                    </a:prstGeom>
                  </pic:spPr>
                </pic:pic>
              </a:graphicData>
            </a:graphic>
          </wp:inline>
        </w:drawing>
      </w:r>
      <w:r>
        <w:rPr>
          <w:spacing w:val="13"/>
          <w:position w:val="3"/>
          <w:sz w:val="14"/>
          <w:szCs w:val="14"/>
          <w:u w:val="single" w:color="auto"/>
        </w:rPr>
        <w:t xml:space="preserve">    </w:t>
      </w:r>
      <w:r>
        <w:rPr>
          <w:spacing w:val="7"/>
          <w:position w:val="3"/>
          <w:sz w:val="14"/>
          <w:szCs w:val="14"/>
          <w:u w:val="single" w:color="auto"/>
        </w:rPr>
        <w:t>使用阶段</w:t>
      </w:r>
      <w:r>
        <w:rPr>
          <w:spacing w:val="8"/>
          <w:position w:val="3"/>
          <w:sz w:val="14"/>
          <w:szCs w:val="14"/>
          <w:u w:val="single" w:color="auto"/>
        </w:rPr>
        <w:t xml:space="preserve">    </w:t>
      </w:r>
      <w:r>
        <w:rPr>
          <w:position w:val="-4"/>
          <w:sz w:val="14"/>
          <w:szCs w:val="14"/>
        </w:rPr>
        <w:drawing>
          <wp:inline distT="0" distB="0" distL="0" distR="0">
            <wp:extent cx="6095" cy="205739"/>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3"/>
                    <a:stretch>
                      <a:fillRect/>
                    </a:stretch>
                  </pic:blipFill>
                  <pic:spPr>
                    <a:xfrm>
                      <a:off x="0" y="0"/>
                      <a:ext cx="6095" cy="205739"/>
                    </a:xfrm>
                    <a:prstGeom prst="rect">
                      <a:avLst/>
                    </a:prstGeom>
                  </pic:spPr>
                </pic:pic>
              </a:graphicData>
            </a:graphic>
          </wp:inline>
        </w:drawing>
      </w:r>
      <w:r>
        <w:rPr>
          <w:spacing w:val="22"/>
          <w:w w:val="101"/>
          <w:position w:val="6"/>
          <w:sz w:val="14"/>
          <w:szCs w:val="14"/>
          <w:u w:val="single" w:color="auto"/>
        </w:rPr>
        <w:t xml:space="preserve">  </w:t>
      </w:r>
      <w:r>
        <w:rPr>
          <w:spacing w:val="7"/>
          <w:position w:val="6"/>
          <w:sz w:val="14"/>
          <w:szCs w:val="14"/>
          <w:u w:val="single" w:color="auto"/>
        </w:rPr>
        <w:t>生命末期阶段</w:t>
      </w:r>
      <w:r>
        <w:rPr>
          <w:position w:val="6"/>
          <w:sz w:val="14"/>
          <w:szCs w:val="14"/>
          <w:u w:val="single" w:color="auto"/>
        </w:rPr>
        <w:t xml:space="preserve">   </w:t>
      </w:r>
    </w:p>
    <w:p>
      <w:pPr>
        <w:spacing w:line="248" w:lineRule="auto"/>
        <w:rPr>
          <w:sz w:val="14"/>
          <w:szCs w:val="14"/>
        </w:rPr>
        <w:sectPr>
          <w:footerReference w:type="default" r:id="rId34"/>
          <w:type w:val="continuous"/>
          <w:pgSz w:w="11906" w:h="16838"/>
          <w:pgMar w:top="1347" w:right="1129" w:bottom="1533" w:left="1418" w:header="0" w:footer="1369" w:gutter="0"/>
          <w:pgNumType w:start="10"/>
          <w:cols w:num="1" w:space="708" w:equalWidth="0">
            <w:col w:w="9358" w:space="0"/>
          </w:cols>
        </w:sectPr>
      </w:pPr>
    </w:p>
    <w:p>
      <w:pPr>
        <w:spacing w:before="55" w:line="280" w:lineRule="exact"/>
        <w:ind w:left="8034"/>
        <w:rPr>
          <w:rFonts w:ascii="Calibri" w:eastAsia="Calibri" w:hAnsi="Calibri" w:cs="Calibri"/>
          <w:sz w:val="20"/>
          <w:szCs w:val="20"/>
        </w:rPr>
      </w:pPr>
      <w:r>
        <w:pict>
          <v:rect id="_x0000_s1031" style="width:47.55pt;height:0.25pt;margin-top:384.84pt;margin-left:161.28pt;mso-position-horizontal-relative:page;mso-position-vertical-relative:page;position:absolute;z-index:251680768" o:allowincell="f" filled="t" fillcolor="black" stroked="f"/>
        </w:pict>
      </w:r>
      <w:r>
        <w:drawing>
          <wp:anchor distT="0" distB="0" distL="0" distR="0" simplePos="0" relativeHeight="251681792" behindDoc="0" locked="0" layoutInCell="0" allowOverlap="1">
            <wp:simplePos x="0" y="0"/>
            <wp:positionH relativeFrom="page">
              <wp:posOffset>2604516</wp:posOffset>
            </wp:positionH>
            <wp:positionV relativeFrom="page">
              <wp:posOffset>4888992</wp:posOffset>
            </wp:positionV>
            <wp:extent cx="76200" cy="166116"/>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5"/>
                    <a:stretch>
                      <a:fillRect/>
                    </a:stretch>
                  </pic:blipFill>
                  <pic:spPr>
                    <a:xfrm>
                      <a:off x="0" y="0"/>
                      <a:ext cx="76200" cy="166116"/>
                    </a:xfrm>
                    <a:prstGeom prst="rect">
                      <a:avLst/>
                    </a:prstGeom>
                  </pic:spPr>
                </pic:pic>
              </a:graphicData>
            </a:graphic>
          </wp:anchor>
        </w:drawing>
      </w:r>
      <w:r>
        <w:pict>
          <v:shape id="_x0000_s1032" type="#_x0000_t202" style="width:58.3pt;height:29.75pt;margin-top:396.2pt;margin-left:470.12pt;mso-position-horizontal-relative:page;mso-position-vertical-relative:page;position:absolute;z-index:251672576" o:allowincell="f" filled="f" stroked="f">
            <o:lock v:ext="edit" aspectratio="f"/>
            <v:textbox inset="0,0,0,0">
              <w:txbxContent>
                <w:p>
                  <w:pPr>
                    <w:spacing w:line="20" w:lineRule="exact"/>
                  </w:pPr>
                </w:p>
                <w:tbl>
                  <w:tblPr>
                    <w:tblStyle w:val="TableNormal2"/>
                    <w:tblW w:w="112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44"/>
                    </w:trPr>
                    <w:tc>
                      <w:tcPr>
                        <w:tcW w:w="1120" w:type="dxa"/>
                        <w:vAlign w:val="top"/>
                      </w:tcPr>
                      <w:p>
                        <w:pPr>
                          <w:pStyle w:val="TableText"/>
                          <w:spacing w:before="195" w:line="232" w:lineRule="auto"/>
                          <w:ind w:left="429"/>
                        </w:pPr>
                        <w:r>
                          <w:rPr>
                            <w:spacing w:val="-4"/>
                          </w:rPr>
                          <w:t>吊装</w:t>
                        </w:r>
                      </w:p>
                    </w:tc>
                  </w:tr>
                </w:tbl>
                <w:p>
                  <w:pPr>
                    <w:rPr>
                      <w:rFonts w:ascii="Arial"/>
                      <w:sz w:val="21"/>
                    </w:rPr>
                  </w:pPr>
                </w:p>
              </w:txbxContent>
            </v:textbox>
          </v:shape>
        </w:pict>
      </w:r>
      <w:r>
        <w:pict>
          <v:shape id="_x0000_s1033" type="#_x0000_t202" style="width:58.3pt;height:29.75pt;margin-top:396.92pt;margin-left:252.32pt;mso-position-horizontal-relative:page;mso-position-vertical-relative:page;position:absolute;z-index:251676672" o:allowincell="f" filled="f" stroked="f">
            <o:lock v:ext="edit" aspectratio="f"/>
            <v:textbox inset="0,0,0,0">
              <w:txbxContent>
                <w:p>
                  <w:pPr>
                    <w:spacing w:line="20" w:lineRule="exact"/>
                  </w:pPr>
                </w:p>
                <w:tbl>
                  <w:tblPr>
                    <w:tblStyle w:val="TableNormal2"/>
                    <w:tblW w:w="112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44"/>
                    </w:trPr>
                    <w:tc>
                      <w:tcPr>
                        <w:tcW w:w="1120" w:type="dxa"/>
                        <w:vAlign w:val="top"/>
                      </w:tcPr>
                      <w:p>
                        <w:pPr>
                          <w:pStyle w:val="TableText"/>
                          <w:spacing w:before="170" w:line="200" w:lineRule="exact"/>
                          <w:ind w:left="233"/>
                        </w:pPr>
                        <w:r>
                          <w:rPr>
                            <w:spacing w:val="6"/>
                            <w:position w:val="1"/>
                          </w:rPr>
                          <w:t>切割</w:t>
                        </w:r>
                        <w:r>
                          <w:rPr>
                            <w:rFonts w:ascii="Calibri" w:eastAsia="Calibri" w:hAnsi="Calibri" w:cs="Calibri"/>
                            <w:spacing w:val="6"/>
                            <w:position w:val="1"/>
                          </w:rPr>
                          <w:t>/</w:t>
                        </w:r>
                        <w:r>
                          <w:rPr>
                            <w:spacing w:val="6"/>
                            <w:position w:val="1"/>
                          </w:rPr>
                          <w:t>打磨</w:t>
                        </w:r>
                      </w:p>
                    </w:tc>
                  </w:tr>
                </w:tbl>
                <w:p>
                  <w:pPr>
                    <w:rPr>
                      <w:rFonts w:ascii="Arial"/>
                      <w:sz w:val="21"/>
                    </w:rPr>
                  </w:pPr>
                </w:p>
              </w:txbxContent>
            </v:textbox>
          </v:shape>
        </w:pict>
      </w:r>
      <w:r>
        <w:pict>
          <v:shape id="_x0000_s1034" type="#_x0000_t202" style="width:58.3pt;height:29.75pt;margin-top:396.92pt;margin-left:397.76pt;mso-position-horizontal-relative:page;mso-position-vertical-relative:page;position:absolute;z-index:251673600" o:allowincell="f" filled="f" stroked="f">
            <o:lock v:ext="edit" aspectratio="f"/>
            <v:textbox inset="0,0,0,0">
              <w:txbxContent>
                <w:p>
                  <w:pPr>
                    <w:spacing w:line="20" w:lineRule="exact"/>
                  </w:pPr>
                </w:p>
                <w:tbl>
                  <w:tblPr>
                    <w:tblStyle w:val="TableNormal2"/>
                    <w:tblW w:w="112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44"/>
                    </w:trPr>
                    <w:tc>
                      <w:tcPr>
                        <w:tcW w:w="1120" w:type="dxa"/>
                        <w:vAlign w:val="top"/>
                      </w:tcPr>
                      <w:p>
                        <w:pPr>
                          <w:pStyle w:val="TableText"/>
                          <w:spacing w:before="193" w:line="232" w:lineRule="auto"/>
                          <w:ind w:left="415"/>
                        </w:pPr>
                        <w:r>
                          <w:rPr>
                            <w:spacing w:val="5"/>
                          </w:rPr>
                          <w:t>组装</w:t>
                        </w:r>
                      </w:p>
                    </w:tc>
                  </w:tr>
                </w:tbl>
                <w:p>
                  <w:pPr>
                    <w:rPr>
                      <w:rFonts w:ascii="Arial"/>
                      <w:sz w:val="21"/>
                    </w:rPr>
                  </w:pPr>
                </w:p>
              </w:txbxContent>
            </v:textbox>
          </v:shape>
        </w:pict>
      </w:r>
      <w:r>
        <w:pict>
          <v:shape id="_x0000_s1035" type="#_x0000_t202" style="width:58.3pt;height:29.75pt;margin-top:397.52pt;margin-left:324.8pt;mso-position-horizontal-relative:page;mso-position-vertical-relative:page;position:absolute;z-index:251674624" o:allowincell="f" filled="f" stroked="f">
            <o:lock v:ext="edit" aspectratio="f"/>
            <v:textbox inset="0,0,0,0">
              <w:txbxContent>
                <w:p>
                  <w:pPr>
                    <w:spacing w:line="20" w:lineRule="exact"/>
                  </w:pPr>
                </w:p>
                <w:tbl>
                  <w:tblPr>
                    <w:tblStyle w:val="TableNormal2"/>
                    <w:tblW w:w="112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44"/>
                    </w:trPr>
                    <w:tc>
                      <w:tcPr>
                        <w:tcW w:w="1120" w:type="dxa"/>
                        <w:vAlign w:val="top"/>
                      </w:tcPr>
                      <w:p>
                        <w:pPr>
                          <w:pStyle w:val="TableText"/>
                          <w:spacing w:before="196" w:line="230" w:lineRule="auto"/>
                          <w:ind w:left="336"/>
                        </w:pPr>
                        <w:r>
                          <w:rPr>
                            <w:spacing w:val="7"/>
                          </w:rPr>
                          <w:t>精加工</w:t>
                        </w:r>
                      </w:p>
                    </w:tc>
                  </w:tr>
                </w:tbl>
                <w:p>
                  <w:pPr>
                    <w:rPr>
                      <w:rFonts w:ascii="Arial"/>
                      <w:sz w:val="21"/>
                    </w:rPr>
                  </w:pPr>
                </w:p>
              </w:txbxContent>
            </v:textbox>
          </v:shape>
        </w:pict>
      </w:r>
      <w:r>
        <w:pict>
          <v:shape id="_x0000_s1036" type="#_x0000_t202" style="width:58.3pt;height:29.75pt;margin-top:415.52pt;margin-left:104.6pt;mso-position-horizontal-relative:page;mso-position-vertical-relative:page;position:absolute;z-index:251675648" o:allowincell="f" filled="f" stroked="f">
            <o:lock v:ext="edit" aspectratio="f"/>
            <v:textbox inset="0,0,0,0">
              <w:txbxContent>
                <w:p>
                  <w:pPr>
                    <w:spacing w:line="20" w:lineRule="exact"/>
                  </w:pPr>
                </w:p>
                <w:tbl>
                  <w:tblPr>
                    <w:tblStyle w:val="TableNormal2"/>
                    <w:tblW w:w="1120" w:type="dxa"/>
                    <w:tblInd w:w="22"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544"/>
                    </w:trPr>
                    <w:tc>
                      <w:tcPr>
                        <w:tcW w:w="1120" w:type="dxa"/>
                        <w:vAlign w:val="top"/>
                      </w:tcPr>
                      <w:p>
                        <w:pPr>
                          <w:pStyle w:val="TableText"/>
                          <w:spacing w:before="195" w:line="232" w:lineRule="auto"/>
                          <w:ind w:left="189"/>
                        </w:pPr>
                        <w:r>
                          <w:rPr>
                            <w:spacing w:val="8"/>
                          </w:rPr>
                          <w:t>主支架制作</w:t>
                        </w:r>
                      </w:p>
                    </w:tc>
                  </w:tr>
                </w:tbl>
                <w:p>
                  <w:pPr>
                    <w:rPr>
                      <w:rFonts w:ascii="Arial"/>
                      <w:sz w:val="21"/>
                    </w:rPr>
                  </w:pPr>
                </w:p>
              </w:txbxContent>
            </v:textbox>
          </v:shape>
        </w:pict>
      </w:r>
      <w:r>
        <w:drawing>
          <wp:anchor distT="0" distB="0" distL="0" distR="0" simplePos="0" relativeHeight="251678720" behindDoc="0" locked="0" layoutInCell="0" allowOverlap="1">
            <wp:simplePos x="0" y="0"/>
            <wp:positionH relativeFrom="page">
              <wp:posOffset>3012947</wp:posOffset>
            </wp:positionH>
            <wp:positionV relativeFrom="page">
              <wp:posOffset>5190744</wp:posOffset>
            </wp:positionV>
            <wp:extent cx="205739" cy="7620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6"/>
                    <a:stretch>
                      <a:fillRect/>
                    </a:stretch>
                  </pic:blipFill>
                  <pic:spPr>
                    <a:xfrm>
                      <a:off x="0" y="0"/>
                      <a:ext cx="205739" cy="76200"/>
                    </a:xfrm>
                    <a:prstGeom prst="rect">
                      <a:avLst/>
                    </a:prstGeom>
                  </pic:spPr>
                </pic:pic>
              </a:graphicData>
            </a:graphic>
          </wp:anchor>
        </w:drawing>
      </w:r>
      <w:r>
        <w:drawing>
          <wp:anchor distT="0" distB="0" distL="0" distR="0" simplePos="0" relativeHeight="251679744" behindDoc="0" locked="0" layoutInCell="0" allowOverlap="1">
            <wp:simplePos x="0" y="0"/>
            <wp:positionH relativeFrom="page">
              <wp:posOffset>3942588</wp:posOffset>
            </wp:positionH>
            <wp:positionV relativeFrom="page">
              <wp:posOffset>5210555</wp:posOffset>
            </wp:positionV>
            <wp:extent cx="204215" cy="7620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37"/>
                    <a:stretch>
                      <a:fillRect/>
                    </a:stretch>
                  </pic:blipFill>
                  <pic:spPr>
                    <a:xfrm>
                      <a:off x="0" y="0"/>
                      <a:ext cx="204215" cy="76200"/>
                    </a:xfrm>
                    <a:prstGeom prst="rect">
                      <a:avLst/>
                    </a:prstGeom>
                  </pic:spPr>
                </pic:pic>
              </a:graphicData>
            </a:graphic>
          </wp:anchor>
        </w:drawing>
      </w:r>
      <w:r>
        <w:drawing>
          <wp:anchor distT="0" distB="0" distL="0" distR="0" simplePos="0" relativeHeight="251677696" behindDoc="0" locked="0" layoutInCell="0" allowOverlap="1">
            <wp:simplePos x="0" y="0"/>
            <wp:positionH relativeFrom="page">
              <wp:posOffset>4861559</wp:posOffset>
            </wp:positionH>
            <wp:positionV relativeFrom="page">
              <wp:posOffset>5193792</wp:posOffset>
            </wp:positionV>
            <wp:extent cx="1121664" cy="92963"/>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38"/>
                    <a:stretch>
                      <a:fillRect/>
                    </a:stretch>
                  </pic:blipFill>
                  <pic:spPr>
                    <a:xfrm>
                      <a:off x="0" y="0"/>
                      <a:ext cx="1121664" cy="92963"/>
                    </a:xfrm>
                    <a:prstGeom prst="rect">
                      <a:avLst/>
                    </a:prstGeom>
                  </pic:spPr>
                </pic:pic>
              </a:graphicData>
            </a:graphic>
          </wp:anchor>
        </w:drawing>
      </w: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spacing w:before="274" w:line="230" w:lineRule="auto"/>
        <w:ind w:left="2340"/>
        <w:rPr>
          <w:rFonts w:ascii="SimHei" w:eastAsia="SimHei" w:hAnsi="SimHei" w:cs="SimHei"/>
          <w:sz w:val="19"/>
          <w:szCs w:val="19"/>
        </w:rPr>
      </w:pPr>
      <w:r>
        <w:rPr>
          <w:rFonts w:ascii="SimHei" w:eastAsia="SimHei" w:hAnsi="SimHei" w:cs="SimHei"/>
          <w:spacing w:val="8"/>
          <w:sz w:val="19"/>
          <w:szCs w:val="19"/>
        </w:rPr>
        <w:t>图1</w:t>
      </w:r>
      <w:r>
        <w:rPr>
          <w:rFonts w:ascii="SimHei" w:eastAsia="SimHei" w:hAnsi="SimHei" w:cs="SimHei"/>
          <w:spacing w:val="8"/>
          <w:sz w:val="19"/>
          <w:szCs w:val="19"/>
        </w:rPr>
        <w:t xml:space="preserve">  </w:t>
      </w:r>
      <w:r>
        <w:rPr>
          <w:rFonts w:ascii="SimHei" w:eastAsia="SimHei" w:hAnsi="SimHei" w:cs="SimHei"/>
          <w:spacing w:val="8"/>
          <w:sz w:val="19"/>
          <w:szCs w:val="19"/>
        </w:rPr>
        <w:t>风力发电机组叶片产品生命周期系统边界示例图</w:t>
      </w:r>
    </w:p>
    <w:p>
      <w:pPr>
        <w:spacing w:line="417" w:lineRule="auto"/>
        <w:rPr>
          <w:rFonts w:ascii="Arial"/>
          <w:sz w:val="21"/>
        </w:rPr>
      </w:pPr>
    </w:p>
    <w:p>
      <w:pPr>
        <w:spacing w:before="65" w:line="229" w:lineRule="auto"/>
        <w:rPr>
          <w:rFonts w:ascii="SimHei" w:eastAsia="SimHei" w:hAnsi="SimHei" w:cs="SimHei"/>
          <w:sz w:val="20"/>
          <w:szCs w:val="20"/>
        </w:rPr>
      </w:pPr>
      <w:r>
        <w:rPr>
          <w:rFonts w:ascii="SimHei" w:eastAsia="SimHei" w:hAnsi="SimHei" w:cs="SimHei"/>
          <w:spacing w:val="6"/>
          <w:sz w:val="20"/>
          <w:szCs w:val="20"/>
        </w:rPr>
        <w:t>6.2.2</w:t>
      </w:r>
      <w:r>
        <w:rPr>
          <w:rFonts w:ascii="SimHei" w:eastAsia="SimHei" w:hAnsi="SimHei" w:cs="SimHei"/>
          <w:spacing w:val="6"/>
          <w:sz w:val="20"/>
          <w:szCs w:val="20"/>
        </w:rPr>
        <w:t xml:space="preserve"> </w:t>
      </w:r>
      <w:r>
        <w:rPr>
          <w:rFonts w:ascii="SimHei" w:eastAsia="SimHei" w:hAnsi="SimHei" w:cs="SimHei"/>
          <w:spacing w:val="6"/>
          <w:sz w:val="20"/>
          <w:szCs w:val="20"/>
        </w:rPr>
        <w:t>原材料获取阶段：</w:t>
      </w:r>
    </w:p>
    <w:p>
      <w:pPr>
        <w:spacing w:line="308" w:lineRule="auto"/>
        <w:rPr>
          <w:rFonts w:ascii="Arial"/>
          <w:sz w:val="21"/>
        </w:rPr>
      </w:pPr>
    </w:p>
    <w:p>
      <w:pPr>
        <w:pStyle w:val="BodyText"/>
        <w:spacing w:before="65" w:line="227" w:lineRule="auto"/>
        <w:ind w:left="425"/>
      </w:pPr>
      <w:r>
        <w:rPr>
          <w:spacing w:val="7"/>
        </w:rPr>
        <w:t>原材料获取阶段应包括：</w:t>
      </w:r>
    </w:p>
    <w:p>
      <w:pPr>
        <w:pStyle w:val="BodyText"/>
        <w:spacing w:before="67" w:line="257" w:lineRule="auto"/>
        <w:ind w:left="840" w:right="61" w:hanging="419"/>
      </w:pPr>
      <w:r>
        <w:rPr>
          <w:spacing w:val="9"/>
        </w:rPr>
        <w:t>a)  构成1支风力发电机组叶片的材料包括增强纤维、树脂（基体材料）、芯材、结构胶、金属及</w:t>
      </w:r>
      <w:r>
        <w:rPr>
          <w:spacing w:val="18"/>
        </w:rPr>
        <w:t xml:space="preserve"> </w:t>
      </w:r>
      <w:r>
        <w:rPr>
          <w:spacing w:val="7"/>
        </w:rPr>
        <w:t>配件和其他材料等；</w:t>
      </w:r>
    </w:p>
    <w:p>
      <w:pPr>
        <w:pStyle w:val="BodyText"/>
        <w:spacing w:before="67" w:line="257" w:lineRule="auto"/>
        <w:ind w:left="842" w:right="102" w:hanging="425"/>
      </w:pPr>
      <w:r>
        <w:rPr>
          <w:spacing w:val="11"/>
        </w:rPr>
        <w:t>b)  制造零部件所需原材料的生产（开采、处理和成型等）和运输，零部件的成型与制造过程，</w:t>
      </w:r>
      <w:r>
        <w:rPr>
          <w:spacing w:val="1"/>
        </w:rPr>
        <w:t xml:space="preserve"> </w:t>
      </w:r>
      <w:r>
        <w:rPr>
          <w:spacing w:val="9"/>
        </w:rPr>
        <w:t>从材料、零部件和组件供应商的生产地点到产品组装地点和（或）包装地点之间的运输；</w:t>
      </w:r>
    </w:p>
    <w:p>
      <w:pPr>
        <w:pStyle w:val="BodyText"/>
        <w:spacing w:before="66" w:line="227" w:lineRule="auto"/>
        <w:ind w:left="425"/>
      </w:pPr>
      <w:r>
        <w:rPr>
          <w:spacing w:val="9"/>
        </w:rPr>
        <w:t>c)  包装材料的生产运输，包括1支风力发电机组叶片</w:t>
      </w:r>
      <w:r>
        <w:rPr>
          <w:spacing w:val="8"/>
        </w:rPr>
        <w:t>的包装、说明书、标识等。</w:t>
      </w:r>
    </w:p>
    <w:p>
      <w:pPr>
        <w:spacing w:line="310" w:lineRule="auto"/>
        <w:rPr>
          <w:rFonts w:ascii="Arial"/>
          <w:sz w:val="21"/>
        </w:rPr>
      </w:pPr>
    </w:p>
    <w:p>
      <w:pPr>
        <w:spacing w:before="66" w:line="231" w:lineRule="auto"/>
        <w:rPr>
          <w:rFonts w:ascii="SimHei" w:eastAsia="SimHei" w:hAnsi="SimHei" w:cs="SimHei"/>
          <w:sz w:val="20"/>
          <w:szCs w:val="20"/>
        </w:rPr>
      </w:pPr>
      <w:r>
        <w:rPr>
          <w:rFonts w:ascii="SimHei" w:eastAsia="SimHei" w:hAnsi="SimHei" w:cs="SimHei"/>
          <w:spacing w:val="6"/>
          <w:sz w:val="20"/>
          <w:szCs w:val="20"/>
        </w:rPr>
        <w:t>6.2.3</w:t>
      </w:r>
      <w:r>
        <w:rPr>
          <w:rFonts w:ascii="SimHei" w:eastAsia="SimHei" w:hAnsi="SimHei" w:cs="SimHei"/>
          <w:spacing w:val="6"/>
          <w:sz w:val="20"/>
          <w:szCs w:val="20"/>
        </w:rPr>
        <w:t xml:space="preserve"> </w:t>
      </w:r>
      <w:r>
        <w:rPr>
          <w:rFonts w:ascii="SimHei" w:eastAsia="SimHei" w:hAnsi="SimHei" w:cs="SimHei"/>
          <w:spacing w:val="6"/>
          <w:sz w:val="20"/>
          <w:szCs w:val="20"/>
        </w:rPr>
        <w:t>生产制造阶段</w:t>
      </w:r>
    </w:p>
    <w:p>
      <w:pPr>
        <w:spacing w:line="308" w:lineRule="auto"/>
        <w:rPr>
          <w:rFonts w:ascii="Arial"/>
          <w:sz w:val="21"/>
        </w:rPr>
      </w:pPr>
    </w:p>
    <w:p>
      <w:pPr>
        <w:pStyle w:val="BodyText"/>
        <w:spacing w:before="65" w:line="257" w:lineRule="auto"/>
        <w:ind w:left="8" w:right="61" w:firstLine="415"/>
      </w:pPr>
      <w:r>
        <w:rPr>
          <w:spacing w:val="10"/>
        </w:rPr>
        <w:t>组装1支风力发电机组叶片（功能单位）并进行包装和出厂运输至销售商的过</w:t>
      </w:r>
      <w:r>
        <w:rPr>
          <w:spacing w:val="9"/>
        </w:rPr>
        <w:t>程，是产品形成的核</w:t>
      </w:r>
      <w:r>
        <w:t xml:space="preserve"> </w:t>
      </w:r>
      <w:r>
        <w:rPr>
          <w:spacing w:val="9"/>
        </w:rPr>
        <w:t>心阶段。风力发电机组叶片核算边界内的具体生产工艺流程如图2所</w:t>
      </w:r>
      <w:r>
        <w:rPr>
          <w:spacing w:val="8"/>
        </w:rPr>
        <w:t>示。</w:t>
      </w:r>
    </w:p>
    <w:p>
      <w:pPr>
        <w:spacing w:before="18"/>
      </w:pPr>
    </w:p>
    <w:p>
      <w:pPr>
        <w:spacing w:before="18"/>
      </w:pPr>
    </w:p>
    <w:p>
      <w:pPr>
        <w:spacing w:before="18"/>
      </w:pPr>
    </w:p>
    <w:tbl>
      <w:tblPr>
        <w:tblStyle w:val="TableNormal2"/>
        <w:tblW w:w="1120" w:type="dxa"/>
        <w:tblInd w:w="681"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681" w:type="dxa"/>
          <w:tblBorders>
            <w:top w:val="single" w:sz="2" w:space="0" w:color="000000"/>
            <w:left w:val="single" w:sz="2" w:space="0" w:color="000000"/>
            <w:bottom w:val="single" w:sz="2" w:space="0" w:color="000000"/>
            <w:right w:val="single" w:sz="2" w:space="0" w:color="000000"/>
          </w:tblBorders>
          <w:tblLayout w:type="fixed"/>
        </w:tblPrEx>
        <w:trPr>
          <w:trHeight w:val="522"/>
        </w:trPr>
        <w:tc>
          <w:tcPr>
            <w:tcW w:w="1120" w:type="dxa"/>
            <w:vAlign w:val="top"/>
          </w:tcPr>
          <w:p>
            <w:pPr>
              <w:pStyle w:val="TableText"/>
              <w:spacing w:before="195" w:line="231" w:lineRule="auto"/>
              <w:ind w:left="271"/>
            </w:pPr>
            <w:r>
              <w:rPr>
                <w:spacing w:val="5"/>
              </w:rPr>
              <w:t>叶片模铸</w:t>
            </w:r>
          </w:p>
        </w:tc>
      </w:tr>
    </w:tbl>
    <w:tbl>
      <w:tblPr>
        <w:tblStyle w:val="TableNormal2"/>
        <w:tblW w:w="1120" w:type="dxa"/>
        <w:tblInd w:w="2174" w:type="dxa"/>
        <w:tblBorders>
          <w:top w:val="single" w:sz="2" w:space="0" w:color="000000"/>
          <w:left w:val="single" w:sz="2" w:space="0" w:color="000000"/>
          <w:bottom w:val="single" w:sz="2" w:space="0" w:color="000000"/>
          <w:right w:val="single" w:sz="2" w:space="0" w:color="000000"/>
        </w:tblBorders>
        <w:tblLayout w:type="fixed"/>
      </w:tblPr>
      <w:tblGrid>
        <w:gridCol w:w="1120"/>
      </w:tblGrid>
      <w:tr>
        <w:tblPrEx>
          <w:tblW w:w="1120" w:type="dxa"/>
          <w:tblInd w:w="2174" w:type="dxa"/>
          <w:tblBorders>
            <w:top w:val="single" w:sz="2" w:space="0" w:color="000000"/>
            <w:left w:val="single" w:sz="2" w:space="0" w:color="000000"/>
            <w:bottom w:val="single" w:sz="2" w:space="0" w:color="000000"/>
            <w:right w:val="single" w:sz="2" w:space="0" w:color="000000"/>
          </w:tblBorders>
          <w:tblLayout w:type="fixed"/>
        </w:tblPrEx>
        <w:trPr>
          <w:trHeight w:val="522"/>
        </w:trPr>
        <w:tc>
          <w:tcPr>
            <w:tcW w:w="1120" w:type="dxa"/>
            <w:vAlign w:val="top"/>
          </w:tcPr>
          <w:p>
            <w:pPr>
              <w:pStyle w:val="TableText"/>
              <w:spacing w:before="171" w:line="231" w:lineRule="auto"/>
              <w:ind w:left="414"/>
            </w:pPr>
            <w:r>
              <w:rPr>
                <w:spacing w:val="5"/>
              </w:rPr>
              <w:t>合模</w:t>
            </w:r>
          </w:p>
        </w:tc>
      </w:tr>
    </w:tbl>
    <w:p>
      <w:pPr>
        <w:spacing w:before="10" w:line="288" w:lineRule="exact"/>
        <w:ind w:firstLine="1821"/>
      </w:pPr>
      <w:r>
        <w:rPr>
          <w:position w:val="-5"/>
        </w:rPr>
        <w:drawing>
          <wp:inline distT="0" distB="0" distL="0" distR="0">
            <wp:extent cx="653796" cy="18288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39"/>
                    <a:stretch>
                      <a:fillRect/>
                    </a:stretch>
                  </pic:blipFill>
                  <pic:spPr>
                    <a:xfrm>
                      <a:off x="0" y="0"/>
                      <a:ext cx="653796" cy="182880"/>
                    </a:xfrm>
                    <a:prstGeom prst="rect">
                      <a:avLst/>
                    </a:prstGeom>
                  </pic:spPr>
                </pic:pic>
              </a:graphicData>
            </a:graphic>
          </wp:inline>
        </w:drawing>
      </w:r>
    </w:p>
    <w:p>
      <w:pPr>
        <w:spacing w:line="323" w:lineRule="auto"/>
        <w:rPr>
          <w:rFonts w:ascii="Arial"/>
          <w:sz w:val="21"/>
        </w:rPr>
      </w:pPr>
    </w:p>
    <w:p>
      <w:pPr>
        <w:spacing w:line="323" w:lineRule="auto"/>
        <w:rPr>
          <w:rFonts w:ascii="Arial"/>
          <w:sz w:val="21"/>
        </w:rPr>
      </w:pPr>
    </w:p>
    <w:p>
      <w:pPr>
        <w:spacing w:before="62" w:line="230" w:lineRule="auto"/>
        <w:ind w:left="2940"/>
        <w:rPr>
          <w:rFonts w:ascii="SimHei" w:eastAsia="SimHei" w:hAnsi="SimHei" w:cs="SimHei"/>
          <w:sz w:val="19"/>
          <w:szCs w:val="19"/>
        </w:rPr>
      </w:pPr>
      <w:r>
        <w:rPr>
          <w:rFonts w:ascii="SimHei" w:eastAsia="SimHei" w:hAnsi="SimHei" w:cs="SimHei"/>
          <w:spacing w:val="8"/>
          <w:sz w:val="19"/>
          <w:szCs w:val="19"/>
        </w:rPr>
        <w:t>图2</w:t>
      </w:r>
      <w:r>
        <w:rPr>
          <w:rFonts w:ascii="SimHei" w:eastAsia="SimHei" w:hAnsi="SimHei" w:cs="SimHei"/>
          <w:spacing w:val="8"/>
          <w:sz w:val="19"/>
          <w:szCs w:val="19"/>
        </w:rPr>
        <w:t xml:space="preserve">  </w:t>
      </w:r>
      <w:r>
        <w:rPr>
          <w:rFonts w:ascii="SimHei" w:eastAsia="SimHei" w:hAnsi="SimHei" w:cs="SimHei"/>
          <w:spacing w:val="8"/>
          <w:sz w:val="19"/>
          <w:szCs w:val="19"/>
        </w:rPr>
        <w:t>风力发电机组叶片生产工艺流程图</w:t>
      </w: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65" w:line="230" w:lineRule="auto"/>
        <w:rPr>
          <w:rFonts w:ascii="SimHei" w:eastAsia="SimHei" w:hAnsi="SimHei" w:cs="SimHei"/>
          <w:sz w:val="20"/>
          <w:szCs w:val="20"/>
        </w:rPr>
      </w:pPr>
      <w:r>
        <w:rPr>
          <w:rFonts w:ascii="SimHei" w:eastAsia="SimHei" w:hAnsi="SimHei" w:cs="SimHei"/>
          <w:spacing w:val="7"/>
          <w:sz w:val="20"/>
          <w:szCs w:val="20"/>
        </w:rPr>
        <w:t>6.2.4</w:t>
      </w:r>
      <w:r>
        <w:rPr>
          <w:rFonts w:ascii="SimHei" w:eastAsia="SimHei" w:hAnsi="SimHei" w:cs="SimHei"/>
          <w:spacing w:val="7"/>
          <w:sz w:val="20"/>
          <w:szCs w:val="20"/>
        </w:rPr>
        <w:t xml:space="preserve"> </w:t>
      </w:r>
      <w:r>
        <w:rPr>
          <w:rFonts w:ascii="SimHei" w:eastAsia="SimHei" w:hAnsi="SimHei" w:cs="SimHei"/>
          <w:spacing w:val="7"/>
          <w:sz w:val="20"/>
          <w:szCs w:val="20"/>
        </w:rPr>
        <w:t>分销（运输）阶段</w:t>
      </w:r>
    </w:p>
    <w:p>
      <w:pPr>
        <w:spacing w:line="307" w:lineRule="auto"/>
        <w:rPr>
          <w:rFonts w:ascii="Arial"/>
          <w:sz w:val="21"/>
        </w:rPr>
      </w:pPr>
    </w:p>
    <w:p>
      <w:pPr>
        <w:pStyle w:val="BodyText"/>
        <w:spacing w:before="66" w:line="227" w:lineRule="auto"/>
        <w:ind w:left="436"/>
      </w:pPr>
      <w:r>
        <w:rPr>
          <w:spacing w:val="8"/>
        </w:rPr>
        <w:t>1支风力发电机组叶片从企业出厂运输至各级销售商的过程。</w:t>
      </w:r>
    </w:p>
    <w:p>
      <w:pPr>
        <w:spacing w:line="311" w:lineRule="auto"/>
        <w:rPr>
          <w:rFonts w:ascii="Arial"/>
          <w:sz w:val="21"/>
        </w:rPr>
        <w:sectPr>
          <w:footerReference w:type="default" r:id="rId40"/>
          <w:pgSz w:w="11906" w:h="16838"/>
          <w:pgMar w:top="1347" w:right="1075" w:bottom="1533" w:left="1423" w:header="0" w:footer="1369" w:gutter="0"/>
          <w:pgNumType w:start="11"/>
          <w:cols w:space="708"/>
        </w:sectPr>
      </w:pPr>
    </w:p>
    <w:p>
      <w:pPr>
        <w:spacing w:before="65" w:line="230" w:lineRule="auto"/>
        <w:rPr>
          <w:rFonts w:ascii="SimHei" w:eastAsia="SimHei" w:hAnsi="SimHei" w:cs="SimHei"/>
          <w:sz w:val="20"/>
          <w:szCs w:val="20"/>
        </w:rPr>
      </w:pPr>
      <w:r>
        <w:rPr>
          <w:rFonts w:ascii="SimHei" w:eastAsia="SimHei" w:hAnsi="SimHei" w:cs="SimHei"/>
          <w:spacing w:val="6"/>
          <w:sz w:val="20"/>
          <w:szCs w:val="20"/>
        </w:rPr>
        <w:t>6.2.5</w:t>
      </w:r>
      <w:r>
        <w:rPr>
          <w:rFonts w:ascii="SimHei" w:eastAsia="SimHei" w:hAnsi="SimHei" w:cs="SimHei"/>
          <w:spacing w:val="6"/>
          <w:sz w:val="20"/>
          <w:szCs w:val="20"/>
        </w:rPr>
        <w:t xml:space="preserve"> </w:t>
      </w:r>
      <w:r>
        <w:rPr>
          <w:rFonts w:ascii="SimHei" w:eastAsia="SimHei" w:hAnsi="SimHei" w:cs="SimHei"/>
          <w:spacing w:val="6"/>
          <w:sz w:val="20"/>
          <w:szCs w:val="20"/>
        </w:rPr>
        <w:t>使用阶段</w:t>
      </w:r>
    </w:p>
    <w:p>
      <w:pPr>
        <w:spacing w:line="307" w:lineRule="auto"/>
        <w:rPr>
          <w:rFonts w:ascii="Arial"/>
          <w:sz w:val="21"/>
        </w:rPr>
      </w:pPr>
    </w:p>
    <w:p>
      <w:pPr>
        <w:pStyle w:val="BodyText"/>
        <w:spacing w:before="66" w:line="227" w:lineRule="auto"/>
        <w:ind w:left="436"/>
      </w:pPr>
      <w:r>
        <w:rPr>
          <w:spacing w:val="9"/>
        </w:rPr>
        <w:t>1支风力发电机组叶片使用时产品使用、更换和产品操作辅助系统</w:t>
      </w:r>
      <w:r>
        <w:rPr>
          <w:spacing w:val="8"/>
        </w:rPr>
        <w:t>耗能和耗水。</w:t>
      </w:r>
    </w:p>
    <w:p>
      <w:pPr>
        <w:spacing w:line="310" w:lineRule="auto"/>
        <w:rPr>
          <w:rFonts w:ascii="Arial"/>
          <w:sz w:val="21"/>
        </w:rPr>
      </w:pPr>
    </w:p>
    <w:p>
      <w:pPr>
        <w:spacing w:before="66" w:line="231" w:lineRule="auto"/>
        <w:rPr>
          <w:rFonts w:ascii="SimHei" w:eastAsia="SimHei" w:hAnsi="SimHei" w:cs="SimHei"/>
          <w:sz w:val="20"/>
          <w:szCs w:val="20"/>
        </w:rPr>
      </w:pPr>
      <w:r>
        <w:rPr>
          <w:rFonts w:ascii="SimHei" w:eastAsia="SimHei" w:hAnsi="SimHei" w:cs="SimHei"/>
          <w:spacing w:val="6"/>
          <w:sz w:val="20"/>
          <w:szCs w:val="20"/>
        </w:rPr>
        <w:t>6.2.6</w:t>
      </w:r>
      <w:r>
        <w:rPr>
          <w:rFonts w:ascii="SimHei" w:eastAsia="SimHei" w:hAnsi="SimHei" w:cs="SimHei"/>
          <w:spacing w:val="6"/>
          <w:sz w:val="20"/>
          <w:szCs w:val="20"/>
        </w:rPr>
        <w:t xml:space="preserve"> </w:t>
      </w:r>
      <w:r>
        <w:rPr>
          <w:rFonts w:ascii="SimHei" w:eastAsia="SimHei" w:hAnsi="SimHei" w:cs="SimHei"/>
          <w:spacing w:val="6"/>
          <w:sz w:val="20"/>
          <w:szCs w:val="20"/>
        </w:rPr>
        <w:t>生命末期阶段</w:t>
      </w:r>
    </w:p>
    <w:p>
      <w:pPr>
        <w:spacing w:line="308" w:lineRule="auto"/>
        <w:rPr>
          <w:rFonts w:ascii="Arial"/>
          <w:sz w:val="21"/>
        </w:rPr>
      </w:pPr>
    </w:p>
    <w:p>
      <w:pPr>
        <w:pStyle w:val="BodyText"/>
        <w:spacing w:before="65" w:line="257" w:lineRule="auto"/>
        <w:ind w:firstLine="421"/>
      </w:pPr>
      <w:r>
        <w:rPr>
          <w:spacing w:val="13"/>
        </w:rPr>
        <w:t>生命末期风力发电机组叶片所需要的运输，包括从</w:t>
      </w:r>
      <w:r>
        <w:rPr>
          <w:spacing w:val="12"/>
        </w:rPr>
        <w:t>使用者至产品收集地点，再至最终处置地点的</w:t>
      </w:r>
      <w:r>
        <w:t xml:space="preserve"> </w:t>
      </w:r>
      <w:r>
        <w:rPr>
          <w:spacing w:val="9"/>
        </w:rPr>
        <w:t>运输阶段，以及废弃产品拆解、分选、运输、处理和处置（废弃物或处理和垃圾焚烧或填埋）的过程。</w:t>
      </w:r>
    </w:p>
    <w:p>
      <w:pPr>
        <w:pStyle w:val="BodyText"/>
        <w:spacing w:before="66" w:line="312" w:lineRule="exact"/>
        <w:ind w:left="5"/>
      </w:pPr>
      <w:r>
        <w:rPr>
          <w:spacing w:val="5"/>
          <w:position w:val="7"/>
          <w14:textOutline w14:w="3795">
            <w14:solidFill>
              <w14:srgbClr w14:val="000000"/>
            </w14:solidFill>
            <w14:prstDash w14:val="solid"/>
            <w14:miter w14:lim="10"/>
          </w14:textOutline>
        </w:rPr>
        <w:t>7</w:t>
      </w:r>
      <w:r>
        <w:rPr>
          <w:spacing w:val="10"/>
          <w:position w:val="7"/>
        </w:rPr>
        <w:t xml:space="preserve">  </w:t>
      </w:r>
      <w:r>
        <w:rPr>
          <w:spacing w:val="5"/>
          <w:position w:val="7"/>
          <w14:textOutline w14:w="3795">
            <w14:solidFill>
              <w14:srgbClr w14:val="000000"/>
            </w14:solidFill>
            <w14:prstDash w14:val="solid"/>
            <w14:miter w14:lim="10"/>
          </w14:textOutline>
        </w:rPr>
        <w:t>清单分析</w:t>
      </w:r>
    </w:p>
    <w:p>
      <w:pPr>
        <w:spacing w:before="1" w:line="229" w:lineRule="auto"/>
        <w:ind w:left="1"/>
        <w:rPr>
          <w:rFonts w:ascii="SimHei" w:eastAsia="SimHei" w:hAnsi="SimHei" w:cs="SimHei"/>
          <w:sz w:val="20"/>
          <w:szCs w:val="20"/>
        </w:rPr>
      </w:pPr>
      <w:r>
        <w:rPr>
          <w:rFonts w:ascii="SimHei" w:eastAsia="SimHei" w:hAnsi="SimHei" w:cs="SimHei"/>
          <w:spacing w:val="5"/>
          <w:sz w:val="20"/>
          <w:szCs w:val="20"/>
          <w14:textOutline w14:w="3795">
            <w14:solidFill>
              <w14:srgbClr w14:val="000000"/>
            </w14:solidFill>
            <w14:prstDash w14:val="solid"/>
            <w14:miter w14:lim="10"/>
          </w14:textOutline>
        </w:rPr>
        <w:t>7.1概述</w:t>
      </w:r>
    </w:p>
    <w:p>
      <w:pPr>
        <w:pStyle w:val="BodyText"/>
        <w:spacing w:before="63" w:line="227" w:lineRule="auto"/>
        <w:ind w:left="420"/>
      </w:pPr>
      <w:r>
        <w:rPr>
          <w:spacing w:val="9"/>
        </w:rPr>
        <w:t>应按以下步骤编制风力发电机组叶片产品系统边界内的生命周期清单：</w:t>
      </w:r>
    </w:p>
    <w:p>
      <w:pPr>
        <w:spacing w:line="227" w:lineRule="auto"/>
        <w:sectPr>
          <w:footerReference w:type="default" r:id="rId41"/>
          <w:type w:val="nextPage"/>
          <w:pgSz w:w="11906" w:h="16838"/>
          <w:pgMar w:top="1347" w:right="1075" w:bottom="1533" w:left="1423" w:header="0" w:footer="1369" w:gutter="0"/>
          <w:pgNumType w:start="12"/>
          <w:cols w:space="708"/>
          <w:titlePg w:val="0"/>
        </w:sectPr>
      </w:pPr>
    </w:p>
    <w:p>
      <w:pPr>
        <w:spacing w:before="55" w:line="280" w:lineRule="exact"/>
        <w:ind w:right="7"/>
        <w:jc w:val="right"/>
        <w:rPr>
          <w:rFonts w:ascii="Calibri" w:eastAsia="Calibri" w:hAnsi="Calibri" w:cs="Calibri"/>
          <w:sz w:val="20"/>
          <w:szCs w:val="20"/>
        </w:rPr>
      </w:pP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pStyle w:val="BodyText"/>
        <w:spacing w:before="295" w:line="312" w:lineRule="exact"/>
        <w:ind w:left="421"/>
      </w:pPr>
      <w:r>
        <w:rPr>
          <w:spacing w:val="6"/>
          <w:position w:val="7"/>
        </w:rPr>
        <w:t>a)  数据收集和确认；</w:t>
      </w:r>
    </w:p>
    <w:p>
      <w:pPr>
        <w:pStyle w:val="BodyText"/>
        <w:spacing w:line="227" w:lineRule="auto"/>
        <w:ind w:left="417"/>
      </w:pPr>
      <w:r>
        <w:rPr>
          <w:spacing w:val="4"/>
        </w:rPr>
        <w:t>b)</w:t>
      </w:r>
      <w:r>
        <w:rPr>
          <w:spacing w:val="11"/>
        </w:rPr>
        <w:t xml:space="preserve">  </w:t>
      </w:r>
      <w:r>
        <w:rPr>
          <w:spacing w:val="4"/>
        </w:rPr>
        <w:t>数据分配；</w:t>
      </w:r>
    </w:p>
    <w:p>
      <w:pPr>
        <w:pStyle w:val="BodyText"/>
        <w:spacing w:before="65" w:line="228" w:lineRule="auto"/>
        <w:ind w:left="425"/>
      </w:pPr>
      <w:r>
        <w:rPr>
          <w:spacing w:val="3"/>
        </w:rPr>
        <w:t>c)</w:t>
      </w:r>
      <w:r>
        <w:rPr>
          <w:spacing w:val="11"/>
        </w:rPr>
        <w:t xml:space="preserve">  </w:t>
      </w:r>
      <w:r>
        <w:rPr>
          <w:spacing w:val="3"/>
        </w:rPr>
        <w:t>取舍准则。</w:t>
      </w:r>
    </w:p>
    <w:p>
      <w:pPr>
        <w:spacing w:line="309" w:lineRule="auto"/>
        <w:rPr>
          <w:rFonts w:ascii="Arial"/>
          <w:sz w:val="21"/>
        </w:rPr>
      </w:pPr>
    </w:p>
    <w:p>
      <w:pPr>
        <w:spacing w:before="66" w:line="230" w:lineRule="auto"/>
        <w:ind w:left="1"/>
        <w:rPr>
          <w:rFonts w:ascii="SimHei" w:eastAsia="SimHei" w:hAnsi="SimHei" w:cs="SimHei"/>
          <w:sz w:val="20"/>
          <w:szCs w:val="20"/>
        </w:rPr>
      </w:pPr>
      <w:r>
        <w:rPr>
          <w:rFonts w:ascii="SimHei" w:eastAsia="SimHei" w:hAnsi="SimHei" w:cs="SimHei"/>
          <w:spacing w:val="7"/>
          <w:sz w:val="20"/>
          <w:szCs w:val="20"/>
        </w:rPr>
        <w:t>7.2</w:t>
      </w:r>
      <w:r>
        <w:rPr>
          <w:rFonts w:ascii="SimHei" w:eastAsia="SimHei" w:hAnsi="SimHei" w:cs="SimHei"/>
          <w:spacing w:val="7"/>
          <w:sz w:val="20"/>
          <w:szCs w:val="20"/>
        </w:rPr>
        <w:t xml:space="preserve"> </w:t>
      </w:r>
      <w:r>
        <w:rPr>
          <w:rFonts w:ascii="SimHei" w:eastAsia="SimHei" w:hAnsi="SimHei" w:cs="SimHei"/>
          <w:spacing w:val="7"/>
          <w:sz w:val="20"/>
          <w:szCs w:val="20"/>
        </w:rPr>
        <w:t>数据收集和确认</w:t>
      </w:r>
    </w:p>
    <w:p>
      <w:pPr>
        <w:spacing w:line="308" w:lineRule="auto"/>
        <w:rPr>
          <w:rFonts w:ascii="Arial"/>
          <w:sz w:val="21"/>
        </w:rPr>
      </w:pPr>
    </w:p>
    <w:p>
      <w:pPr>
        <w:spacing w:before="65" w:line="229" w:lineRule="auto"/>
        <w:ind w:left="1"/>
        <w:rPr>
          <w:rFonts w:ascii="SimHei" w:eastAsia="SimHei" w:hAnsi="SimHei" w:cs="SimHei"/>
          <w:sz w:val="20"/>
          <w:szCs w:val="20"/>
        </w:rPr>
      </w:pPr>
      <w:r>
        <w:rPr>
          <w:rFonts w:ascii="SimHei" w:eastAsia="SimHei" w:hAnsi="SimHei" w:cs="SimHei"/>
          <w:spacing w:val="7"/>
          <w:sz w:val="20"/>
          <w:szCs w:val="20"/>
        </w:rPr>
        <w:t>7.2.1</w:t>
      </w:r>
      <w:r>
        <w:rPr>
          <w:rFonts w:ascii="SimHei" w:eastAsia="SimHei" w:hAnsi="SimHei" w:cs="SimHei"/>
          <w:spacing w:val="7"/>
          <w:sz w:val="20"/>
          <w:szCs w:val="20"/>
        </w:rPr>
        <w:t xml:space="preserve"> </w:t>
      </w:r>
      <w:r>
        <w:rPr>
          <w:rFonts w:ascii="SimHei" w:eastAsia="SimHei" w:hAnsi="SimHei" w:cs="SimHei"/>
          <w:spacing w:val="7"/>
          <w:sz w:val="20"/>
          <w:szCs w:val="20"/>
        </w:rPr>
        <w:t>数据收集和确认步骤</w:t>
      </w:r>
    </w:p>
    <w:p>
      <w:pPr>
        <w:spacing w:line="308" w:lineRule="auto"/>
        <w:rPr>
          <w:rFonts w:ascii="Arial"/>
          <w:sz w:val="21"/>
        </w:rPr>
      </w:pPr>
    </w:p>
    <w:p>
      <w:pPr>
        <w:pStyle w:val="BodyText"/>
        <w:spacing w:before="65" w:line="227" w:lineRule="auto"/>
        <w:ind w:left="421"/>
      </w:pPr>
      <w:r>
        <w:rPr>
          <w:spacing w:val="9"/>
        </w:rPr>
        <w:t>风力发电机组叶片产品数据收集应遵循以下步骤：</w:t>
      </w:r>
    </w:p>
    <w:p>
      <w:pPr>
        <w:pStyle w:val="BodyText"/>
        <w:spacing w:before="66" w:line="228" w:lineRule="auto"/>
        <w:ind w:left="422"/>
      </w:pPr>
      <w:r>
        <w:rPr>
          <w:rFonts w:ascii="Calibri" w:eastAsia="Calibri" w:hAnsi="Calibri" w:cs="Calibri"/>
          <w:spacing w:val="7"/>
        </w:rPr>
        <w:t>a</w:t>
      </w:r>
      <w:r>
        <w:rPr>
          <w:rFonts w:ascii="Calibri" w:eastAsia="Calibri" w:hAnsi="Calibri" w:cs="Calibri"/>
          <w:spacing w:val="-8"/>
        </w:rPr>
        <w:t xml:space="preserve"> </w:t>
      </w:r>
      <w:r>
        <w:rPr>
          <w:spacing w:val="7"/>
        </w:rPr>
        <w:t>）</w:t>
      </w:r>
      <w:r>
        <w:rPr>
          <w:spacing w:val="45"/>
        </w:rPr>
        <w:t xml:space="preserve"> </w:t>
      </w:r>
      <w:r>
        <w:rPr>
          <w:spacing w:val="7"/>
        </w:rPr>
        <w:t>确定数据收集范围，应包含系统边界内所有单元过程；</w:t>
      </w:r>
    </w:p>
    <w:p>
      <w:pPr>
        <w:pStyle w:val="BodyText"/>
        <w:spacing w:before="65" w:line="228" w:lineRule="auto"/>
        <w:ind w:left="428"/>
      </w:pPr>
      <w:r>
        <w:rPr>
          <w:rFonts w:ascii="Calibri" w:eastAsia="Calibri" w:hAnsi="Calibri" w:cs="Calibri"/>
          <w:spacing w:val="8"/>
        </w:rPr>
        <w:t>b</w:t>
      </w:r>
      <w:r>
        <w:rPr>
          <w:spacing w:val="8"/>
        </w:rPr>
        <w:t>）</w:t>
      </w:r>
      <w:r>
        <w:rPr>
          <w:spacing w:val="60"/>
        </w:rPr>
        <w:t xml:space="preserve"> </w:t>
      </w:r>
      <w:r>
        <w:rPr>
          <w:spacing w:val="8"/>
        </w:rPr>
        <w:t>收集纳入生命周期清单中的定性和定量数据，用来量化单元过程的输入输出；</w:t>
      </w:r>
    </w:p>
    <w:p>
      <w:pPr>
        <w:pStyle w:val="BodyText"/>
        <w:spacing w:before="65" w:line="258" w:lineRule="auto"/>
        <w:ind w:left="863" w:hanging="442"/>
      </w:pPr>
      <w:r>
        <w:rPr>
          <w:rFonts w:ascii="Calibri" w:eastAsia="Calibri" w:hAnsi="Calibri" w:cs="Calibri"/>
          <w:spacing w:val="11"/>
        </w:rPr>
        <w:t>c</w:t>
      </w:r>
      <w:r>
        <w:rPr>
          <w:rFonts w:ascii="Calibri" w:eastAsia="Calibri" w:hAnsi="Calibri" w:cs="Calibri"/>
          <w:spacing w:val="-14"/>
        </w:rPr>
        <w:t xml:space="preserve"> </w:t>
      </w:r>
      <w:r>
        <w:rPr>
          <w:spacing w:val="11"/>
        </w:rPr>
        <w:t>）</w:t>
      </w:r>
      <w:r>
        <w:rPr>
          <w:spacing w:val="59"/>
        </w:rPr>
        <w:t xml:space="preserve"> </w:t>
      </w:r>
      <w:r>
        <w:rPr>
          <w:spacing w:val="11"/>
        </w:rPr>
        <w:t>可通过建立质量平衡、能量平衡和（或）排放因子的比较分析等方法，在数</w:t>
      </w:r>
      <w:r>
        <w:rPr>
          <w:spacing w:val="10"/>
        </w:rPr>
        <w:t>据收集过程中对</w:t>
      </w:r>
      <w:r>
        <w:t xml:space="preserve"> </w:t>
      </w:r>
      <w:r>
        <w:rPr>
          <w:spacing w:val="9"/>
        </w:rPr>
        <w:t>数据的有效性进行检查（数据确认</w:t>
      </w:r>
      <w:r>
        <w:rPr>
          <w:spacing w:val="-54"/>
        </w:rPr>
        <w:t>）；</w:t>
      </w:r>
    </w:p>
    <w:p>
      <w:pPr>
        <w:pStyle w:val="BodyText"/>
        <w:spacing w:before="66" w:line="257" w:lineRule="auto"/>
        <w:ind w:left="422" w:right="363"/>
      </w:pPr>
      <w:r>
        <w:rPr>
          <w:rFonts w:ascii="Calibri" w:eastAsia="Calibri" w:hAnsi="Calibri" w:cs="Calibri"/>
          <w:spacing w:val="8"/>
        </w:rPr>
        <w:t>d</w:t>
      </w:r>
      <w:r>
        <w:rPr>
          <w:spacing w:val="8"/>
        </w:rPr>
        <w:t>）</w:t>
      </w:r>
      <w:r>
        <w:rPr>
          <w:spacing w:val="39"/>
        </w:rPr>
        <w:t xml:space="preserve"> </w:t>
      </w:r>
      <w:r>
        <w:rPr>
          <w:spacing w:val="8"/>
        </w:rPr>
        <w:t>将系统边界的输入输出数据与功能单位建立联系，主要包括初级数据和（或</w:t>
      </w:r>
      <w:r>
        <w:rPr>
          <w:spacing w:val="7"/>
        </w:rPr>
        <w:t>）次级数据；</w:t>
      </w:r>
      <w:r>
        <w:t xml:space="preserve"> </w:t>
      </w:r>
      <w:r>
        <w:rPr>
          <w:rFonts w:ascii="Calibri" w:eastAsia="Calibri" w:hAnsi="Calibri" w:cs="Calibri"/>
          <w:spacing w:val="6"/>
        </w:rPr>
        <w:t>e</w:t>
      </w:r>
      <w:r>
        <w:rPr>
          <w:rFonts w:ascii="Calibri" w:eastAsia="Calibri" w:hAnsi="Calibri" w:cs="Calibri"/>
          <w:spacing w:val="3"/>
        </w:rPr>
        <w:t xml:space="preserve"> </w:t>
      </w:r>
      <w:r>
        <w:rPr>
          <w:spacing w:val="6"/>
        </w:rPr>
        <w:t>）</w:t>
      </w:r>
      <w:r>
        <w:rPr>
          <w:spacing w:val="43"/>
        </w:rPr>
        <w:t xml:space="preserve"> </w:t>
      </w:r>
      <w:r>
        <w:rPr>
          <w:spacing w:val="6"/>
        </w:rPr>
        <w:t>详细记录数据来源等信息，进行数据质量评价。</w:t>
      </w:r>
    </w:p>
    <w:p>
      <w:pPr>
        <w:spacing w:line="312" w:lineRule="auto"/>
        <w:rPr>
          <w:rFonts w:ascii="Arial"/>
          <w:sz w:val="21"/>
        </w:rPr>
      </w:pPr>
    </w:p>
    <w:p>
      <w:pPr>
        <w:spacing w:before="65" w:line="229" w:lineRule="auto"/>
        <w:ind w:left="1"/>
        <w:rPr>
          <w:rFonts w:ascii="SimHei" w:eastAsia="SimHei" w:hAnsi="SimHei" w:cs="SimHei"/>
          <w:sz w:val="20"/>
          <w:szCs w:val="20"/>
        </w:rPr>
      </w:pPr>
      <w:r>
        <w:rPr>
          <w:rFonts w:ascii="SimHei" w:eastAsia="SimHei" w:hAnsi="SimHei" w:cs="SimHei"/>
          <w:spacing w:val="6"/>
          <w:sz w:val="20"/>
          <w:szCs w:val="20"/>
        </w:rPr>
        <w:t>7.2.2</w:t>
      </w:r>
      <w:r>
        <w:rPr>
          <w:rFonts w:ascii="SimHei" w:eastAsia="SimHei" w:hAnsi="SimHei" w:cs="SimHei"/>
          <w:spacing w:val="6"/>
          <w:sz w:val="20"/>
          <w:szCs w:val="20"/>
        </w:rPr>
        <w:t xml:space="preserve"> </w:t>
      </w:r>
      <w:r>
        <w:rPr>
          <w:rFonts w:ascii="SimHei" w:eastAsia="SimHei" w:hAnsi="SimHei" w:cs="SimHei"/>
          <w:spacing w:val="6"/>
          <w:sz w:val="20"/>
          <w:szCs w:val="20"/>
        </w:rPr>
        <w:t>初级数据收集</w:t>
      </w:r>
    </w:p>
    <w:p>
      <w:pPr>
        <w:spacing w:line="308" w:lineRule="auto"/>
        <w:rPr>
          <w:rFonts w:ascii="Arial"/>
          <w:sz w:val="21"/>
        </w:rPr>
      </w:pPr>
    </w:p>
    <w:p>
      <w:pPr>
        <w:pStyle w:val="BodyText"/>
        <w:spacing w:before="65" w:line="268" w:lineRule="auto"/>
        <w:ind w:firstLine="420"/>
      </w:pPr>
      <w:r>
        <w:rPr>
          <w:spacing w:val="13"/>
        </w:rPr>
        <w:t>通过直接测量、计算、估算或调查获得的数据为初级数据，应</w:t>
      </w:r>
      <w:r>
        <w:rPr>
          <w:spacing w:val="12"/>
        </w:rPr>
        <w:t>包括风力发电机组叶片产品系统边</w:t>
      </w:r>
      <w:r>
        <w:t xml:space="preserve"> </w:t>
      </w:r>
      <w:r>
        <w:rPr>
          <w:spacing w:val="13"/>
        </w:rPr>
        <w:t>界内各单元过程的所有输入输出数据。输入包括消耗</w:t>
      </w:r>
      <w:r>
        <w:rPr>
          <w:spacing w:val="12"/>
        </w:rPr>
        <w:t>的原材料、能源、辅助材料、包装材料和水等，</w:t>
      </w:r>
      <w:r>
        <w:t xml:space="preserve"> </w:t>
      </w:r>
      <w:r>
        <w:rPr>
          <w:spacing w:val="8"/>
        </w:rPr>
        <w:t>输出包括产品、副产品和排放物。</w:t>
      </w:r>
    </w:p>
    <w:p>
      <w:pPr>
        <w:pStyle w:val="BodyText"/>
        <w:spacing w:before="65" w:line="228" w:lineRule="auto"/>
        <w:ind w:left="420"/>
      </w:pPr>
      <w:r>
        <w:rPr>
          <w:spacing w:val="8"/>
        </w:rPr>
        <w:t>初级数据来源包括但不限于：</w:t>
      </w:r>
    </w:p>
    <w:p>
      <w:pPr>
        <w:pStyle w:val="BodyText"/>
        <w:spacing w:before="66" w:line="227" w:lineRule="auto"/>
        <w:ind w:left="419"/>
      </w:pPr>
      <w:r>
        <w:rPr>
          <w:spacing w:val="8"/>
        </w:rPr>
        <w:t>——原材料采购和预加工数据；</w:t>
      </w:r>
    </w:p>
    <w:p>
      <w:pPr>
        <w:pStyle w:val="BodyText"/>
        <w:spacing w:before="66" w:line="227" w:lineRule="auto"/>
        <w:ind w:left="419"/>
      </w:pPr>
      <w:r>
        <w:rPr>
          <w:spacing w:val="9"/>
        </w:rPr>
        <w:t>——原材料由原材料供应商运输至风力发电机组叶片产品生产工厂处的运输数据；</w:t>
      </w:r>
    </w:p>
    <w:p>
      <w:pPr>
        <w:pStyle w:val="BodyText"/>
        <w:spacing w:before="66" w:line="228" w:lineRule="auto"/>
        <w:ind w:left="419"/>
      </w:pPr>
      <w:r>
        <w:rPr>
          <w:spacing w:val="9"/>
        </w:rPr>
        <w:t>——生产过程的能源与水资源消耗数据；</w:t>
      </w:r>
    </w:p>
    <w:p>
      <w:pPr>
        <w:pStyle w:val="BodyText"/>
        <w:spacing w:before="65" w:line="227" w:lineRule="auto"/>
        <w:ind w:left="419"/>
      </w:pPr>
      <w:r>
        <w:rPr>
          <w:spacing w:val="8"/>
        </w:rPr>
        <w:t>——原材料分配及用量数据；</w:t>
      </w:r>
    </w:p>
    <w:p>
      <w:pPr>
        <w:pStyle w:val="BodyText"/>
        <w:spacing w:before="66" w:line="227" w:lineRule="auto"/>
        <w:ind w:left="419"/>
      </w:pPr>
      <w:r>
        <w:rPr>
          <w:spacing w:val="9"/>
        </w:rPr>
        <w:t>——包装材料数据，包括原材料包装数据；</w:t>
      </w:r>
    </w:p>
    <w:p>
      <w:pPr>
        <w:pStyle w:val="BodyText"/>
        <w:spacing w:before="66" w:line="228" w:lineRule="auto"/>
        <w:ind w:left="419"/>
      </w:pPr>
      <w:r>
        <w:rPr>
          <w:spacing w:val="8"/>
        </w:rPr>
        <w:t>——</w:t>
      </w:r>
      <w:r>
        <w:rPr>
          <w:spacing w:val="-58"/>
        </w:rPr>
        <w:t xml:space="preserve"> </w:t>
      </w:r>
      <w:r>
        <w:rPr>
          <w:spacing w:val="8"/>
        </w:rPr>
        <w:t>由工厂运输至运营方至使用方，或由使用方至运营方的运输数据；</w:t>
      </w:r>
    </w:p>
    <w:p>
      <w:pPr>
        <w:pStyle w:val="BodyText"/>
        <w:spacing w:before="65" w:line="312" w:lineRule="exact"/>
        <w:ind w:left="419"/>
      </w:pPr>
      <w:r>
        <w:rPr>
          <w:spacing w:val="9"/>
          <w:position w:val="7"/>
        </w:rPr>
        <w:t>——运营过程的能源与水资源消耗数据；</w:t>
      </w:r>
    </w:p>
    <w:p>
      <w:pPr>
        <w:pStyle w:val="BodyText"/>
        <w:spacing w:before="1" w:line="227" w:lineRule="auto"/>
        <w:ind w:left="419"/>
      </w:pPr>
      <w:r>
        <w:rPr>
          <w:spacing w:val="8"/>
        </w:rPr>
        <w:t>——运营方废弃的产品数据。</w:t>
      </w:r>
    </w:p>
    <w:p>
      <w:pPr>
        <w:spacing w:line="310" w:lineRule="auto"/>
        <w:rPr>
          <w:rFonts w:ascii="Arial"/>
          <w:sz w:val="21"/>
        </w:rPr>
      </w:pPr>
    </w:p>
    <w:p>
      <w:pPr>
        <w:spacing w:before="66" w:line="229" w:lineRule="auto"/>
        <w:ind w:left="1"/>
        <w:rPr>
          <w:rFonts w:ascii="SimHei" w:eastAsia="SimHei" w:hAnsi="SimHei" w:cs="SimHei"/>
          <w:sz w:val="20"/>
          <w:szCs w:val="20"/>
        </w:rPr>
        <w:sectPr>
          <w:footerReference w:type="default" r:id="rId42"/>
          <w:pgSz w:w="11906" w:h="16838"/>
          <w:pgMar w:top="1347" w:right="1129" w:bottom="1534" w:left="1423" w:header="0" w:footer="1369" w:gutter="0"/>
          <w:pgNumType w:start="13"/>
          <w:cols w:space="708"/>
        </w:sectPr>
      </w:pPr>
      <w:r>
        <w:rPr>
          <w:rFonts w:ascii="SimHei" w:eastAsia="SimHei" w:hAnsi="SimHei" w:cs="SimHei"/>
          <w:spacing w:val="6"/>
          <w:sz w:val="20"/>
          <w:szCs w:val="20"/>
        </w:rPr>
        <w:t>7.2.3</w:t>
      </w:r>
      <w:r>
        <w:rPr>
          <w:rFonts w:ascii="SimHei" w:eastAsia="SimHei" w:hAnsi="SimHei" w:cs="SimHei"/>
          <w:spacing w:val="6"/>
          <w:sz w:val="20"/>
          <w:szCs w:val="20"/>
        </w:rPr>
        <w:t xml:space="preserve"> </w:t>
      </w:r>
      <w:r>
        <w:rPr>
          <w:rFonts w:ascii="SimHei" w:eastAsia="SimHei" w:hAnsi="SimHei" w:cs="SimHei"/>
          <w:spacing w:val="6"/>
          <w:sz w:val="20"/>
          <w:szCs w:val="20"/>
        </w:rPr>
        <w:t>次级数据收集</w:t>
      </w:r>
    </w:p>
    <w:p>
      <w:pPr>
        <w:spacing w:line="307" w:lineRule="auto"/>
        <w:rPr>
          <w:rFonts w:ascii="Arial"/>
          <w:sz w:val="21"/>
        </w:rPr>
      </w:pPr>
    </w:p>
    <w:p>
      <w:pPr>
        <w:pStyle w:val="BodyText"/>
        <w:spacing w:before="65" w:line="273" w:lineRule="auto"/>
        <w:ind w:firstLine="420"/>
        <w:jc w:val="both"/>
      </w:pPr>
      <w:r>
        <w:rPr>
          <w:spacing w:val="13"/>
        </w:rPr>
        <w:t>应尽量使用初级数据，如果初级数据缺乏，可以选择次级数据</w:t>
      </w:r>
      <w:r>
        <w:rPr>
          <w:spacing w:val="12"/>
        </w:rPr>
        <w:t>。次级数据是经权威机构验证且具</w:t>
      </w:r>
      <w:r>
        <w:t xml:space="preserve"> </w:t>
      </w:r>
      <w:r>
        <w:rPr>
          <w:spacing w:val="12"/>
        </w:rPr>
        <w:t>有可信度的数据，可来源于数据库、公开文献、</w:t>
      </w:r>
      <w:r>
        <w:rPr>
          <w:spacing w:val="-59"/>
        </w:rPr>
        <w:t xml:space="preserve"> </w:t>
      </w:r>
      <w:r>
        <w:rPr>
          <w:spacing w:val="12"/>
        </w:rPr>
        <w:t>国家排放因</w:t>
      </w:r>
      <w:r>
        <w:rPr>
          <w:spacing w:val="11"/>
        </w:rPr>
        <w:t>子、计算估算数据、从代替过程获得的数</w:t>
      </w:r>
      <w:r>
        <w:t xml:space="preserve"> </w:t>
      </w:r>
      <w:r>
        <w:rPr>
          <w:spacing w:val="13"/>
        </w:rPr>
        <w:t>据或其他具有代表性的数据，推荐使用本土化数据库</w:t>
      </w:r>
      <w:r>
        <w:rPr>
          <w:spacing w:val="12"/>
        </w:rPr>
        <w:t>（优先选择代表国内平均水平的生命周期评价数</w:t>
      </w:r>
      <w:r>
        <w:t xml:space="preserve"> </w:t>
      </w:r>
      <w:r>
        <w:rPr>
          <w:spacing w:val="9"/>
        </w:rPr>
        <w:t>据）。次级数据包括但不限于主要原材料和能源数据等。</w:t>
      </w:r>
    </w:p>
    <w:p>
      <w:pPr>
        <w:spacing w:line="310" w:lineRule="auto"/>
        <w:rPr>
          <w:rFonts w:ascii="Arial"/>
          <w:sz w:val="21"/>
        </w:rPr>
      </w:pPr>
    </w:p>
    <w:p>
      <w:pPr>
        <w:spacing w:before="66" w:line="231" w:lineRule="auto"/>
        <w:ind w:left="1"/>
        <w:rPr>
          <w:rFonts w:ascii="SimHei" w:eastAsia="SimHei" w:hAnsi="SimHei" w:cs="SimHei"/>
          <w:sz w:val="20"/>
          <w:szCs w:val="20"/>
        </w:rPr>
      </w:pPr>
      <w:r>
        <w:rPr>
          <w:rFonts w:ascii="SimHei" w:eastAsia="SimHei" w:hAnsi="SimHei" w:cs="SimHei"/>
          <w:spacing w:val="6"/>
          <w:sz w:val="20"/>
          <w:szCs w:val="20"/>
        </w:rPr>
        <w:t>7.3</w:t>
      </w:r>
      <w:r>
        <w:rPr>
          <w:rFonts w:ascii="SimHei" w:eastAsia="SimHei" w:hAnsi="SimHei" w:cs="SimHei"/>
          <w:spacing w:val="6"/>
          <w:sz w:val="20"/>
          <w:szCs w:val="20"/>
        </w:rPr>
        <w:t xml:space="preserve"> </w:t>
      </w:r>
      <w:r>
        <w:rPr>
          <w:rFonts w:ascii="SimHei" w:eastAsia="SimHei" w:hAnsi="SimHei" w:cs="SimHei"/>
          <w:spacing w:val="6"/>
          <w:sz w:val="20"/>
          <w:szCs w:val="20"/>
        </w:rPr>
        <w:t>数据分配</w:t>
      </w:r>
    </w:p>
    <w:p>
      <w:pPr>
        <w:spacing w:line="306" w:lineRule="auto"/>
        <w:rPr>
          <w:rFonts w:ascii="Arial"/>
          <w:sz w:val="21"/>
        </w:rPr>
      </w:pPr>
    </w:p>
    <w:p>
      <w:pPr>
        <w:pStyle w:val="BodyText"/>
        <w:spacing w:before="66" w:line="258" w:lineRule="auto"/>
        <w:ind w:left="420" w:right="2"/>
      </w:pPr>
      <w:r>
        <w:rPr>
          <w:spacing w:val="13"/>
        </w:rPr>
        <w:t>在风力发电机组叶片产品系统边界设置或数据收集时，若</w:t>
      </w:r>
      <w:r>
        <w:rPr>
          <w:spacing w:val="12"/>
        </w:rPr>
        <w:t>发现至少有一个单元过程的输入和输出</w:t>
      </w:r>
      <w:r>
        <w:t xml:space="preserve"> </w:t>
      </w:r>
      <w:r>
        <w:rPr>
          <w:spacing w:val="9"/>
        </w:rPr>
        <w:t>包含多个产品，应按以下原则将输入和输出在产品生命周期内进行分配：</w:t>
      </w:r>
    </w:p>
    <w:p>
      <w:pPr>
        <w:spacing w:line="258" w:lineRule="auto"/>
        <w:sectPr>
          <w:footerReference w:type="default" r:id="rId43"/>
          <w:type w:val="nextPage"/>
          <w:pgSz w:w="11906" w:h="16838"/>
          <w:pgMar w:top="1347" w:right="1129" w:bottom="1534" w:left="1423" w:header="0" w:footer="1369" w:gutter="0"/>
          <w:pgNumType w:start="14"/>
          <w:cols w:space="708"/>
          <w:titlePg w:val="0"/>
        </w:sectPr>
      </w:pPr>
    </w:p>
    <w:p>
      <w:pPr>
        <w:spacing w:before="55" w:line="280" w:lineRule="exact"/>
        <w:ind w:right="9"/>
        <w:jc w:val="right"/>
        <w:rPr>
          <w:rFonts w:ascii="Calibri" w:eastAsia="Calibri" w:hAnsi="Calibri" w:cs="Calibri"/>
          <w:sz w:val="20"/>
          <w:szCs w:val="20"/>
        </w:rPr>
      </w:pPr>
      <w:r>
        <w:rPr>
          <w:rFonts w:ascii="Calibri" w:eastAsia="Calibri" w:hAnsi="Calibri" w:cs="Calibri"/>
          <w:spacing w:val="4"/>
          <w:position w:val="3"/>
          <w:sz w:val="20"/>
          <w:szCs w:val="20"/>
        </w:rPr>
        <w:t>T/</w:t>
      </w:r>
      <w:r>
        <w:rPr>
          <w:rFonts w:ascii="Calibri" w:eastAsia="Calibri" w:hAnsi="Calibri" w:cs="Calibri"/>
          <w:position w:val="3"/>
          <w:sz w:val="20"/>
          <w:szCs w:val="20"/>
        </w:rPr>
        <w:t>CIA</w:t>
      </w:r>
      <w:r>
        <w:rPr>
          <w:rFonts w:ascii="Calibri" w:eastAsia="Calibri" w:hAnsi="Calibri" w:cs="Calibri"/>
          <w:spacing w:val="4"/>
          <w:position w:val="3"/>
          <w:sz w:val="20"/>
          <w:szCs w:val="20"/>
        </w:rPr>
        <w:t xml:space="preserve"> 007-2023</w:t>
      </w:r>
    </w:p>
    <w:p>
      <w:pPr>
        <w:pStyle w:val="BodyText"/>
        <w:spacing w:before="294" w:line="228" w:lineRule="auto"/>
        <w:ind w:left="423"/>
      </w:pPr>
      <w:r>
        <w:rPr>
          <w:rFonts w:ascii="Calibri" w:eastAsia="Calibri" w:hAnsi="Calibri" w:cs="Calibri"/>
          <w:spacing w:val="5"/>
        </w:rPr>
        <w:t>a</w:t>
      </w:r>
      <w:r>
        <w:rPr>
          <w:rFonts w:ascii="Calibri" w:eastAsia="Calibri" w:hAnsi="Calibri" w:cs="Calibri"/>
          <w:spacing w:val="-4"/>
        </w:rPr>
        <w:t xml:space="preserve"> </w:t>
      </w:r>
      <w:r>
        <w:rPr>
          <w:spacing w:val="5"/>
        </w:rPr>
        <w:t>） 尽量避免进行数据分配；</w:t>
      </w:r>
    </w:p>
    <w:p>
      <w:pPr>
        <w:pStyle w:val="BodyText"/>
        <w:spacing w:before="64" w:line="228" w:lineRule="auto"/>
        <w:ind w:left="430"/>
      </w:pPr>
      <w:r>
        <w:rPr>
          <w:rFonts w:ascii="Calibri" w:eastAsia="Calibri" w:hAnsi="Calibri" w:cs="Calibri"/>
          <w:spacing w:val="9"/>
        </w:rPr>
        <w:t>b</w:t>
      </w:r>
      <w:r>
        <w:rPr>
          <w:spacing w:val="9"/>
        </w:rPr>
        <w:t>） 一个单元过程分配的输入和输出总和应与其分配</w:t>
      </w:r>
      <w:r>
        <w:rPr>
          <w:spacing w:val="8"/>
        </w:rPr>
        <w:t>前的输入和输出相等；</w:t>
      </w:r>
    </w:p>
    <w:p>
      <w:pPr>
        <w:pStyle w:val="BodyText"/>
        <w:spacing w:before="65" w:line="258" w:lineRule="auto"/>
        <w:ind w:left="423" w:right="7"/>
      </w:pPr>
      <w:r>
        <w:rPr>
          <w:rFonts w:ascii="Calibri" w:eastAsia="Calibri" w:hAnsi="Calibri" w:cs="Calibri"/>
          <w:spacing w:val="11"/>
        </w:rPr>
        <w:t>c</w:t>
      </w:r>
      <w:r>
        <w:rPr>
          <w:rFonts w:ascii="Calibri" w:eastAsia="Calibri" w:hAnsi="Calibri" w:cs="Calibri"/>
          <w:spacing w:val="-2"/>
        </w:rPr>
        <w:t xml:space="preserve"> </w:t>
      </w:r>
      <w:r>
        <w:rPr>
          <w:spacing w:val="11"/>
        </w:rPr>
        <w:t>）</w:t>
      </w:r>
      <w:r>
        <w:rPr>
          <w:spacing w:val="35"/>
        </w:rPr>
        <w:t xml:space="preserve"> </w:t>
      </w:r>
      <w:r>
        <w:rPr>
          <w:spacing w:val="11"/>
        </w:rPr>
        <w:t>优先使用物理关系参数进行分配，例如在风力发电机组叶片产品生产阶段，因生产的产品主</w:t>
      </w:r>
      <w:r>
        <w:t xml:space="preserve"> </w:t>
      </w:r>
      <w:r>
        <w:rPr>
          <w:spacing w:val="9"/>
        </w:rPr>
        <w:t>要成分比较一致，选取“重量分配</w:t>
      </w:r>
      <w:r>
        <w:rPr>
          <w:spacing w:val="-70"/>
        </w:rPr>
        <w:t xml:space="preserve"> </w:t>
      </w:r>
      <w:r>
        <w:rPr>
          <w:spacing w:val="9"/>
        </w:rPr>
        <w:t>”作为分摊的比例，即重量越大的产品，</w:t>
      </w:r>
      <w:r>
        <w:rPr>
          <w:spacing w:val="8"/>
        </w:rPr>
        <w:t>其分摊额度就越大；</w:t>
      </w:r>
    </w:p>
    <w:p>
      <w:pPr>
        <w:pStyle w:val="BodyText"/>
        <w:spacing w:before="66" w:line="226" w:lineRule="auto"/>
        <w:ind w:left="424"/>
      </w:pPr>
      <w:r>
        <w:rPr>
          <w:rFonts w:ascii="Calibri" w:eastAsia="Calibri" w:hAnsi="Calibri" w:cs="Calibri"/>
          <w:spacing w:val="9"/>
        </w:rPr>
        <w:t>d</w:t>
      </w:r>
      <w:r>
        <w:rPr>
          <w:spacing w:val="9"/>
        </w:rPr>
        <w:t>） 无法找到物理关系时，可根据产品的经济价值按比例将输入输出数据分配到共生产品；</w:t>
      </w:r>
    </w:p>
    <w:p>
      <w:pPr>
        <w:pStyle w:val="BodyText"/>
        <w:spacing w:before="66" w:line="312" w:lineRule="exact"/>
        <w:ind w:left="423"/>
      </w:pPr>
      <w:r>
        <w:rPr>
          <w:rFonts w:ascii="Calibri" w:eastAsia="Calibri" w:hAnsi="Calibri" w:cs="Calibri"/>
          <w:spacing w:val="8"/>
          <w:position w:val="7"/>
        </w:rPr>
        <w:t>e</w:t>
      </w:r>
      <w:r>
        <w:rPr>
          <w:rFonts w:ascii="Calibri" w:eastAsia="Calibri" w:hAnsi="Calibri" w:cs="Calibri"/>
          <w:spacing w:val="-14"/>
          <w:position w:val="7"/>
        </w:rPr>
        <w:t xml:space="preserve"> </w:t>
      </w:r>
      <w:r>
        <w:rPr>
          <w:spacing w:val="8"/>
          <w:position w:val="7"/>
        </w:rPr>
        <w:t>） 有些输出可能同时包括共生产品和废物，此时应确定两者的比例；</w:t>
      </w:r>
    </w:p>
    <w:p>
      <w:pPr>
        <w:pStyle w:val="BodyText"/>
        <w:spacing w:before="1" w:line="226" w:lineRule="auto"/>
        <w:ind w:left="418"/>
      </w:pPr>
      <w:r>
        <w:rPr>
          <w:rFonts w:ascii="Calibri" w:eastAsia="Calibri" w:hAnsi="Calibri" w:cs="Calibri"/>
          <w:spacing w:val="8"/>
        </w:rPr>
        <w:t>f</w:t>
      </w:r>
      <w:r>
        <w:rPr>
          <w:spacing w:val="8"/>
        </w:rPr>
        <w:t>）</w:t>
      </w:r>
      <w:r>
        <w:rPr>
          <w:spacing w:val="72"/>
        </w:rPr>
        <w:t xml:space="preserve"> </w:t>
      </w:r>
      <w:r>
        <w:rPr>
          <w:spacing w:val="8"/>
        </w:rPr>
        <w:t>对系统中相似的输入输出，应采用同样的分配程序；</w:t>
      </w:r>
    </w:p>
    <w:p>
      <w:pPr>
        <w:pStyle w:val="BodyText"/>
        <w:spacing w:before="66" w:line="223" w:lineRule="auto"/>
        <w:ind w:left="419"/>
      </w:pPr>
      <w:r>
        <w:rPr>
          <w:rFonts w:ascii="Calibri" w:eastAsia="Calibri" w:hAnsi="Calibri" w:cs="Calibri"/>
          <w:spacing w:val="9"/>
        </w:rPr>
        <w:t>g</w:t>
      </w:r>
      <w:r>
        <w:rPr>
          <w:spacing w:val="9"/>
        </w:rPr>
        <w:t>）</w:t>
      </w:r>
      <w:r>
        <w:rPr>
          <w:spacing w:val="43"/>
        </w:rPr>
        <w:t xml:space="preserve"> </w:t>
      </w:r>
      <w:r>
        <w:rPr>
          <w:spacing w:val="9"/>
        </w:rPr>
        <w:t>当同时有几种备选分配程序时，应通过敏感</w:t>
      </w:r>
      <w:r>
        <w:rPr>
          <w:spacing w:val="8"/>
        </w:rPr>
        <w:t>性分析阐明偏离所选方法产生的影响。</w:t>
      </w:r>
    </w:p>
    <w:p>
      <w:pPr>
        <w:spacing w:line="315" w:lineRule="auto"/>
        <w:rPr>
          <w:rFonts w:ascii="Arial"/>
          <w:sz w:val="21"/>
        </w:rPr>
      </w:pPr>
    </w:p>
    <w:p>
      <w:pPr>
        <w:spacing w:before="66" w:line="229" w:lineRule="auto"/>
        <w:ind w:left="3"/>
        <w:rPr>
          <w:rFonts w:ascii="SimHei" w:eastAsia="SimHei" w:hAnsi="SimHei" w:cs="SimHei"/>
          <w:sz w:val="20"/>
          <w:szCs w:val="20"/>
        </w:rPr>
      </w:pPr>
      <w:r>
        <w:rPr>
          <w:rFonts w:ascii="SimHei" w:eastAsia="SimHei" w:hAnsi="SimHei" w:cs="SimHei"/>
          <w:spacing w:val="6"/>
          <w:sz w:val="20"/>
          <w:szCs w:val="20"/>
        </w:rPr>
        <w:t>7.4</w:t>
      </w:r>
      <w:r>
        <w:rPr>
          <w:rFonts w:ascii="SimHei" w:eastAsia="SimHei" w:hAnsi="SimHei" w:cs="SimHei"/>
          <w:spacing w:val="6"/>
          <w:sz w:val="20"/>
          <w:szCs w:val="20"/>
        </w:rPr>
        <w:t xml:space="preserve"> </w:t>
      </w:r>
      <w:r>
        <w:rPr>
          <w:rFonts w:ascii="SimHei" w:eastAsia="SimHei" w:hAnsi="SimHei" w:cs="SimHei"/>
          <w:spacing w:val="6"/>
          <w:sz w:val="20"/>
          <w:szCs w:val="20"/>
        </w:rPr>
        <w:t>数据取舍原则</w:t>
      </w:r>
    </w:p>
    <w:p>
      <w:pPr>
        <w:spacing w:line="308" w:lineRule="auto"/>
        <w:rPr>
          <w:rFonts w:ascii="Arial"/>
          <w:sz w:val="21"/>
        </w:rPr>
      </w:pPr>
    </w:p>
    <w:p>
      <w:pPr>
        <w:pStyle w:val="BodyText"/>
        <w:spacing w:before="66" w:line="257" w:lineRule="auto"/>
        <w:ind w:left="3" w:firstLine="420"/>
      </w:pPr>
      <w:r>
        <w:rPr>
          <w:spacing w:val="13"/>
        </w:rPr>
        <w:t>风力发电机组叶片产品生命周期系统边界内物质流或能量流对某</w:t>
      </w:r>
      <w:r>
        <w:rPr>
          <w:spacing w:val="12"/>
        </w:rPr>
        <w:t>一单元过程的碳足迹无实质性贡</w:t>
      </w:r>
      <w:r>
        <w:t xml:space="preserve"> </w:t>
      </w:r>
      <w:r>
        <w:rPr>
          <w:spacing w:val="9"/>
        </w:rPr>
        <w:t>献时，可将其作为数据排除项排除并进行报告，原则如下：</w:t>
      </w:r>
    </w:p>
    <w:p>
      <w:pPr>
        <w:pStyle w:val="BodyText"/>
        <w:spacing w:before="67" w:line="312" w:lineRule="exact"/>
        <w:ind w:left="423"/>
      </w:pPr>
      <w:r>
        <w:rPr>
          <w:rFonts w:ascii="Calibri" w:eastAsia="Calibri" w:hAnsi="Calibri" w:cs="Calibri"/>
          <w:spacing w:val="4"/>
          <w:position w:val="7"/>
        </w:rPr>
        <w:t>a</w:t>
      </w:r>
      <w:r>
        <w:rPr>
          <w:rFonts w:ascii="Calibri" w:eastAsia="Calibri" w:hAnsi="Calibri" w:cs="Calibri"/>
          <w:spacing w:val="-9"/>
          <w:position w:val="7"/>
        </w:rPr>
        <w:t xml:space="preserve"> </w:t>
      </w:r>
      <w:r>
        <w:rPr>
          <w:spacing w:val="4"/>
          <w:position w:val="7"/>
        </w:rPr>
        <w:t>）</w:t>
      </w:r>
      <w:r>
        <w:rPr>
          <w:spacing w:val="44"/>
          <w:position w:val="7"/>
        </w:rPr>
        <w:t xml:space="preserve"> </w:t>
      </w:r>
      <w:r>
        <w:rPr>
          <w:spacing w:val="4"/>
          <w:position w:val="7"/>
        </w:rPr>
        <w:t>所有能源的输入均列出；</w:t>
      </w:r>
    </w:p>
    <w:p>
      <w:pPr>
        <w:pStyle w:val="BodyText"/>
        <w:spacing w:before="1" w:line="227" w:lineRule="auto"/>
        <w:ind w:left="430"/>
      </w:pPr>
      <w:r>
        <w:rPr>
          <w:rFonts w:ascii="Calibri" w:eastAsia="Calibri" w:hAnsi="Calibri" w:cs="Calibri"/>
          <w:spacing w:val="6"/>
        </w:rPr>
        <w:t>b</w:t>
      </w:r>
      <w:r>
        <w:rPr>
          <w:spacing w:val="6"/>
        </w:rPr>
        <w:t>）</w:t>
      </w:r>
      <w:r>
        <w:rPr>
          <w:spacing w:val="40"/>
        </w:rPr>
        <w:t xml:space="preserve"> </w:t>
      </w:r>
      <w:r>
        <w:rPr>
          <w:spacing w:val="6"/>
        </w:rPr>
        <w:t>所有原料的输入均列出；</w:t>
      </w:r>
    </w:p>
    <w:p>
      <w:pPr>
        <w:pStyle w:val="BodyText"/>
        <w:spacing w:before="65" w:line="312" w:lineRule="exact"/>
        <w:ind w:left="423"/>
      </w:pPr>
      <w:r>
        <w:rPr>
          <w:rFonts w:ascii="Calibri" w:eastAsia="Calibri" w:hAnsi="Calibri" w:cs="Calibri"/>
          <w:spacing w:val="6"/>
          <w:position w:val="7"/>
        </w:rPr>
        <w:t>c</w:t>
      </w:r>
      <w:r>
        <w:rPr>
          <w:rFonts w:ascii="Calibri" w:eastAsia="Calibri" w:hAnsi="Calibri" w:cs="Calibri"/>
          <w:spacing w:val="-12"/>
          <w:position w:val="7"/>
        </w:rPr>
        <w:t xml:space="preserve"> </w:t>
      </w:r>
      <w:r>
        <w:rPr>
          <w:spacing w:val="6"/>
          <w:position w:val="7"/>
        </w:rPr>
        <w:t>）</w:t>
      </w:r>
      <w:r>
        <w:rPr>
          <w:spacing w:val="59"/>
          <w:position w:val="7"/>
        </w:rPr>
        <w:t xml:space="preserve"> </w:t>
      </w:r>
      <w:r>
        <w:rPr>
          <w:spacing w:val="6"/>
          <w:position w:val="7"/>
        </w:rPr>
        <w:t>辅助材料质量小于原料总消耗</w:t>
      </w:r>
      <w:r>
        <w:rPr>
          <w:spacing w:val="-30"/>
          <w:position w:val="7"/>
        </w:rPr>
        <w:t xml:space="preserve"> </w:t>
      </w:r>
      <w:r>
        <w:rPr>
          <w:rFonts w:ascii="Calibri" w:eastAsia="Calibri" w:hAnsi="Calibri" w:cs="Calibri"/>
          <w:spacing w:val="6"/>
          <w:position w:val="7"/>
        </w:rPr>
        <w:t>1%</w:t>
      </w:r>
      <w:r>
        <w:rPr>
          <w:spacing w:val="6"/>
          <w:position w:val="7"/>
        </w:rPr>
        <w:t>的项目输入可忽略；</w:t>
      </w:r>
    </w:p>
    <w:p>
      <w:pPr>
        <w:pStyle w:val="BodyText"/>
        <w:spacing w:before="1" w:line="227" w:lineRule="auto"/>
        <w:ind w:left="424"/>
      </w:pPr>
      <w:r>
        <w:rPr>
          <w:rFonts w:ascii="Calibri" w:eastAsia="Calibri" w:hAnsi="Calibri" w:cs="Calibri"/>
          <w:spacing w:val="7"/>
        </w:rPr>
        <w:t>d</w:t>
      </w:r>
      <w:r>
        <w:rPr>
          <w:spacing w:val="7"/>
        </w:rPr>
        <w:t>）</w:t>
      </w:r>
      <w:r>
        <w:rPr>
          <w:spacing w:val="42"/>
        </w:rPr>
        <w:t xml:space="preserve"> </w:t>
      </w:r>
      <w:r>
        <w:rPr>
          <w:spacing w:val="7"/>
        </w:rPr>
        <w:t>主要大气和水体的排放均列出；</w:t>
      </w:r>
    </w:p>
    <w:p>
      <w:pPr>
        <w:pStyle w:val="BodyText"/>
        <w:spacing w:before="66" w:line="228" w:lineRule="auto"/>
        <w:ind w:left="423"/>
      </w:pPr>
      <w:r>
        <w:rPr>
          <w:rFonts w:ascii="Calibri" w:eastAsia="Calibri" w:hAnsi="Calibri" w:cs="Calibri"/>
          <w:spacing w:val="6"/>
        </w:rPr>
        <w:t>e</w:t>
      </w:r>
      <w:r>
        <w:rPr>
          <w:rFonts w:ascii="Calibri" w:eastAsia="Calibri" w:hAnsi="Calibri" w:cs="Calibri"/>
          <w:spacing w:val="-14"/>
        </w:rPr>
        <w:t xml:space="preserve"> </w:t>
      </w:r>
      <w:r>
        <w:rPr>
          <w:spacing w:val="6"/>
        </w:rPr>
        <w:t>）</w:t>
      </w:r>
      <w:r>
        <w:rPr>
          <w:spacing w:val="45"/>
        </w:rPr>
        <w:t xml:space="preserve"> </w:t>
      </w:r>
      <w:r>
        <w:rPr>
          <w:spacing w:val="6"/>
        </w:rPr>
        <w:t>小于固体废物排放总量</w:t>
      </w:r>
      <w:r>
        <w:rPr>
          <w:spacing w:val="-29"/>
        </w:rPr>
        <w:t xml:space="preserve"> </w:t>
      </w:r>
      <w:r>
        <w:rPr>
          <w:rFonts w:ascii="Calibri" w:eastAsia="Calibri" w:hAnsi="Calibri" w:cs="Calibri"/>
          <w:spacing w:val="6"/>
        </w:rPr>
        <w:t>1%</w:t>
      </w:r>
      <w:r>
        <w:rPr>
          <w:spacing w:val="6"/>
        </w:rPr>
        <w:t>的一般性固体废物可忽略；</w:t>
      </w:r>
    </w:p>
    <w:p>
      <w:pPr>
        <w:pStyle w:val="BodyText"/>
        <w:spacing w:before="66" w:line="267" w:lineRule="auto"/>
        <w:ind w:left="863" w:right="2" w:hanging="445"/>
      </w:pPr>
      <w:r>
        <w:rPr>
          <w:rFonts w:ascii="Calibri" w:eastAsia="Calibri" w:hAnsi="Calibri" w:cs="Calibri"/>
          <w:spacing w:val="13"/>
        </w:rPr>
        <w:t>f</w:t>
      </w:r>
      <w:r>
        <w:rPr>
          <w:spacing w:val="13"/>
        </w:rPr>
        <w:t>）</w:t>
      </w:r>
      <w:r>
        <w:rPr>
          <w:spacing w:val="84"/>
        </w:rPr>
        <w:t xml:space="preserve"> </w:t>
      </w:r>
      <w:r>
        <w:rPr>
          <w:spacing w:val="13"/>
        </w:rPr>
        <w:t>排放源温室气体排放量估测值小于或等于产品生命周期内温室气体排放量</w:t>
      </w:r>
      <w:r>
        <w:rPr>
          <w:spacing w:val="12"/>
        </w:rPr>
        <w:t>估测值的</w:t>
      </w:r>
      <w:r>
        <w:rPr>
          <w:spacing w:val="-29"/>
        </w:rPr>
        <w:t xml:space="preserve"> </w:t>
      </w:r>
      <w:r>
        <w:rPr>
          <w:rFonts w:ascii="Calibri" w:eastAsia="Calibri" w:hAnsi="Calibri" w:cs="Calibri"/>
          <w:spacing w:val="12"/>
        </w:rPr>
        <w:t>1%</w:t>
      </w:r>
      <w:r>
        <w:rPr>
          <w:rFonts w:ascii="Calibri" w:eastAsia="Calibri" w:hAnsi="Calibri" w:cs="Calibri"/>
          <w:spacing w:val="-16"/>
        </w:rPr>
        <w:t xml:space="preserve"> </w:t>
      </w:r>
      <w:r>
        <w:rPr>
          <w:spacing w:val="12"/>
        </w:rPr>
        <w:t>，可</w:t>
      </w:r>
      <w:r>
        <w:t xml:space="preserve"> </w:t>
      </w:r>
      <w:r>
        <w:rPr>
          <w:spacing w:val="12"/>
        </w:rPr>
        <w:t>忽略。但所有忽略排放源的温室气体排放总量估测值不得超过产品生命周期内温室气体排放</w:t>
      </w:r>
      <w:r>
        <w:rPr>
          <w:spacing w:val="9"/>
        </w:rPr>
        <w:t xml:space="preserve"> </w:t>
      </w:r>
      <w:r>
        <w:rPr>
          <w:spacing w:val="5"/>
        </w:rPr>
        <w:t>量估测值的</w:t>
      </w:r>
      <w:r>
        <w:rPr>
          <w:spacing w:val="-38"/>
        </w:rPr>
        <w:t xml:space="preserve"> </w:t>
      </w:r>
      <w:r>
        <w:rPr>
          <w:rFonts w:ascii="Calibri" w:eastAsia="Calibri" w:hAnsi="Calibri" w:cs="Calibri"/>
          <w:spacing w:val="5"/>
        </w:rPr>
        <w:t>5%</w:t>
      </w:r>
      <w:r>
        <w:rPr>
          <w:spacing w:val="5"/>
        </w:rPr>
        <w:t>。</w:t>
      </w:r>
    </w:p>
    <w:p>
      <w:pPr>
        <w:pStyle w:val="BodyText"/>
        <w:spacing w:before="68" w:line="257" w:lineRule="auto"/>
        <w:ind w:left="429" w:right="365" w:hanging="10"/>
      </w:pPr>
      <w:r>
        <w:rPr>
          <w:rFonts w:ascii="Calibri" w:eastAsia="Calibri" w:hAnsi="Calibri" w:cs="Calibri"/>
          <w:spacing w:val="8"/>
        </w:rPr>
        <w:t>g</w:t>
      </w:r>
      <w:r>
        <w:rPr>
          <w:spacing w:val="8"/>
        </w:rPr>
        <w:t>）</w:t>
      </w:r>
      <w:r>
        <w:rPr>
          <w:spacing w:val="51"/>
        </w:rPr>
        <w:t xml:space="preserve"> </w:t>
      </w:r>
      <w:r>
        <w:rPr>
          <w:spacing w:val="8"/>
        </w:rPr>
        <w:t>道路与厂房的基础设施、各工序的设备、厂区内人员及生活设施的消耗和排放，均</w:t>
      </w:r>
      <w:r>
        <w:rPr>
          <w:spacing w:val="7"/>
        </w:rPr>
        <w:t>忽略；</w:t>
      </w:r>
      <w:r>
        <w:t xml:space="preserve"> </w:t>
      </w:r>
      <w:r>
        <w:rPr>
          <w:rFonts w:ascii="Calibri" w:eastAsia="Calibri" w:hAnsi="Calibri" w:cs="Calibri"/>
          <w:spacing w:val="8"/>
        </w:rPr>
        <w:t>h</w:t>
      </w:r>
      <w:r>
        <w:rPr>
          <w:spacing w:val="8"/>
        </w:rPr>
        <w:t>）</w:t>
      </w:r>
      <w:r>
        <w:rPr>
          <w:spacing w:val="44"/>
        </w:rPr>
        <w:t xml:space="preserve"> </w:t>
      </w:r>
      <w:r>
        <w:rPr>
          <w:spacing w:val="8"/>
        </w:rPr>
        <w:t>任何有毒有害的材料和物质均应包含于清单中，不可忽略。</w:t>
      </w:r>
    </w:p>
    <w:p>
      <w:pPr>
        <w:spacing w:line="311" w:lineRule="auto"/>
        <w:rPr>
          <w:rFonts w:ascii="Arial"/>
          <w:sz w:val="21"/>
        </w:rPr>
      </w:pPr>
    </w:p>
    <w:p>
      <w:pPr>
        <w:spacing w:before="65" w:line="230" w:lineRule="auto"/>
        <w:ind w:left="3"/>
        <w:rPr>
          <w:rFonts w:ascii="SimHei" w:eastAsia="SimHei" w:hAnsi="SimHei" w:cs="SimHei"/>
          <w:sz w:val="20"/>
          <w:szCs w:val="20"/>
        </w:rPr>
      </w:pPr>
      <w:r>
        <w:rPr>
          <w:rFonts w:ascii="SimHei" w:eastAsia="SimHei" w:hAnsi="SimHei" w:cs="SimHei"/>
          <w:spacing w:val="4"/>
          <w:sz w:val="20"/>
          <w:szCs w:val="20"/>
        </w:rPr>
        <w:t>7.5</w:t>
      </w:r>
      <w:r>
        <w:rPr>
          <w:rFonts w:ascii="SimHei" w:eastAsia="SimHei" w:hAnsi="SimHei" w:cs="SimHei"/>
          <w:spacing w:val="19"/>
          <w:sz w:val="20"/>
          <w:szCs w:val="20"/>
        </w:rPr>
        <w:t xml:space="preserve"> </w:t>
      </w:r>
      <w:r>
        <w:rPr>
          <w:rFonts w:ascii="SimHei" w:eastAsia="SimHei" w:hAnsi="SimHei" w:cs="SimHei"/>
          <w:spacing w:val="4"/>
          <w:sz w:val="20"/>
          <w:szCs w:val="20"/>
        </w:rPr>
        <w:t>清单计算</w:t>
      </w:r>
    </w:p>
    <w:p>
      <w:pPr>
        <w:spacing w:line="308" w:lineRule="auto"/>
        <w:rPr>
          <w:rFonts w:ascii="Arial"/>
          <w:sz w:val="21"/>
        </w:rPr>
      </w:pPr>
    </w:p>
    <w:p>
      <w:pPr>
        <w:pStyle w:val="BodyText"/>
        <w:spacing w:before="66" w:line="257" w:lineRule="auto"/>
        <w:ind w:left="5" w:right="2" w:firstLine="415"/>
      </w:pPr>
      <w:r>
        <w:rPr>
          <w:spacing w:val="13"/>
        </w:rPr>
        <w:t>对所收集的数据进行分析、汇总和处理，可得到全部输入与输</w:t>
      </w:r>
      <w:r>
        <w:rPr>
          <w:spacing w:val="12"/>
        </w:rPr>
        <w:t>出物质和温室气体排放清单。风力</w:t>
      </w:r>
      <w:r>
        <w:t xml:space="preserve"> </w:t>
      </w:r>
      <w:r>
        <w:rPr>
          <w:spacing w:val="9"/>
        </w:rPr>
        <w:t>发电机组叶片产品碳足迹量化数据收集表可参考附录</w:t>
      </w:r>
      <w:r>
        <w:rPr>
          <w:spacing w:val="8"/>
        </w:rPr>
        <w:t>A。</w:t>
      </w:r>
    </w:p>
    <w:p>
      <w:pPr>
        <w:spacing w:line="311" w:lineRule="auto"/>
        <w:rPr>
          <w:rFonts w:ascii="Arial"/>
          <w:sz w:val="21"/>
        </w:rPr>
      </w:pPr>
    </w:p>
    <w:p>
      <w:pPr>
        <w:spacing w:before="65" w:line="230" w:lineRule="auto"/>
        <w:rPr>
          <w:rFonts w:ascii="SimHei" w:eastAsia="SimHei" w:hAnsi="SimHei" w:cs="SimHei"/>
          <w:sz w:val="20"/>
          <w:szCs w:val="20"/>
        </w:rPr>
      </w:pPr>
      <w:r>
        <w:rPr>
          <w:rFonts w:ascii="SimHei" w:eastAsia="SimHei" w:hAnsi="SimHei" w:cs="SimHei"/>
          <w:spacing w:val="6"/>
          <w:sz w:val="20"/>
          <w:szCs w:val="20"/>
          <w14:textOutline w14:w="3795">
            <w14:solidFill>
              <w14:srgbClr w14:val="000000"/>
            </w14:solidFill>
            <w14:prstDash w14:val="solid"/>
            <w14:miter w14:lim="10"/>
          </w14:textOutline>
        </w:rPr>
        <w:t>8</w:t>
      </w:r>
      <w:r>
        <w:rPr>
          <w:rFonts w:ascii="SimHei" w:eastAsia="SimHei" w:hAnsi="SimHei" w:cs="SimHei"/>
          <w:spacing w:val="11"/>
          <w:sz w:val="20"/>
          <w:szCs w:val="20"/>
        </w:rPr>
        <w:t xml:space="preserve">  </w:t>
      </w:r>
      <w:r>
        <w:rPr>
          <w:rFonts w:ascii="SimHei" w:eastAsia="SimHei" w:hAnsi="SimHei" w:cs="SimHei"/>
          <w:spacing w:val="6"/>
          <w:sz w:val="20"/>
          <w:szCs w:val="20"/>
          <w14:textOutline w14:w="3795">
            <w14:solidFill>
              <w14:srgbClr w14:val="000000"/>
            </w14:solidFill>
            <w14:prstDash w14:val="solid"/>
            <w14:miter w14:lim="10"/>
          </w14:textOutline>
        </w:rPr>
        <w:t>影响评价</w:t>
      </w:r>
    </w:p>
    <w:p>
      <w:pPr>
        <w:spacing w:line="308" w:lineRule="auto"/>
        <w:rPr>
          <w:rFonts w:ascii="Arial"/>
          <w:sz w:val="21"/>
        </w:rPr>
      </w:pPr>
    </w:p>
    <w:p>
      <w:pPr>
        <w:spacing w:before="65" w:line="229" w:lineRule="auto"/>
        <w:rPr>
          <w:rFonts w:ascii="SimHei" w:eastAsia="SimHei" w:hAnsi="SimHei" w:cs="SimHei"/>
          <w:sz w:val="20"/>
          <w:szCs w:val="20"/>
        </w:rPr>
        <w:sectPr>
          <w:footerReference w:type="default" r:id="rId44"/>
          <w:pgSz w:w="11906" w:h="16838"/>
          <w:pgMar w:top="1347" w:right="1126" w:bottom="1533" w:left="1421" w:header="0" w:footer="1369" w:gutter="0"/>
          <w:pgNumType w:start="15"/>
          <w:cols w:space="708"/>
        </w:sectPr>
      </w:pPr>
      <w:r>
        <w:rPr>
          <w:rFonts w:ascii="SimHei" w:eastAsia="SimHei" w:hAnsi="SimHei" w:cs="SimHei"/>
          <w:spacing w:val="4"/>
          <w:sz w:val="20"/>
          <w:szCs w:val="20"/>
        </w:rPr>
        <w:t>8.1</w:t>
      </w:r>
      <w:r>
        <w:rPr>
          <w:rFonts w:ascii="SimHei" w:eastAsia="SimHei" w:hAnsi="SimHei" w:cs="SimHei"/>
          <w:spacing w:val="-42"/>
          <w:sz w:val="20"/>
          <w:szCs w:val="20"/>
        </w:rPr>
        <w:t xml:space="preserve"> </w:t>
      </w:r>
      <w:r>
        <w:rPr>
          <w:rFonts w:ascii="SimHei" w:eastAsia="SimHei" w:hAnsi="SimHei" w:cs="SimHei"/>
          <w:spacing w:val="4"/>
          <w:sz w:val="20"/>
          <w:szCs w:val="20"/>
        </w:rPr>
        <w:t>概述</w:t>
      </w:r>
    </w:p>
    <w:p>
      <w:pPr>
        <w:pStyle w:val="BodyText"/>
        <w:spacing w:before="202" w:line="292" w:lineRule="auto"/>
        <w:ind w:left="2" w:right="2" w:firstLine="420"/>
      </w:pPr>
      <w:r>
        <w:rPr>
          <w:spacing w:val="11"/>
        </w:rPr>
        <w:t>应通过排放或清除的温室气体的质量乘以政府间气候变化专门委员会（</w:t>
      </w:r>
      <w:r>
        <w:rPr>
          <w:rFonts w:ascii="Times New Roman" w:eastAsia="Times New Roman" w:hAnsi="Times New Roman" w:cs="Times New Roman"/>
        </w:rPr>
        <w:t>IPCC</w:t>
      </w:r>
      <w:r>
        <w:rPr>
          <w:spacing w:val="11"/>
        </w:rPr>
        <w:t>）</w:t>
      </w:r>
      <w:r>
        <w:rPr>
          <w:spacing w:val="10"/>
        </w:rPr>
        <w:t>给出的</w:t>
      </w:r>
      <w:r>
        <w:rPr>
          <w:spacing w:val="-21"/>
        </w:rPr>
        <w:t xml:space="preserve"> </w:t>
      </w:r>
      <w:r>
        <w:rPr>
          <w:rFonts w:ascii="Times New Roman" w:eastAsia="Times New Roman" w:hAnsi="Times New Roman" w:cs="Times New Roman"/>
          <w:spacing w:val="10"/>
        </w:rPr>
        <w:t xml:space="preserve">100 </w:t>
      </w:r>
      <w:r>
        <w:rPr>
          <w:spacing w:val="10"/>
        </w:rPr>
        <w:t>年全球</w:t>
      </w:r>
      <w:r>
        <w:t xml:space="preserve"> </w:t>
      </w:r>
      <w:r>
        <w:rPr>
          <w:spacing w:val="13"/>
        </w:rPr>
        <w:t>变暖潜势（</w:t>
      </w:r>
      <w:r>
        <w:rPr>
          <w:rFonts w:ascii="Times New Roman" w:eastAsia="Times New Roman" w:hAnsi="Times New Roman" w:cs="Times New Roman"/>
        </w:rPr>
        <w:t>GWP</w:t>
      </w:r>
      <w:r>
        <w:rPr>
          <w:spacing w:val="-21"/>
        </w:rPr>
        <w:t>），</w:t>
      </w:r>
      <w:r>
        <w:rPr>
          <w:spacing w:val="13"/>
        </w:rPr>
        <w:t>具体数值可参考附录</w:t>
      </w:r>
      <w:r>
        <w:rPr>
          <w:spacing w:val="-35"/>
        </w:rPr>
        <w:t xml:space="preserve"> </w:t>
      </w:r>
      <w:r>
        <w:rPr>
          <w:rFonts w:ascii="Times New Roman" w:eastAsia="Times New Roman" w:hAnsi="Times New Roman" w:cs="Times New Roman"/>
          <w:spacing w:val="13"/>
        </w:rPr>
        <w:t>C</w:t>
      </w:r>
      <w:r>
        <w:rPr>
          <w:rFonts w:ascii="Times New Roman" w:eastAsia="Times New Roman" w:hAnsi="Times New Roman" w:cs="Times New Roman"/>
          <w:spacing w:val="-20"/>
        </w:rPr>
        <w:t xml:space="preserve"> </w:t>
      </w:r>
      <w:r>
        <w:rPr>
          <w:spacing w:val="13"/>
        </w:rPr>
        <w:t>，来计算风力发电机组叶片产品系统每种温室气体排放和</w:t>
      </w:r>
      <w:r>
        <w:t xml:space="preserve"> </w:t>
      </w:r>
      <w:r>
        <w:rPr>
          <w:spacing w:val="13"/>
        </w:rPr>
        <w:t>清除的潜在气候变化影响，单位为每千克排放量的千</w:t>
      </w:r>
      <w:r>
        <w:rPr>
          <w:spacing w:val="12"/>
        </w:rPr>
        <w:t>克二氧化碳当量。风力发电机组叶片产品碳足迹</w:t>
      </w:r>
      <w:r>
        <w:t xml:space="preserve"> </w:t>
      </w:r>
      <w:r>
        <w:rPr>
          <w:spacing w:val="8"/>
        </w:rPr>
        <w:t>为所有温室气体潜在气候变化影响的总和。</w:t>
      </w:r>
    </w:p>
    <w:p>
      <w:pPr>
        <w:pStyle w:val="BodyText"/>
        <w:spacing w:before="94" w:line="226" w:lineRule="auto"/>
        <w:ind w:left="423"/>
      </w:pPr>
      <w:r>
        <w:rPr>
          <w:spacing w:val="9"/>
        </w:rPr>
        <w:t>若</w:t>
      </w:r>
      <w:r>
        <w:rPr>
          <w:spacing w:val="-40"/>
        </w:rPr>
        <w:t xml:space="preserve"> </w:t>
      </w:r>
      <w:r>
        <w:rPr>
          <w:rFonts w:ascii="Times New Roman" w:eastAsia="Times New Roman" w:hAnsi="Times New Roman" w:cs="Times New Roman"/>
        </w:rPr>
        <w:t>IPCC</w:t>
      </w:r>
      <w:r>
        <w:rPr>
          <w:rFonts w:ascii="Times New Roman" w:eastAsia="Times New Roman" w:hAnsi="Times New Roman" w:cs="Times New Roman"/>
          <w:spacing w:val="9"/>
        </w:rPr>
        <w:t xml:space="preserve"> </w:t>
      </w:r>
      <w:r>
        <w:rPr>
          <w:spacing w:val="9"/>
        </w:rPr>
        <w:t>修订了全球变暖潜势值（</w:t>
      </w:r>
      <w:r>
        <w:rPr>
          <w:rFonts w:ascii="Times New Roman" w:eastAsia="Times New Roman" w:hAnsi="Times New Roman" w:cs="Times New Roman"/>
        </w:rPr>
        <w:t>GWP</w:t>
      </w:r>
      <w:r>
        <w:rPr>
          <w:spacing w:val="-29"/>
        </w:rPr>
        <w:t>），</w:t>
      </w:r>
      <w:r>
        <w:rPr>
          <w:spacing w:val="9"/>
        </w:rPr>
        <w:t>应使用最新数值，否则应在报告中说明。</w:t>
      </w:r>
    </w:p>
    <w:p>
      <w:pPr>
        <w:pStyle w:val="BodyText"/>
        <w:spacing w:before="97" w:line="270" w:lineRule="auto"/>
        <w:ind w:left="1" w:right="4" w:firstLine="433"/>
      </w:pPr>
      <w:r>
        <w:rPr>
          <w:spacing w:val="12"/>
        </w:rPr>
        <w:t>除</w:t>
      </w:r>
      <w:r>
        <w:rPr>
          <w:spacing w:val="-34"/>
        </w:rPr>
        <w:t xml:space="preserve"> </w:t>
      </w:r>
      <w:r>
        <w:rPr>
          <w:rFonts w:ascii="Times New Roman" w:eastAsia="Times New Roman" w:hAnsi="Times New Roman" w:cs="Times New Roman"/>
        </w:rPr>
        <w:t>GWP</w:t>
      </w:r>
      <w:r>
        <w:rPr>
          <w:rFonts w:ascii="Times New Roman" w:eastAsia="Times New Roman" w:hAnsi="Times New Roman" w:cs="Times New Roman"/>
          <w:spacing w:val="12"/>
        </w:rPr>
        <w:t xml:space="preserve">100 </w:t>
      </w:r>
      <w:r>
        <w:rPr>
          <w:spacing w:val="12"/>
        </w:rPr>
        <w:t>外，还可以使用</w:t>
      </w:r>
      <w:r>
        <w:rPr>
          <w:spacing w:val="-40"/>
        </w:rPr>
        <w:t xml:space="preserve"> </w:t>
      </w:r>
      <w:r>
        <w:rPr>
          <w:rFonts w:ascii="Times New Roman" w:eastAsia="Times New Roman" w:hAnsi="Times New Roman" w:cs="Times New Roman"/>
        </w:rPr>
        <w:t>IPCC</w:t>
      </w:r>
      <w:r>
        <w:rPr>
          <w:rFonts w:ascii="Times New Roman" w:eastAsia="Times New Roman" w:hAnsi="Times New Roman" w:cs="Times New Roman"/>
          <w:spacing w:val="12"/>
        </w:rPr>
        <w:t xml:space="preserve"> </w:t>
      </w:r>
      <w:r>
        <w:rPr>
          <w:spacing w:val="12"/>
        </w:rPr>
        <w:t>提供的其他时间范围的全球变暖潜势（</w:t>
      </w:r>
      <w:r>
        <w:rPr>
          <w:rFonts w:ascii="Times New Roman" w:eastAsia="Times New Roman" w:hAnsi="Times New Roman" w:cs="Times New Roman"/>
        </w:rPr>
        <w:t>GWP</w:t>
      </w:r>
      <w:r>
        <w:rPr>
          <w:spacing w:val="12"/>
        </w:rPr>
        <w:t>）和全球温度变化</w:t>
      </w:r>
      <w:r>
        <w:t xml:space="preserve"> </w:t>
      </w:r>
      <w:r>
        <w:rPr>
          <w:spacing w:val="9"/>
        </w:rPr>
        <w:t>潜势（</w:t>
      </w:r>
      <w:r>
        <w:rPr>
          <w:rFonts w:ascii="Times New Roman" w:eastAsia="Times New Roman" w:hAnsi="Times New Roman" w:cs="Times New Roman"/>
        </w:rPr>
        <w:t>GTP</w:t>
      </w:r>
      <w:r>
        <w:rPr>
          <w:spacing w:val="-38"/>
        </w:rPr>
        <w:t>），</w:t>
      </w:r>
      <w:r>
        <w:rPr>
          <w:spacing w:val="9"/>
        </w:rPr>
        <w:t>但应单独报告。</w:t>
      </w:r>
    </w:p>
    <w:p>
      <w:pPr>
        <w:pStyle w:val="BodyText"/>
        <w:spacing w:before="91" w:line="259" w:lineRule="auto"/>
        <w:ind w:left="713" w:right="4" w:hanging="285"/>
        <w:rPr>
          <w:sz w:val="18"/>
          <w:szCs w:val="18"/>
        </w:rPr>
      </w:pPr>
      <w:r>
        <w:rPr>
          <w:rFonts w:ascii="SimHei" w:eastAsia="SimHei" w:hAnsi="SimHei" w:cs="SimHei"/>
          <w:spacing w:val="6"/>
          <w:sz w:val="18"/>
          <w:szCs w:val="18"/>
        </w:rPr>
        <w:t>注：</w:t>
      </w:r>
      <w:r>
        <w:rPr>
          <w:rFonts w:ascii="SimHei" w:eastAsia="SimHei" w:hAnsi="SimHei" w:cs="SimHei"/>
          <w:spacing w:val="-46"/>
          <w:sz w:val="18"/>
          <w:szCs w:val="18"/>
        </w:rPr>
        <w:t xml:space="preserve"> </w:t>
      </w:r>
      <w:r>
        <w:rPr>
          <w:rFonts w:ascii="Times New Roman" w:eastAsia="Times New Roman" w:hAnsi="Times New Roman" w:cs="Times New Roman"/>
          <w:spacing w:val="6"/>
          <w:sz w:val="18"/>
          <w:szCs w:val="18"/>
        </w:rPr>
        <w:t xml:space="preserve">100 </w:t>
      </w:r>
      <w:r>
        <w:rPr>
          <w:spacing w:val="6"/>
          <w:sz w:val="18"/>
          <w:szCs w:val="18"/>
        </w:rPr>
        <w:t>年全球变暖潜势（</w:t>
      </w:r>
      <w:r>
        <w:rPr>
          <w:rFonts w:ascii="Times New Roman" w:eastAsia="Times New Roman" w:hAnsi="Times New Roman" w:cs="Times New Roman"/>
          <w:sz w:val="18"/>
          <w:szCs w:val="18"/>
        </w:rPr>
        <w:t>GWP</w:t>
      </w:r>
      <w:r>
        <w:rPr>
          <w:rFonts w:ascii="Times New Roman" w:eastAsia="Times New Roman" w:hAnsi="Times New Roman" w:cs="Times New Roman"/>
          <w:spacing w:val="27"/>
          <w:w w:val="101"/>
          <w:sz w:val="18"/>
          <w:szCs w:val="18"/>
        </w:rPr>
        <w:t xml:space="preserve"> </w:t>
      </w:r>
      <w:r>
        <w:rPr>
          <w:rFonts w:ascii="Times New Roman" w:eastAsia="Times New Roman" w:hAnsi="Times New Roman" w:cs="Times New Roman"/>
          <w:spacing w:val="6"/>
          <w:sz w:val="18"/>
          <w:szCs w:val="18"/>
        </w:rPr>
        <w:t>100</w:t>
      </w:r>
      <w:r>
        <w:rPr>
          <w:spacing w:val="6"/>
          <w:sz w:val="18"/>
          <w:szCs w:val="18"/>
        </w:rPr>
        <w:t>）代表短期的气候变化影响，可反映变暖速度。</w:t>
      </w:r>
      <w:r>
        <w:rPr>
          <w:rFonts w:ascii="Times New Roman" w:eastAsia="Times New Roman" w:hAnsi="Times New Roman" w:cs="Times New Roman"/>
          <w:spacing w:val="6"/>
          <w:sz w:val="18"/>
          <w:szCs w:val="18"/>
        </w:rPr>
        <w:t xml:space="preserve">100 </w:t>
      </w:r>
      <w:r>
        <w:rPr>
          <w:spacing w:val="6"/>
          <w:sz w:val="18"/>
          <w:szCs w:val="18"/>
        </w:rPr>
        <w:t>年全球温度变化潜势</w:t>
      </w:r>
      <w:r>
        <w:rPr>
          <w:sz w:val="18"/>
          <w:szCs w:val="18"/>
        </w:rPr>
        <w:t xml:space="preserve"> </w:t>
      </w:r>
      <w:r>
        <w:rPr>
          <w:sz w:val="18"/>
          <w:szCs w:val="18"/>
        </w:rPr>
        <w:t>（</w:t>
      </w:r>
      <w:r>
        <w:rPr>
          <w:rFonts w:ascii="Times New Roman" w:eastAsia="Times New Roman" w:hAnsi="Times New Roman" w:cs="Times New Roman"/>
          <w:sz w:val="18"/>
          <w:szCs w:val="18"/>
        </w:rPr>
        <w:t>GTP</w:t>
      </w:r>
      <w:r>
        <w:rPr>
          <w:rFonts w:ascii="Times New Roman" w:eastAsia="Times New Roman" w:hAnsi="Times New Roman" w:cs="Times New Roman"/>
          <w:spacing w:val="17"/>
          <w:w w:val="101"/>
          <w:sz w:val="18"/>
          <w:szCs w:val="18"/>
        </w:rPr>
        <w:t xml:space="preserve"> </w:t>
      </w:r>
      <w:r>
        <w:rPr>
          <w:rFonts w:ascii="Times New Roman" w:eastAsia="Times New Roman" w:hAnsi="Times New Roman" w:cs="Times New Roman"/>
          <w:sz w:val="18"/>
          <w:szCs w:val="18"/>
        </w:rPr>
        <w:t>100</w:t>
      </w:r>
      <w:r>
        <w:rPr>
          <w:sz w:val="18"/>
          <w:szCs w:val="18"/>
        </w:rPr>
        <w:t xml:space="preserve">）代表长期的气候变化影响，可反映长期温升。与其他时间范围相比，选择 </w:t>
      </w:r>
      <w:r>
        <w:rPr>
          <w:rFonts w:ascii="Times New Roman" w:eastAsia="Times New Roman" w:hAnsi="Times New Roman" w:cs="Times New Roman"/>
          <w:sz w:val="18"/>
          <w:szCs w:val="18"/>
        </w:rPr>
        <w:t xml:space="preserve">100 </w:t>
      </w:r>
      <w:r>
        <w:rPr>
          <w:sz w:val="18"/>
          <w:szCs w:val="18"/>
        </w:rPr>
        <w:t>年的</w:t>
      </w:r>
      <w:r>
        <w:rPr>
          <w:spacing w:val="-1"/>
          <w:sz w:val="18"/>
          <w:szCs w:val="18"/>
        </w:rPr>
        <w:t>时间范围并无</w:t>
      </w:r>
    </w:p>
    <w:p>
      <w:pPr>
        <w:spacing w:line="259" w:lineRule="auto"/>
        <w:rPr>
          <w:sz w:val="18"/>
          <w:szCs w:val="18"/>
        </w:rPr>
        <w:sectPr>
          <w:footerReference w:type="default" r:id="rId45"/>
          <w:type w:val="nextPage"/>
          <w:pgSz w:w="11906" w:h="16838"/>
          <w:pgMar w:top="1347" w:right="1126" w:bottom="1533" w:left="1421" w:header="0" w:footer="1369" w:gutter="0"/>
          <w:pgNumType w:start="16"/>
          <w:cols w:space="708"/>
          <w:titlePg w:val="0"/>
        </w:sectPr>
      </w:pPr>
    </w:p>
    <w:p>
      <w:pPr>
        <w:spacing w:before="55" w:line="552" w:lineRule="exact"/>
        <w:jc w:val="right"/>
        <w:rPr>
          <w:rFonts w:ascii="Calibri" w:eastAsia="Calibri" w:hAnsi="Calibri" w:cs="Calibri"/>
          <w:sz w:val="20"/>
          <w:szCs w:val="20"/>
        </w:rPr>
      </w:pPr>
      <w:r>
        <w:rPr>
          <w:rFonts w:ascii="Calibri" w:eastAsia="Calibri" w:hAnsi="Calibri" w:cs="Calibri"/>
          <w:spacing w:val="4"/>
          <w:position w:val="24"/>
          <w:sz w:val="20"/>
          <w:szCs w:val="20"/>
        </w:rPr>
        <w:t>T/</w:t>
      </w:r>
      <w:r>
        <w:rPr>
          <w:rFonts w:ascii="Calibri" w:eastAsia="Calibri" w:hAnsi="Calibri" w:cs="Calibri"/>
          <w:position w:val="24"/>
          <w:sz w:val="20"/>
          <w:szCs w:val="20"/>
        </w:rPr>
        <w:t>CIA</w:t>
      </w:r>
      <w:r>
        <w:rPr>
          <w:rFonts w:ascii="Calibri" w:eastAsia="Calibri" w:hAnsi="Calibri" w:cs="Calibri"/>
          <w:spacing w:val="4"/>
          <w:position w:val="24"/>
          <w:sz w:val="20"/>
          <w:szCs w:val="20"/>
        </w:rPr>
        <w:t xml:space="preserve"> 007-2023</w:t>
      </w:r>
    </w:p>
    <w:p>
      <w:pPr>
        <w:pStyle w:val="BodyText"/>
        <w:spacing w:line="217" w:lineRule="auto"/>
        <w:ind w:left="711"/>
        <w:rPr>
          <w:sz w:val="18"/>
          <w:szCs w:val="18"/>
        </w:rPr>
      </w:pPr>
      <w:r>
        <w:rPr>
          <w:sz w:val="18"/>
          <w:szCs w:val="18"/>
        </w:rPr>
        <w:t>任何科学依据。该时间范围是国际公约的一个价值判断，它权衡了不同时间范围内</w:t>
      </w:r>
      <w:r>
        <w:rPr>
          <w:spacing w:val="-1"/>
          <w:sz w:val="18"/>
          <w:szCs w:val="18"/>
        </w:rPr>
        <w:t>可能发生的影响。</w:t>
      </w:r>
    </w:p>
    <w:p>
      <w:pPr>
        <w:spacing w:before="257" w:line="229" w:lineRule="auto"/>
        <w:ind w:left="3"/>
        <w:rPr>
          <w:rFonts w:ascii="SimHei" w:eastAsia="SimHei" w:hAnsi="SimHei" w:cs="SimHei"/>
          <w:sz w:val="20"/>
          <w:szCs w:val="20"/>
        </w:rPr>
      </w:pPr>
      <w:r>
        <w:rPr>
          <w:rFonts w:ascii="SimHei" w:eastAsia="SimHei" w:hAnsi="SimHei" w:cs="SimHei"/>
          <w:spacing w:val="7"/>
          <w:sz w:val="20"/>
          <w:szCs w:val="20"/>
        </w:rPr>
        <w:t>8.2</w:t>
      </w:r>
      <w:r>
        <w:rPr>
          <w:rFonts w:ascii="SimHei" w:eastAsia="SimHei" w:hAnsi="SimHei" w:cs="SimHei"/>
          <w:spacing w:val="-41"/>
          <w:sz w:val="20"/>
          <w:szCs w:val="20"/>
        </w:rPr>
        <w:t xml:space="preserve"> </w:t>
      </w:r>
      <w:r>
        <w:rPr>
          <w:rFonts w:ascii="SimHei" w:eastAsia="SimHei" w:hAnsi="SimHei" w:cs="SimHei"/>
          <w:spacing w:val="7"/>
          <w:sz w:val="20"/>
          <w:szCs w:val="20"/>
        </w:rPr>
        <w:t>产品碳足迹计算</w:t>
      </w:r>
    </w:p>
    <w:p>
      <w:pPr>
        <w:pStyle w:val="BodyText"/>
        <w:spacing w:before="219" w:line="227" w:lineRule="auto"/>
        <w:ind w:left="426"/>
      </w:pPr>
      <w:r>
        <w:rPr>
          <w:spacing w:val="9"/>
        </w:rPr>
        <w:t>风力发电机组叶片产品碳足迹计算方法，见公示（1</w:t>
      </w:r>
      <w:r>
        <w:rPr>
          <w:spacing w:val="3"/>
        </w:rPr>
        <w:t>）：</w:t>
      </w:r>
    </w:p>
    <w:p>
      <w:pPr>
        <w:pStyle w:val="BodyText"/>
        <w:spacing w:before="75" w:line="171" w:lineRule="auto"/>
        <w:jc w:val="right"/>
        <w:rPr>
          <w:rFonts w:ascii="Malgun Gothic" w:eastAsia="Malgun Gothic" w:hAnsi="Malgun Gothic" w:cs="Malgun Gothic"/>
        </w:rPr>
      </w:pPr>
      <w:r>
        <w:rPr>
          <w:rFonts w:ascii="Malgun Gothic" w:eastAsia="Malgun Gothic" w:hAnsi="Malgun Gothic" w:cs="Malgun Gothic"/>
          <w:spacing w:val="-14"/>
          <w:w w:val="73"/>
        </w:rPr>
        <w:t>퐶퐹푃</w:t>
      </w:r>
      <w:r>
        <w:rPr>
          <w:rFonts w:ascii="Malgun Gothic" w:eastAsia="Malgun Gothic" w:hAnsi="Malgun Gothic" w:cs="Malgun Gothic"/>
          <w:spacing w:val="-14"/>
          <w:w w:val="73"/>
          <w:position w:val="-3"/>
          <w:sz w:val="14"/>
          <w:szCs w:val="14"/>
        </w:rPr>
        <w:t>퐺퐻퐺</w:t>
      </w:r>
      <w:r>
        <w:rPr>
          <w:rFonts w:ascii="Malgun Gothic" w:eastAsia="Malgun Gothic" w:hAnsi="Malgun Gothic" w:cs="Malgun Gothic"/>
          <w:spacing w:val="43"/>
          <w:position w:val="-3"/>
          <w:sz w:val="14"/>
          <w:szCs w:val="14"/>
        </w:rPr>
        <w:t xml:space="preserve"> </w:t>
      </w:r>
      <w:r>
        <w:rPr>
          <w:rFonts w:ascii="Malgun Gothic" w:eastAsia="Malgun Gothic" w:hAnsi="Malgun Gothic" w:cs="Malgun Gothic"/>
          <w:spacing w:val="-18"/>
        </w:rPr>
        <w:t xml:space="preserve">= </w:t>
      </w:r>
      <w:r>
        <w:rPr>
          <w:rFonts w:ascii="Malgun Gothic" w:eastAsia="Malgun Gothic" w:hAnsi="Malgun Gothic" w:cs="Malgun Gothic"/>
          <w:spacing w:val="-18"/>
          <w:sz w:val="21"/>
          <w:szCs w:val="21"/>
        </w:rPr>
        <w:t>∑</w:t>
      </w:r>
      <w:r>
        <w:rPr>
          <w:rFonts w:ascii="Malgun Gothic" w:eastAsia="Malgun Gothic" w:hAnsi="Malgun Gothic" w:cs="Malgun Gothic"/>
          <w:spacing w:val="-20"/>
          <w:sz w:val="21"/>
          <w:szCs w:val="21"/>
        </w:rPr>
        <w:t xml:space="preserve"> </w:t>
      </w:r>
      <w:r>
        <w:rPr>
          <w:rFonts w:ascii="Malgun Gothic" w:eastAsia="Malgun Gothic" w:hAnsi="Malgun Gothic" w:cs="Malgun Gothic"/>
          <w:spacing w:val="-18"/>
        </w:rPr>
        <w:t>(</w:t>
      </w:r>
      <w:r>
        <w:rPr>
          <w:spacing w:val="-18"/>
        </w:rPr>
        <w:t>活动数据</w:t>
      </w:r>
      <w:r>
        <w:rPr>
          <w:rFonts w:ascii="Malgun Gothic" w:eastAsia="Malgun Gothic" w:hAnsi="Malgun Gothic" w:cs="Malgun Gothic"/>
          <w:spacing w:val="-18"/>
          <w:position w:val="-8"/>
          <w:sz w:val="14"/>
          <w:szCs w:val="14"/>
        </w:rPr>
        <w:t>푖</w:t>
      </w:r>
      <w:r>
        <w:rPr>
          <w:rFonts w:ascii="Malgun Gothic" w:eastAsia="Malgun Gothic" w:hAnsi="Malgun Gothic" w:cs="Malgun Gothic"/>
          <w:spacing w:val="26"/>
          <w:position w:val="-8"/>
          <w:sz w:val="14"/>
          <w:szCs w:val="14"/>
        </w:rPr>
        <w:t xml:space="preserve"> </w:t>
      </w:r>
      <w:r>
        <w:rPr>
          <w:rFonts w:ascii="Malgun Gothic" w:eastAsia="Malgun Gothic" w:hAnsi="Malgun Gothic" w:cs="Malgun Gothic"/>
          <w:spacing w:val="-18"/>
        </w:rPr>
        <w:t>×</w:t>
      </w:r>
      <w:r>
        <w:rPr>
          <w:rFonts w:ascii="Malgun Gothic" w:eastAsia="Malgun Gothic" w:hAnsi="Malgun Gothic" w:cs="Malgun Gothic"/>
          <w:spacing w:val="-15"/>
        </w:rPr>
        <w:t xml:space="preserve"> </w:t>
      </w:r>
      <w:r>
        <w:rPr>
          <w:spacing w:val="-18"/>
        </w:rPr>
        <w:t>排放系数</w:t>
      </w:r>
      <w:r>
        <w:rPr>
          <w:rFonts w:ascii="Malgun Gothic" w:eastAsia="Malgun Gothic" w:hAnsi="Malgun Gothic" w:cs="Malgun Gothic"/>
          <w:spacing w:val="-18"/>
          <w:position w:val="-8"/>
          <w:sz w:val="14"/>
          <w:szCs w:val="14"/>
        </w:rPr>
        <w:t>푖</w:t>
      </w:r>
      <w:r>
        <w:rPr>
          <w:rFonts w:ascii="Malgun Gothic" w:eastAsia="Malgun Gothic" w:hAnsi="Malgun Gothic" w:cs="Malgun Gothic"/>
          <w:spacing w:val="23"/>
          <w:position w:val="-8"/>
          <w:sz w:val="14"/>
          <w:szCs w:val="14"/>
        </w:rPr>
        <w:t xml:space="preserve"> </w:t>
      </w:r>
      <w:r>
        <w:rPr>
          <w:rFonts w:ascii="Malgun Gothic" w:eastAsia="Malgun Gothic" w:hAnsi="Malgun Gothic" w:cs="Malgun Gothic"/>
          <w:spacing w:val="-18"/>
        </w:rPr>
        <w:t>× 퐺푊푃</w:t>
      </w:r>
      <w:r>
        <w:rPr>
          <w:rFonts w:ascii="Malgun Gothic" w:eastAsia="Malgun Gothic" w:hAnsi="Malgun Gothic" w:cs="Malgun Gothic"/>
          <w:spacing w:val="-18"/>
          <w:position w:val="-3"/>
          <w:sz w:val="14"/>
          <w:szCs w:val="14"/>
        </w:rPr>
        <w:t>푖</w:t>
      </w:r>
      <w:r>
        <w:rPr>
          <w:rFonts w:ascii="Malgun Gothic" w:eastAsia="Malgun Gothic" w:hAnsi="Malgun Gothic" w:cs="Malgun Gothic"/>
          <w:spacing w:val="14"/>
        </w:rPr>
        <w:t>)</w:t>
      </w:r>
      <w:r>
        <w:rPr>
          <w:spacing w:val="14"/>
        </w:rPr>
        <w:t>……………………</w:t>
      </w:r>
      <w:r>
        <w:rPr>
          <w:rFonts w:ascii="Malgun Gothic" w:eastAsia="Malgun Gothic" w:hAnsi="Malgun Gothic" w:cs="Malgun Gothic"/>
          <w:spacing w:val="14"/>
        </w:rPr>
        <w:t>(1)</w:t>
      </w:r>
    </w:p>
    <w:p>
      <w:pPr>
        <w:pStyle w:val="BodyText"/>
        <w:spacing w:before="1" w:line="228" w:lineRule="auto"/>
        <w:ind w:left="429"/>
      </w:pPr>
      <w:r>
        <w:rPr>
          <w:spacing w:val="1"/>
        </w:rPr>
        <w:t>式中：</w:t>
      </w:r>
    </w:p>
    <w:p>
      <w:pPr>
        <w:pStyle w:val="BodyText"/>
        <w:spacing w:before="26" w:line="221" w:lineRule="auto"/>
        <w:ind w:left="431"/>
      </w:pPr>
      <w:r>
        <w:rPr>
          <w:rFonts w:ascii="Times New Roman" w:eastAsia="Times New Roman" w:hAnsi="Times New Roman" w:cs="Times New Roman"/>
          <w:i/>
          <w:iCs/>
        </w:rPr>
        <w:t>CFP</w:t>
      </w:r>
      <w:r>
        <w:rPr>
          <w:rFonts w:ascii="Times New Roman" w:eastAsia="Times New Roman" w:hAnsi="Times New Roman" w:cs="Times New Roman"/>
          <w:position w:val="-1"/>
          <w:sz w:val="13"/>
          <w:szCs w:val="13"/>
        </w:rPr>
        <w:t>GHG</w:t>
      </w:r>
      <w:r>
        <w:rPr>
          <w:rFonts w:ascii="Times New Roman" w:eastAsia="Times New Roman" w:hAnsi="Times New Roman" w:cs="Times New Roman"/>
          <w:spacing w:val="11"/>
          <w:position w:val="-1"/>
          <w:sz w:val="13"/>
          <w:szCs w:val="13"/>
        </w:rPr>
        <w:t xml:space="preserve"> </w:t>
      </w:r>
      <w:r>
        <w:rPr>
          <w:rFonts w:ascii="Times New Roman" w:eastAsia="Times New Roman" w:hAnsi="Times New Roman" w:cs="Times New Roman"/>
          <w:spacing w:val="11"/>
        </w:rPr>
        <w:t>——</w:t>
      </w:r>
      <w:r>
        <w:rPr>
          <w:spacing w:val="11"/>
        </w:rPr>
        <w:t>风力发电机组叶片产品碳足迹，单位为</w:t>
      </w:r>
      <w:r>
        <w:rPr>
          <w:spacing w:val="10"/>
        </w:rPr>
        <w:t>千克二氧化碳当量（</w:t>
      </w:r>
      <w:r>
        <w:rPr>
          <w:rFonts w:ascii="Times New Roman" w:eastAsia="Times New Roman" w:hAnsi="Times New Roman" w:cs="Times New Roman"/>
        </w:rPr>
        <w:t>kgCO</w:t>
      </w:r>
      <w:r>
        <w:rPr>
          <w:rFonts w:ascii="Times New Roman" w:eastAsia="Times New Roman" w:hAnsi="Times New Roman" w:cs="Times New Roman"/>
          <w:spacing w:val="10"/>
          <w:position w:val="-1"/>
          <w:sz w:val="13"/>
          <w:szCs w:val="13"/>
        </w:rPr>
        <w:t>2</w:t>
      </w:r>
      <w:r>
        <w:rPr>
          <w:rFonts w:ascii="Times New Roman" w:eastAsia="Times New Roman" w:hAnsi="Times New Roman" w:cs="Times New Roman"/>
          <w:spacing w:val="10"/>
        </w:rPr>
        <w:t>e</w:t>
      </w:r>
      <w:r>
        <w:rPr>
          <w:spacing w:val="-54"/>
          <w:w w:val="99"/>
        </w:rPr>
        <w:t>）；</w:t>
      </w:r>
    </w:p>
    <w:p>
      <w:pPr>
        <w:pStyle w:val="BodyText"/>
        <w:spacing w:before="34" w:line="239" w:lineRule="auto"/>
        <w:ind w:left="1895" w:hanging="1467"/>
      </w:pPr>
      <w:r>
        <w:rPr>
          <w:spacing w:val="12"/>
        </w:rPr>
        <w:t>活动数据</w:t>
      </w:r>
      <w:r>
        <w:rPr>
          <w:spacing w:val="-35"/>
        </w:rPr>
        <w:t xml:space="preserve"> </w:t>
      </w:r>
      <w:r>
        <w:rPr>
          <w:rFonts w:ascii="Times New Roman" w:eastAsia="Times New Roman" w:hAnsi="Times New Roman" w:cs="Times New Roman"/>
          <w:spacing w:val="12"/>
          <w:position w:val="-1"/>
          <w:sz w:val="13"/>
          <w:szCs w:val="13"/>
        </w:rPr>
        <w:t>i</w:t>
      </w:r>
      <w:r>
        <w:rPr>
          <w:rFonts w:ascii="Times New Roman" w:eastAsia="Times New Roman" w:hAnsi="Times New Roman" w:cs="Times New Roman"/>
          <w:spacing w:val="12"/>
        </w:rPr>
        <w:t>——</w:t>
      </w:r>
      <w:r>
        <w:rPr>
          <w:rFonts w:ascii="Times New Roman" w:eastAsia="Times New Roman" w:hAnsi="Times New Roman" w:cs="Times New Roman"/>
          <w:spacing w:val="-37"/>
        </w:rPr>
        <w:t xml:space="preserve"> </w:t>
      </w:r>
      <w:r>
        <w:rPr>
          <w:spacing w:val="12"/>
        </w:rPr>
        <w:t>第</w:t>
      </w:r>
      <w:r>
        <w:rPr>
          <w:spacing w:val="-34"/>
        </w:rPr>
        <w:t xml:space="preserve"> </w:t>
      </w:r>
      <w:r>
        <w:rPr>
          <w:rFonts w:ascii="Times New Roman" w:eastAsia="Times New Roman" w:hAnsi="Times New Roman" w:cs="Times New Roman"/>
          <w:spacing w:val="12"/>
        </w:rPr>
        <w:t xml:space="preserve">i </w:t>
      </w:r>
      <w:r>
        <w:rPr>
          <w:spacing w:val="12"/>
        </w:rPr>
        <w:t>种活动的温室气体排放和清除相关数据（包括初级数据和次级数据</w:t>
      </w:r>
      <w:r>
        <w:rPr>
          <w:spacing w:val="-34"/>
        </w:rPr>
        <w:t>），</w:t>
      </w:r>
      <w:r>
        <w:rPr>
          <w:spacing w:val="12"/>
        </w:rPr>
        <w:t>单</w:t>
      </w:r>
      <w:r>
        <w:rPr>
          <w:spacing w:val="11"/>
        </w:rPr>
        <w:t>位根</w:t>
      </w:r>
      <w:r>
        <w:t xml:space="preserve"> </w:t>
      </w:r>
      <w:r>
        <w:rPr>
          <w:spacing w:val="7"/>
        </w:rPr>
        <w:t>据具体排放源确定；</w:t>
      </w:r>
    </w:p>
    <w:p>
      <w:pPr>
        <w:pStyle w:val="BodyText"/>
        <w:spacing w:before="25" w:line="241" w:lineRule="auto"/>
        <w:ind w:left="1906" w:hanging="1481"/>
      </w:pPr>
      <w:r>
        <w:rPr>
          <w:spacing w:val="10"/>
        </w:rPr>
        <w:t>排放系数</w:t>
      </w:r>
      <w:r>
        <w:rPr>
          <w:spacing w:val="-38"/>
        </w:rPr>
        <w:t xml:space="preserve"> </w:t>
      </w:r>
      <w:r>
        <w:rPr>
          <w:rFonts w:ascii="Times New Roman" w:eastAsia="Times New Roman" w:hAnsi="Times New Roman" w:cs="Times New Roman"/>
          <w:spacing w:val="10"/>
          <w:position w:val="-1"/>
          <w:sz w:val="13"/>
          <w:szCs w:val="13"/>
        </w:rPr>
        <w:t>i</w:t>
      </w:r>
      <w:r>
        <w:rPr>
          <w:rFonts w:ascii="Times New Roman" w:eastAsia="Times New Roman" w:hAnsi="Times New Roman" w:cs="Times New Roman"/>
          <w:spacing w:val="10"/>
        </w:rPr>
        <w:t>——</w:t>
      </w:r>
      <w:r>
        <w:rPr>
          <w:spacing w:val="10"/>
        </w:rPr>
        <w:t>第</w:t>
      </w:r>
      <w:r>
        <w:rPr>
          <w:spacing w:val="-39"/>
        </w:rPr>
        <w:t xml:space="preserve"> </w:t>
      </w:r>
      <w:r>
        <w:rPr>
          <w:rFonts w:ascii="Times New Roman" w:eastAsia="Times New Roman" w:hAnsi="Times New Roman" w:cs="Times New Roman"/>
          <w:spacing w:val="10"/>
        </w:rPr>
        <w:t xml:space="preserve">i </w:t>
      </w:r>
      <w:r>
        <w:rPr>
          <w:spacing w:val="10"/>
        </w:rPr>
        <w:t>种活动对应的温室气体排放系数，可参考附件</w:t>
      </w:r>
      <w:r>
        <w:rPr>
          <w:spacing w:val="-44"/>
        </w:rPr>
        <w:t xml:space="preserve"> </w:t>
      </w:r>
      <w:r>
        <w:rPr>
          <w:rFonts w:ascii="Times New Roman" w:eastAsia="Times New Roman" w:hAnsi="Times New Roman" w:cs="Times New Roman"/>
          <w:spacing w:val="10"/>
        </w:rPr>
        <w:t>D</w:t>
      </w:r>
      <w:r>
        <w:rPr>
          <w:rFonts w:ascii="Times New Roman" w:eastAsia="Times New Roman" w:hAnsi="Times New Roman" w:cs="Times New Roman"/>
          <w:spacing w:val="-20"/>
        </w:rPr>
        <w:t xml:space="preserve"> </w:t>
      </w:r>
      <w:r>
        <w:rPr>
          <w:spacing w:val="10"/>
        </w:rPr>
        <w:t>，</w:t>
      </w:r>
      <w:r>
        <w:rPr>
          <w:spacing w:val="9"/>
        </w:rPr>
        <w:t>单位与温室气体活动数据相</w:t>
      </w:r>
      <w:r>
        <w:t xml:space="preserve"> </w:t>
      </w:r>
      <w:r>
        <w:rPr>
          <w:spacing w:val="-1"/>
        </w:rPr>
        <w:t>匹配；</w:t>
      </w:r>
    </w:p>
    <w:p>
      <w:pPr>
        <w:pStyle w:val="BodyText"/>
        <w:spacing w:before="22" w:line="227" w:lineRule="auto"/>
        <w:ind w:left="431"/>
      </w:pPr>
      <w:r>
        <w:rPr>
          <w:rFonts w:ascii="Times New Roman" w:eastAsia="Times New Roman" w:hAnsi="Times New Roman" w:cs="Times New Roman"/>
          <w:i/>
          <w:iCs/>
        </w:rPr>
        <w:t>GWP</w:t>
      </w:r>
      <w:r>
        <w:rPr>
          <w:rFonts w:ascii="Times New Roman" w:eastAsia="Times New Roman" w:hAnsi="Times New Roman" w:cs="Times New Roman"/>
          <w:position w:val="-1"/>
          <w:sz w:val="13"/>
          <w:szCs w:val="13"/>
        </w:rPr>
        <w:t>i</w:t>
      </w:r>
      <w:r>
        <w:rPr>
          <w:rFonts w:ascii="Times New Roman" w:eastAsia="Times New Roman" w:hAnsi="Times New Roman" w:cs="Times New Roman"/>
          <w:spacing w:val="8"/>
          <w:position w:val="-1"/>
          <w:sz w:val="13"/>
          <w:szCs w:val="13"/>
        </w:rPr>
        <w:t xml:space="preserve"> </w:t>
      </w:r>
      <w:r>
        <w:rPr>
          <w:rFonts w:ascii="Times New Roman" w:eastAsia="Times New Roman" w:hAnsi="Times New Roman" w:cs="Times New Roman"/>
          <w:spacing w:val="8"/>
        </w:rPr>
        <w:t>——</w:t>
      </w:r>
      <w:r>
        <w:rPr>
          <w:spacing w:val="8"/>
        </w:rPr>
        <w:t>第</w:t>
      </w:r>
      <w:r>
        <w:rPr>
          <w:spacing w:val="-42"/>
        </w:rPr>
        <w:t xml:space="preserve"> </w:t>
      </w:r>
      <w:r>
        <w:rPr>
          <w:rFonts w:ascii="Times New Roman" w:eastAsia="Times New Roman" w:hAnsi="Times New Roman" w:cs="Times New Roman"/>
          <w:spacing w:val="8"/>
        </w:rPr>
        <w:t xml:space="preserve">i </w:t>
      </w:r>
      <w:r>
        <w:rPr>
          <w:spacing w:val="8"/>
        </w:rPr>
        <w:t>种活动对应的全球变暖潜势值（</w:t>
      </w:r>
      <w:r>
        <w:rPr>
          <w:rFonts w:ascii="Times New Roman" w:eastAsia="Times New Roman" w:hAnsi="Times New Roman" w:cs="Times New Roman"/>
        </w:rPr>
        <w:t>GWP</w:t>
      </w:r>
      <w:r>
        <w:rPr>
          <w:spacing w:val="-31"/>
        </w:rPr>
        <w:t>），</w:t>
      </w:r>
      <w:r>
        <w:rPr>
          <w:spacing w:val="8"/>
        </w:rPr>
        <w:t>可参考附件</w:t>
      </w:r>
      <w:r>
        <w:rPr>
          <w:spacing w:val="-40"/>
        </w:rPr>
        <w:t xml:space="preserve"> </w:t>
      </w:r>
      <w:r>
        <w:rPr>
          <w:rFonts w:ascii="Times New Roman" w:eastAsia="Times New Roman" w:hAnsi="Times New Roman" w:cs="Times New Roman"/>
          <w:spacing w:val="8"/>
        </w:rPr>
        <w:t>C</w:t>
      </w:r>
      <w:r>
        <w:rPr>
          <w:spacing w:val="8"/>
        </w:rPr>
        <w:t>。</w:t>
      </w:r>
    </w:p>
    <w:p>
      <w:pPr>
        <w:spacing w:line="296" w:lineRule="auto"/>
        <w:rPr>
          <w:rFonts w:ascii="Arial"/>
          <w:sz w:val="21"/>
        </w:rPr>
      </w:pPr>
    </w:p>
    <w:p>
      <w:pPr>
        <w:spacing w:line="296" w:lineRule="auto"/>
        <w:rPr>
          <w:rFonts w:ascii="Arial"/>
          <w:sz w:val="21"/>
        </w:rPr>
      </w:pPr>
    </w:p>
    <w:p>
      <w:pPr>
        <w:spacing w:before="65" w:line="231" w:lineRule="auto"/>
        <w:rPr>
          <w:rFonts w:ascii="SimHei" w:eastAsia="SimHei" w:hAnsi="SimHei" w:cs="SimHei"/>
          <w:sz w:val="20"/>
          <w:szCs w:val="20"/>
        </w:rPr>
      </w:pPr>
      <w:r>
        <w:rPr>
          <w:rFonts w:ascii="SimHei" w:eastAsia="SimHei" w:hAnsi="SimHei" w:cs="SimHei"/>
          <w:spacing w:val="6"/>
          <w:sz w:val="20"/>
          <w:szCs w:val="20"/>
        </w:rPr>
        <w:t>9</w:t>
      </w:r>
      <w:r>
        <w:rPr>
          <w:rFonts w:ascii="SimHei" w:eastAsia="SimHei" w:hAnsi="SimHei" w:cs="SimHei"/>
          <w:spacing w:val="10"/>
          <w:sz w:val="20"/>
          <w:szCs w:val="20"/>
        </w:rPr>
        <w:t xml:space="preserve">  </w:t>
      </w:r>
      <w:r>
        <w:rPr>
          <w:rFonts w:ascii="SimHei" w:eastAsia="SimHei" w:hAnsi="SimHei" w:cs="SimHei"/>
          <w:spacing w:val="6"/>
          <w:sz w:val="20"/>
          <w:szCs w:val="20"/>
        </w:rPr>
        <w:t>结果解释</w:t>
      </w:r>
    </w:p>
    <w:p>
      <w:pPr>
        <w:spacing w:line="306" w:lineRule="auto"/>
        <w:rPr>
          <w:rFonts w:ascii="Arial"/>
          <w:sz w:val="21"/>
        </w:rPr>
      </w:pPr>
    </w:p>
    <w:p>
      <w:pPr>
        <w:pStyle w:val="BodyText"/>
        <w:spacing w:before="66" w:line="228" w:lineRule="auto"/>
        <w:ind w:left="430"/>
      </w:pPr>
      <w:r>
        <w:rPr>
          <w:spacing w:val="7"/>
        </w:rPr>
        <w:t>结果解释可包括以下内容：</w:t>
      </w:r>
    </w:p>
    <w:p>
      <w:pPr>
        <w:pStyle w:val="BodyText"/>
        <w:spacing w:before="66" w:line="327" w:lineRule="exact"/>
        <w:ind w:left="426"/>
      </w:pPr>
      <w:r>
        <w:rPr>
          <w:spacing w:val="9"/>
          <w:position w:val="9"/>
        </w:rPr>
        <w:t>a)  根据产品碳足迹的量化目的、范围</w:t>
      </w:r>
      <w:r>
        <w:rPr>
          <w:spacing w:val="8"/>
          <w:position w:val="9"/>
        </w:rPr>
        <w:t>和结果，确定重大问题；</w:t>
      </w:r>
    </w:p>
    <w:p>
      <w:pPr>
        <w:pStyle w:val="BodyText"/>
        <w:spacing w:line="220" w:lineRule="auto"/>
        <w:ind w:left="844"/>
        <w:rPr>
          <w:sz w:val="18"/>
          <w:szCs w:val="18"/>
        </w:rPr>
      </w:pPr>
      <w:r>
        <w:rPr>
          <w:spacing w:val="-1"/>
          <w:sz w:val="18"/>
          <w:szCs w:val="18"/>
        </w:rPr>
        <w:t>注1：重大问题可以是生命周期阶段、单元过程或流程。</w:t>
      </w:r>
    </w:p>
    <w:p>
      <w:pPr>
        <w:pStyle w:val="BodyText"/>
        <w:spacing w:before="82" w:line="258" w:lineRule="auto"/>
        <w:ind w:left="845" w:hanging="423"/>
      </w:pPr>
      <w:r>
        <w:rPr>
          <w:spacing w:val="12"/>
        </w:rPr>
        <w:t>b)  完整性、一致性、不确定性和敏感性分析，例如重要输入、输出和方法选择（取舍原则和分</w:t>
      </w:r>
      <w:r>
        <w:t xml:space="preserve"> </w:t>
      </w:r>
      <w:r>
        <w:rPr>
          <w:spacing w:val="8"/>
        </w:rPr>
        <w:t>配程序）进行敏感性分析；</w:t>
      </w:r>
    </w:p>
    <w:p>
      <w:pPr>
        <w:pStyle w:val="BodyText"/>
        <w:spacing w:before="65" w:line="624" w:lineRule="exact"/>
        <w:ind w:left="429"/>
      </w:pPr>
      <w:r>
        <w:rPr>
          <w:spacing w:val="7"/>
          <w:position w:val="32"/>
        </w:rPr>
        <w:t>c)  结论、局限性和建议的编制。</w:t>
      </w:r>
    </w:p>
    <w:p>
      <w:pPr>
        <w:spacing w:line="229" w:lineRule="auto"/>
        <w:ind w:left="16"/>
        <w:rPr>
          <w:rFonts w:ascii="SimHei" w:eastAsia="SimHei" w:hAnsi="SimHei" w:cs="SimHei"/>
          <w:sz w:val="20"/>
          <w:szCs w:val="20"/>
        </w:rPr>
      </w:pPr>
      <w:r>
        <w:rPr>
          <w:rFonts w:ascii="SimHei" w:eastAsia="SimHei" w:hAnsi="SimHei" w:cs="SimHei"/>
          <w:spacing w:val="6"/>
          <w:sz w:val="20"/>
          <w:szCs w:val="20"/>
        </w:rPr>
        <w:t>10</w:t>
      </w:r>
      <w:r>
        <w:rPr>
          <w:rFonts w:ascii="SimHei" w:eastAsia="SimHei" w:hAnsi="SimHei" w:cs="SimHei"/>
          <w:spacing w:val="6"/>
          <w:sz w:val="20"/>
          <w:szCs w:val="20"/>
        </w:rPr>
        <w:t xml:space="preserve">  </w:t>
      </w:r>
      <w:r>
        <w:rPr>
          <w:rFonts w:ascii="SimHei" w:eastAsia="SimHei" w:hAnsi="SimHei" w:cs="SimHei"/>
          <w:spacing w:val="6"/>
          <w:sz w:val="20"/>
          <w:szCs w:val="20"/>
        </w:rPr>
        <w:t>产品碳足迹报告</w:t>
      </w:r>
    </w:p>
    <w:p>
      <w:pPr>
        <w:spacing w:line="308" w:lineRule="auto"/>
        <w:rPr>
          <w:rFonts w:ascii="Arial"/>
          <w:sz w:val="21"/>
        </w:rPr>
      </w:pPr>
    </w:p>
    <w:p>
      <w:pPr>
        <w:pStyle w:val="BodyText"/>
        <w:spacing w:before="66" w:line="226" w:lineRule="auto"/>
        <w:ind w:left="427"/>
      </w:pPr>
      <w:r>
        <w:rPr>
          <w:spacing w:val="9"/>
        </w:rPr>
        <w:t>依据附录B中的产品碳足迹研究报告模板提供产品碳足迹报告。</w:t>
      </w:r>
    </w:p>
    <w:p>
      <w:pPr>
        <w:spacing w:line="226"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6" w:history="1">
        <w:r>
          <w:rPr>
            <w:rFonts w:ascii="SimSun" w:eastAsia="SimSun" w:hAnsi="SimSun" w:cs="SimSun"/>
            <w:b/>
            <w:bCs/>
            <w:noProof w:val="0"/>
            <w:snapToGrid/>
            <w:color w:val="0000EE"/>
            <w:kern w:val="0"/>
            <w:sz w:val="30"/>
            <w:szCs w:val="30"/>
            <w:u w:val="single" w:color="0000EE"/>
          </w:rPr>
          <w:t>https://d.book118.com/316132031153010102</w:t>
        </w:r>
      </w:hyperlink>
    </w:p>
    <w:p>
      <w:pPr>
        <w:spacing w:line="226" w:lineRule="auto"/>
      </w:pPr>
    </w:p>
    <w:sectPr>
      <w:footerReference w:type="default" r:id="rId47"/>
      <w:pgSz w:w="11906" w:h="16838"/>
      <w:pgMar w:top="1347" w:right="1136" w:bottom="1534" w:left="1418" w:header="0" w:footer="1369" w:gutter="0"/>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40"/>
      <w:rPr>
        <w:rFonts w:ascii="Calibri" w:eastAsia="Calibri" w:hAnsi="Calibri" w:cs="Calibri"/>
        <w:sz w:val="18"/>
        <w:szCs w:val="18"/>
      </w:rPr>
    </w:pPr>
    <w:r>
      <w:rPr>
        <w:rFonts w:ascii="Calibri" w:eastAsia="Calibri" w:hAnsi="Calibri" w:cs="Calibri"/>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40"/>
      <w:rPr>
        <w:rFonts w:ascii="Calibri" w:eastAsia="Calibri" w:hAnsi="Calibri" w:cs="Calibri"/>
        <w:sz w:val="18"/>
        <w:szCs w:val="18"/>
      </w:rPr>
    </w:pPr>
    <w:r>
      <w:rPr>
        <w:rFonts w:ascii="Calibri" w:eastAsia="Calibri" w:hAnsi="Calibri" w:cs="Calibri"/>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3"/>
      <w:rPr>
        <w:rFonts w:ascii="Calibri" w:eastAsia="Calibri" w:hAnsi="Calibri" w:cs="Calibri"/>
        <w:sz w:val="18"/>
        <w:szCs w:val="18"/>
      </w:rPr>
    </w:pPr>
    <w:r>
      <w:rPr>
        <w:rFonts w:ascii="Calibri" w:eastAsia="Calibri" w:hAnsi="Calibri" w:cs="Calibri"/>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3"/>
      <w:rPr>
        <w:rFonts w:ascii="Calibri" w:eastAsia="Calibri" w:hAnsi="Calibri" w:cs="Calibri"/>
        <w:sz w:val="18"/>
        <w:szCs w:val="18"/>
      </w:rPr>
    </w:pPr>
    <w:r>
      <w:rPr>
        <w:rFonts w:ascii="Calibri" w:eastAsia="Calibri" w:hAnsi="Calibri" w:cs="Calibri"/>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2"/>
      <w:rPr>
        <w:rFonts w:ascii="Calibri" w:eastAsia="Calibri" w:hAnsi="Calibri" w:cs="Calibri"/>
        <w:sz w:val="18"/>
        <w:szCs w:val="18"/>
      </w:rPr>
    </w:pPr>
    <w:r>
      <w:rPr>
        <w:rFonts w:ascii="Calibri" w:eastAsia="Calibri" w:hAnsi="Calibri" w:cs="Calibri"/>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2"/>
      <w:rPr>
        <w:rFonts w:ascii="Calibri" w:eastAsia="Calibri" w:hAnsi="Calibri" w:cs="Calibri"/>
        <w:sz w:val="18"/>
        <w:szCs w:val="18"/>
      </w:rPr>
    </w:pPr>
    <w:r>
      <w:rPr>
        <w:rFonts w:ascii="Calibri" w:eastAsia="Calibri" w:hAnsi="Calibri" w:cs="Calibri"/>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33"/>
      <w:rPr>
        <w:rFonts w:ascii="Calibri" w:eastAsia="Calibri" w:hAnsi="Calibri" w:cs="Calibri"/>
        <w:sz w:val="18"/>
        <w:szCs w:val="18"/>
      </w:rPr>
    </w:pPr>
    <w:r>
      <w:rPr>
        <w:rFonts w:ascii="Calibri" w:eastAsia="Calibri" w:hAnsi="Calibri" w:cs="Calibri"/>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33"/>
      <w:rPr>
        <w:rFonts w:ascii="Calibri" w:eastAsia="Calibri" w:hAnsi="Calibri" w:cs="Calibri"/>
        <w:sz w:val="18"/>
        <w:szCs w:val="18"/>
      </w:rPr>
    </w:pPr>
    <w:r>
      <w:rPr>
        <w:rFonts w:ascii="Calibri" w:eastAsia="Calibri" w:hAnsi="Calibri" w:cs="Calibri"/>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33"/>
      <w:rPr>
        <w:rFonts w:ascii="Calibri" w:eastAsia="Calibri" w:hAnsi="Calibri" w:cs="Calibri"/>
        <w:sz w:val="18"/>
        <w:szCs w:val="18"/>
      </w:rPr>
    </w:pPr>
    <w:r>
      <w:rPr>
        <w:rFonts w:ascii="Calibri" w:eastAsia="Calibri" w:hAnsi="Calibri" w:cs="Calibri"/>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633"/>
      <w:rPr>
        <w:rFonts w:ascii="Calibri" w:eastAsia="Calibri" w:hAnsi="Calibri" w:cs="Calibri"/>
        <w:sz w:val="18"/>
        <w:szCs w:val="18"/>
      </w:rPr>
    </w:pPr>
    <w:r>
      <w:rPr>
        <w:rFonts w:ascii="Calibri" w:eastAsia="Calibri" w:hAnsi="Calibri" w:cs="Calibri"/>
        <w:sz w:val="18"/>
        <w:szCs w:val="18"/>
      </w:rPr>
      <w:t>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33"/>
      <w:rPr>
        <w:rFonts w:ascii="Calibri" w:eastAsia="Calibri" w:hAnsi="Calibri" w:cs="Calibri"/>
        <w:sz w:val="18"/>
        <w:szCs w:val="18"/>
      </w:rPr>
    </w:pPr>
    <w:r>
      <w:rPr>
        <w:rFonts w:ascii="Calibri" w:eastAsia="Calibri" w:hAnsi="Calibri" w:cs="Calibri"/>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33"/>
      <w:rPr>
        <w:rFonts w:ascii="Calibri" w:eastAsia="Calibri" w:hAnsi="Calibri" w:cs="Calibri"/>
        <w:sz w:val="18"/>
        <w:szCs w:val="18"/>
      </w:rPr>
    </w:pPr>
    <w:r>
      <w:rPr>
        <w:rFonts w:ascii="Calibri" w:eastAsia="Calibri" w:hAnsi="Calibri" w:cs="Calibri"/>
        <w:sz w:val="18"/>
        <w:szCs w:val="18"/>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4"/>
      <w:rPr>
        <w:rFonts w:ascii="Calibri" w:eastAsia="Calibri" w:hAnsi="Calibri" w:cs="Calibri"/>
        <w:sz w:val="18"/>
        <w:szCs w:val="18"/>
      </w:rPr>
    </w:pPr>
    <w:r>
      <w:rPr>
        <w:rFonts w:ascii="Calibri" w:eastAsia="Calibri" w:hAnsi="Calibri" w:cs="Calibri"/>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4"/>
      <w:rPr>
        <w:rFonts w:ascii="Calibri" w:eastAsia="Calibri" w:hAnsi="Calibri" w:cs="Calibri"/>
        <w:sz w:val="18"/>
        <w:szCs w:val="18"/>
      </w:rPr>
    </w:pPr>
    <w:r>
      <w:rPr>
        <w:rFonts w:ascii="Calibri" w:eastAsia="Calibri" w:hAnsi="Calibri" w:cs="Calibri"/>
        <w:sz w:val="18"/>
        <w:szCs w:val="18"/>
      </w:rPr>
      <w:t>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34"/>
      <w:rPr>
        <w:rFonts w:ascii="Calibri" w:eastAsia="Calibri" w:hAnsi="Calibri" w:cs="Calibri"/>
        <w:sz w:val="18"/>
        <w:szCs w:val="18"/>
      </w:rPr>
    </w:pPr>
    <w:r>
      <w:rPr>
        <w:rFonts w:ascii="Calibri" w:eastAsia="Calibri" w:hAnsi="Calibri" w:cs="Calibri"/>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7" w:lineRule="auto"/>
      <w:ind w:left="4634"/>
      <w:rPr>
        <w:rFonts w:ascii="Calibri" w:eastAsia="Calibri" w:hAnsi="Calibri" w:cs="Calibri"/>
        <w:sz w:val="18"/>
        <w:szCs w:val="18"/>
      </w:rPr>
    </w:pPr>
    <w:r>
      <w:rPr>
        <w:rFonts w:ascii="Calibri" w:eastAsia="Calibri" w:hAnsi="Calibri" w:cs="Calibri"/>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636"/>
      <w:rPr>
        <w:rFonts w:ascii="Calibri" w:eastAsia="Calibri" w:hAnsi="Calibri" w:cs="Calibri"/>
        <w:sz w:val="18"/>
        <w:szCs w:val="18"/>
      </w:rPr>
    </w:pPr>
    <w:r>
      <w:rPr>
        <w:rFonts w:ascii="Calibri" w:eastAsia="Calibri" w:hAnsi="Calibri" w:cs="Calibri"/>
        <w:sz w:val="18"/>
        <w:szCs w:val="18"/>
      </w:rPr>
      <w:t>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0"/>
      <w:szCs w:val="20"/>
      <w:lang w:val="en-US" w:eastAsia="en-US" w:bidi="ar-SA"/>
    </w:rPr>
  </w:style>
  <w:style w:type="paragraph" w:customStyle="1" w:styleId="TableText">
    <w:name w:val="Table Text"/>
    <w:basedOn w:val="Normal"/>
    <w:semiHidden/>
    <w:qFormat/>
    <w:rPr>
      <w:rFonts w:ascii="SimSun" w:eastAsia="SimSun" w:hAnsi="SimSun" w:cs="SimSun"/>
      <w:sz w:val="14"/>
      <w:szCs w:val="1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footer" Target="footer8.xml"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footer" Target="footer10.xml"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footer" Target="footer1.xml" /><Relationship Id="rId40" Type="http://schemas.openxmlformats.org/officeDocument/2006/relationships/footer" Target="footer11.xml" /><Relationship Id="rId41" Type="http://schemas.openxmlformats.org/officeDocument/2006/relationships/footer" Target="footer12.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footer" Target="footer15.xml" /><Relationship Id="rId45" Type="http://schemas.openxmlformats.org/officeDocument/2006/relationships/footer" Target="footer16.xml" /><Relationship Id="rId46" Type="http://schemas.openxmlformats.org/officeDocument/2006/relationships/hyperlink" Target="https://d.book118.com/316132031153010102" TargetMode="External" /><Relationship Id="rId47" Type="http://schemas.openxmlformats.org/officeDocument/2006/relationships/footer" Target="footer17.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2024-03-17T20:36:46Z</vt:filetime>
  </property>
  <property fmtid="{D5CDD505-2E9C-101B-9397-08002B2CF9AE}" pid="3" name="CRO">
    <vt:lpwstr>wqlLaW5nc29mdCBQREYgdG8gV1BTIDkw</vt:lpwstr>
  </property>
</Properties>
</file>