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72" w:line="218" w:lineRule="auto"/>
        <w:ind w:left="1474"/>
        <w:outlineLvl w:val="0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西安斯瑞先进铜合金科技有限公司</w:t>
      </w:r>
    </w:p>
    <w:p>
      <w:pPr>
        <w:spacing w:before="275" w:line="218" w:lineRule="auto"/>
        <w:ind w:left="934"/>
        <w:outlineLvl w:val="0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spacing w:val="-1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“斯瑞新材科技产业园建设项目（一）”</w:t>
      </w:r>
    </w:p>
    <w:p>
      <w:pPr>
        <w:spacing w:before="275" w:line="219" w:lineRule="auto"/>
        <w:ind w:left="2922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spacing w:val="-2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pStyle w:val="BodyText"/>
        <w:spacing w:before="78" w:line="359" w:lineRule="auto"/>
        <w:ind w:left="21" w:right="93" w:firstLine="482"/>
      </w:pPr>
      <w:r>
        <w:t>鉴于公司医疗影像装备等电真空用材料及零组件</w:t>
      </w:r>
      <w:r>
        <w:rPr>
          <w:spacing w:val="-1"/>
        </w:rPr>
        <w:t>、光模块芯片基座</w:t>
      </w:r>
      <w:r>
        <w:rPr>
          <w:rFonts w:ascii="Times New Roman" w:eastAsia="Times New Roman" w:hAnsi="Times New Roman" w:cs="Times New Roman"/>
          <w:spacing w:val="-1"/>
        </w:rPr>
        <w:t>/</w:t>
      </w:r>
      <w:r>
        <w:rPr>
          <w:spacing w:val="-1"/>
        </w:rPr>
        <w:t>壳体材</w:t>
      </w:r>
      <w:r>
        <w:t xml:space="preserve"> </w:t>
      </w:r>
      <w:r>
        <w:t>料及零组件以及钨铜合金材料、零件产品在医疗装备</w:t>
      </w:r>
      <w:r>
        <w:rPr>
          <w:spacing w:val="-1"/>
        </w:rPr>
        <w:t>、电子通讯以及高压电开</w:t>
      </w:r>
      <w:r>
        <w:t xml:space="preserve"> </w:t>
      </w:r>
      <w:r>
        <w:t>关等领域需求较为旺盛，公司抓住机遇，积极布局相</w:t>
      </w:r>
      <w:r>
        <w:rPr>
          <w:spacing w:val="-1"/>
        </w:rPr>
        <w:t>关领域，以公司全资子公</w:t>
      </w:r>
      <w:r>
        <w:t xml:space="preserve"> </w:t>
      </w:r>
      <w:r>
        <w:t>司西安斯瑞先进铜合金科技有限公司（以下简称“公</w:t>
      </w:r>
      <w:r>
        <w:rPr>
          <w:spacing w:val="-1"/>
        </w:rPr>
        <w:t>司”）计划投资建设“斯</w:t>
      </w:r>
    </w:p>
    <w:p>
      <w:pPr>
        <w:pStyle w:val="BodyText"/>
        <w:spacing w:before="1" w:line="218" w:lineRule="auto"/>
        <w:ind w:left="21"/>
      </w:pPr>
      <w:r>
        <w:rPr>
          <w:spacing w:val="-2"/>
        </w:rPr>
        <w:t>瑞新材科技产业园项目（一）”（以下简称“项目”）。本次投资建设项目，</w:t>
      </w:r>
    </w:p>
    <w:p>
      <w:pPr>
        <w:pStyle w:val="BodyText"/>
        <w:spacing w:before="183" w:line="359" w:lineRule="auto"/>
        <w:ind w:left="23" w:right="162"/>
      </w:pPr>
      <w:r>
        <w:t>符合国家产业政策和公司长远发展战略规划，有</w:t>
      </w:r>
      <w:r>
        <w:rPr>
          <w:spacing w:val="-1"/>
        </w:rPr>
        <w:t>利于公司完善产能布局、提高</w:t>
      </w:r>
      <w:r>
        <w:t xml:space="preserve"> </w:t>
      </w:r>
      <w:r>
        <w:t>快速响应客户需求能力，优化公司产业结构，</w:t>
      </w:r>
      <w:r>
        <w:rPr>
          <w:spacing w:val="-1"/>
        </w:rPr>
        <w:t>降低公司运营成本，提升经济效</w:t>
      </w:r>
    </w:p>
    <w:p>
      <w:pPr>
        <w:pStyle w:val="BodyText"/>
        <w:spacing w:before="1" w:line="218" w:lineRule="auto"/>
        <w:ind w:left="23"/>
      </w:pPr>
      <w:r>
        <w:rPr>
          <w:spacing w:val="-2"/>
        </w:rPr>
        <w:t>益，对公司未来发展具有积极意义。公司董事会对本项目的可行性分析如下：</w:t>
      </w:r>
    </w:p>
    <w:p>
      <w:pPr>
        <w:pStyle w:val="BodyText"/>
        <w:spacing w:before="305" w:line="219" w:lineRule="auto"/>
        <w:ind w:left="589"/>
        <w:rPr>
          <w:sz w:val="28"/>
          <w:szCs w:val="28"/>
        </w:rPr>
      </w:pPr>
      <w:r>
        <w:rPr>
          <w:spacing w:val="-3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一、项目基本情况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78" w:line="359" w:lineRule="auto"/>
        <w:ind w:left="24" w:right="154" w:firstLine="478"/>
      </w:pPr>
      <w:r>
        <w:rPr>
          <w:spacing w:val="-1"/>
        </w:rPr>
        <w:t>本项目名称为斯瑞新材科技产业园项目（一）主要由三个子项目构成，分</w:t>
      </w:r>
      <w:r>
        <w:rPr>
          <w:spacing w:val="10"/>
        </w:rPr>
        <w:t xml:space="preserve"> </w:t>
      </w:r>
      <w:r>
        <w:rPr>
          <w:spacing w:val="-2"/>
        </w:rPr>
        <w:t>别为年产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3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-2"/>
        </w:rPr>
        <w:t>万套医疗影像装备等电真空用材料、零组件研发及产业化项目（以</w:t>
      </w:r>
      <w:r>
        <w:t xml:space="preserve"> </w:t>
      </w:r>
      <w:r>
        <w:rPr>
          <w:spacing w:val="-1"/>
        </w:rPr>
        <w:t>下简称“医疗项目”）、年产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2,000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-1"/>
        </w:rPr>
        <w:t>万套光模块芯片基座</w:t>
      </w:r>
      <w:r>
        <w:rPr>
          <w:rFonts w:ascii="Times New Roman" w:eastAsia="Times New Roman" w:hAnsi="Times New Roman" w:cs="Times New Roman"/>
          <w:spacing w:val="-1"/>
        </w:rPr>
        <w:t>/</w:t>
      </w:r>
      <w:r>
        <w:rPr>
          <w:spacing w:val="-1"/>
        </w:rPr>
        <w:t>壳体材料及零组件项</w:t>
      </w:r>
    </w:p>
    <w:p>
      <w:pPr>
        <w:pStyle w:val="BodyText"/>
        <w:spacing w:before="1" w:line="218" w:lineRule="auto"/>
        <w:ind w:left="67"/>
      </w:pPr>
      <w:r>
        <w:rPr>
          <w:spacing w:val="-2"/>
        </w:rPr>
        <w:t>目（以下简称“光模块项目”）、以及钨铜合金材料、零件项目（以</w:t>
      </w:r>
      <w:r>
        <w:rPr>
          <w:spacing w:val="-3"/>
        </w:rPr>
        <w:t>下简称</w:t>
      </w:r>
    </w:p>
    <w:p>
      <w:pPr>
        <w:pStyle w:val="BodyText"/>
        <w:spacing w:before="181" w:line="220" w:lineRule="auto"/>
        <w:ind w:left="4"/>
      </w:pPr>
      <w:r>
        <w:rPr>
          <w:spacing w:val="-6"/>
        </w:rPr>
        <w:t>“钨铜项目”）。</w:t>
      </w:r>
      <w:r>
        <w:rPr>
          <w:spacing w:val="52"/>
        </w:rPr>
        <w:t xml:space="preserve"> </w:t>
      </w:r>
      <w:r>
        <w:rPr>
          <w:spacing w:val="-6"/>
        </w:rPr>
        <w:t>建设地点位于西安市雁塔区未来产业城鱼跃路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60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-6"/>
        </w:rPr>
        <w:t>号。</w:t>
      </w:r>
    </w:p>
    <w:p>
      <w:pPr>
        <w:pStyle w:val="BodyText"/>
        <w:spacing w:before="182" w:line="359" w:lineRule="auto"/>
        <w:ind w:left="14" w:right="40" w:firstLine="498"/>
      </w:pPr>
      <w:r>
        <w:rPr>
          <w:spacing w:val="-4"/>
        </w:rPr>
        <w:t>医疗项目用地面积为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14,205.27 </w:t>
      </w:r>
      <w:r>
        <w:rPr>
          <w:spacing w:val="-4"/>
        </w:rPr>
        <w:t>平方米，建筑面积为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33,164.04 </w:t>
      </w:r>
      <w:r>
        <w:rPr>
          <w:spacing w:val="-4"/>
        </w:rPr>
        <w:t>平方米</w:t>
      </w:r>
      <w:r>
        <w:rPr>
          <w:spacing w:val="-5"/>
        </w:rPr>
        <w:t>， 项</w:t>
      </w:r>
      <w:r>
        <w:t xml:space="preserve">  </w:t>
      </w:r>
      <w:r>
        <w:rPr>
          <w:spacing w:val="-5"/>
        </w:rPr>
        <w:t>目建设完成后，将实现年产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30,000 </w:t>
      </w:r>
      <w:r>
        <w:rPr>
          <w:spacing w:val="-5"/>
        </w:rPr>
        <w:t>套</w:t>
      </w:r>
      <w:r>
        <w:rPr>
          <w:spacing w:val="-52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CT </w:t>
      </w:r>
      <w:r>
        <w:rPr>
          <w:spacing w:val="-5"/>
        </w:rPr>
        <w:t>球管零组件、</w:t>
      </w:r>
      <w:r>
        <w:rPr>
          <w:spacing w:val="64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15,000 </w:t>
      </w:r>
      <w:r>
        <w:rPr>
          <w:spacing w:val="-5"/>
        </w:rPr>
        <w:t>套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DR </w:t>
      </w:r>
      <w:r>
        <w:rPr>
          <w:spacing w:val="-5"/>
        </w:rPr>
        <w:t>射线管零</w:t>
      </w:r>
      <w:r>
        <w:t xml:space="preserve">  </w:t>
      </w:r>
      <w:r>
        <w:rPr>
          <w:spacing w:val="-7"/>
        </w:rPr>
        <w:t xml:space="preserve">组件、 </w:t>
      </w:r>
      <w:r>
        <w:rPr>
          <w:rFonts w:ascii="Times New Roman" w:eastAsia="Times New Roman" w:hAnsi="Times New Roman" w:cs="Times New Roman"/>
          <w:spacing w:val="-7"/>
        </w:rPr>
        <w:t xml:space="preserve">500 </w:t>
      </w:r>
      <w:r>
        <w:rPr>
          <w:spacing w:val="-7"/>
        </w:rPr>
        <w:t>套直线加速器零组件、</w:t>
      </w:r>
      <w:r>
        <w:rPr>
          <w:spacing w:val="63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 xml:space="preserve">3,500 </w:t>
      </w:r>
      <w:r>
        <w:rPr>
          <w:spacing w:val="-7"/>
        </w:rPr>
        <w:t>套半导体产品组件和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 xml:space="preserve">30,000 </w:t>
      </w:r>
      <w:r>
        <w:rPr>
          <w:spacing w:val="-7"/>
        </w:rPr>
        <w:t>套高电压用</w:t>
      </w:r>
      <w: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VI </w:t>
      </w:r>
      <w:r>
        <w:rPr>
          <w:spacing w:val="-1"/>
        </w:rPr>
        <w:t>导电系统组件的生产能力。光模块项目与钨铜项目总用地面积为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14,205.27</w:t>
      </w:r>
      <w:r>
        <w:rPr>
          <w:rFonts w:ascii="Times New Roman" w:eastAsia="Times New Roman" w:hAnsi="Times New Roman" w:cs="Times New Roman"/>
        </w:rPr>
        <w:t xml:space="preserve">     </w:t>
      </w:r>
      <w:r>
        <w:t>平方米，建筑面积为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31,023.76 </w:t>
      </w:r>
      <w:r>
        <w:t>平方米。</w:t>
      </w:r>
      <w:r>
        <w:rPr>
          <w:spacing w:val="-1"/>
        </w:rPr>
        <w:t>项目建设完成后，将实现年产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2,000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-1"/>
        </w:rPr>
        <w:t>万</w:t>
      </w:r>
    </w:p>
    <w:p>
      <w:pPr>
        <w:pStyle w:val="BodyText"/>
        <w:spacing w:before="1" w:line="221" w:lineRule="auto"/>
        <w:ind w:left="22"/>
      </w:pPr>
      <w:r>
        <w:rPr>
          <w:spacing w:val="-7"/>
        </w:rPr>
        <w:t>套光模块基座、</w:t>
      </w:r>
      <w:r>
        <w:rPr>
          <w:spacing w:val="63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1,000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-7"/>
        </w:rPr>
        <w:t>万套光模块壳体、及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300</w:t>
      </w:r>
      <w:r>
        <w:rPr>
          <w:rFonts w:ascii="Times New Roman" w:eastAsia="Times New Roman" w:hAnsi="Times New Roman" w:cs="Times New Roman"/>
          <w:spacing w:val="21"/>
        </w:rPr>
        <w:t xml:space="preserve"> </w:t>
      </w:r>
      <w:r>
        <w:rPr>
          <w:spacing w:val="-7"/>
        </w:rPr>
        <w:t>吨铜钨触头生产能</w:t>
      </w:r>
      <w:r>
        <w:rPr>
          <w:spacing w:val="-8"/>
        </w:rPr>
        <w:t>力。</w:t>
      </w:r>
    </w:p>
    <w:p>
      <w:pPr>
        <w:pStyle w:val="BodyText"/>
        <w:spacing w:before="303" w:line="221" w:lineRule="auto"/>
        <w:ind w:left="589"/>
        <w:rPr>
          <w:sz w:val="28"/>
          <w:szCs w:val="28"/>
        </w:rPr>
      </w:pPr>
      <w:r>
        <w:rPr>
          <w:spacing w:val="-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二、项目实施主体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78" w:line="466" w:lineRule="exact"/>
        <w:ind w:left="502"/>
        <w:sectPr>
          <w:pgSz w:w="11907" w:h="16839"/>
          <w:pgMar w:top="1419" w:right="1785" w:bottom="0" w:left="1785" w:header="0" w:footer="0" w:gutter="0"/>
          <w:cols w:space="708"/>
        </w:sectPr>
      </w:pPr>
      <w:r>
        <w:rPr>
          <w:position w:val="17"/>
        </w:rPr>
        <w:t>本项目由陕西斯瑞新材股份有限公司的全资子公</w:t>
      </w:r>
      <w:r>
        <w:rPr>
          <w:spacing w:val="-1"/>
          <w:position w:val="17"/>
        </w:rPr>
        <w:t>司西安斯瑞先进铜合金科</w:t>
      </w:r>
    </w:p>
    <w:p>
      <w:pPr>
        <w:pStyle w:val="BodyText"/>
        <w:spacing w:before="1" w:line="218" w:lineRule="auto"/>
        <w:ind w:left="22"/>
      </w:pPr>
      <w:r>
        <w:rPr>
          <w:spacing w:val="-3"/>
        </w:rPr>
        <w:t>技有限公司负责项目投资、运营和管理。公司基本情况如下：</w:t>
      </w:r>
    </w:p>
    <w:p>
      <w:pPr>
        <w:spacing w:line="218" w:lineRule="auto"/>
        <w:sectPr>
          <w:type w:val="nextPage"/>
          <w:pgSz w:w="11907" w:h="16839"/>
          <w:pgMar w:top="1419" w:right="1785" w:bottom="0" w:left="1785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47" w:line="219" w:lineRule="auto"/>
        <w:ind w:left="1151"/>
      </w:pPr>
      <w:r>
        <w:rPr>
          <w:rFonts w:ascii="Times New Roman" w:eastAsia="Times New Roman" w:hAnsi="Times New Roman" w:cs="Times New Roman"/>
          <w:spacing w:val="-3"/>
        </w:rPr>
        <w:t>1</w:t>
      </w:r>
      <w:r>
        <w:rPr>
          <w:spacing w:val="-3"/>
        </w:rPr>
        <w:t>、公司名称：西安斯瑞先进铜合金科技有限公司</w:t>
      </w:r>
    </w:p>
    <w:p>
      <w:pPr>
        <w:pStyle w:val="BodyText"/>
        <w:spacing w:before="183" w:line="466" w:lineRule="exact"/>
        <w:ind w:left="1128"/>
      </w:pPr>
      <w:r>
        <w:rPr>
          <w:rFonts w:ascii="Times New Roman" w:eastAsia="Times New Roman" w:hAnsi="Times New Roman" w:cs="Times New Roman"/>
          <w:spacing w:val="-1"/>
          <w:position w:val="17"/>
        </w:rPr>
        <w:t>2</w:t>
      </w:r>
      <w:r>
        <w:rPr>
          <w:spacing w:val="-1"/>
          <w:position w:val="17"/>
        </w:rPr>
        <w:t>、注册地址：陕西省西安市雁塔区鱼化工业园纬一路</w:t>
      </w:r>
      <w:r>
        <w:rPr>
          <w:spacing w:val="-39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7"/>
        </w:rPr>
        <w:t>60</w:t>
      </w:r>
      <w:r>
        <w:rPr>
          <w:rFonts w:ascii="Times New Roman" w:eastAsia="Times New Roman" w:hAnsi="Times New Roman" w:cs="Times New Roman"/>
          <w:spacing w:val="16"/>
          <w:position w:val="17"/>
        </w:rPr>
        <w:t xml:space="preserve"> </w:t>
      </w:r>
      <w:r>
        <w:rPr>
          <w:spacing w:val="-1"/>
          <w:position w:val="17"/>
        </w:rPr>
        <w:t>号</w:t>
      </w:r>
    </w:p>
    <w:p>
      <w:pPr>
        <w:pStyle w:val="BodyText"/>
        <w:spacing w:line="219" w:lineRule="auto"/>
        <w:ind w:left="1133"/>
      </w:pPr>
      <w:r>
        <w:rPr>
          <w:rFonts w:ascii="Times New Roman" w:eastAsia="Times New Roman" w:hAnsi="Times New Roman" w:cs="Times New Roman"/>
          <w:spacing w:val="-15"/>
        </w:rPr>
        <w:t>3</w:t>
      </w:r>
      <w:r>
        <w:rPr>
          <w:spacing w:val="-15"/>
        </w:rPr>
        <w:t>、注册日期：</w:t>
      </w:r>
      <w:r>
        <w:rPr>
          <w:spacing w:val="77"/>
        </w:rPr>
        <w:t xml:space="preserve"> </w:t>
      </w:r>
      <w:r>
        <w:rPr>
          <w:rFonts w:ascii="Times New Roman" w:eastAsia="Times New Roman" w:hAnsi="Times New Roman" w:cs="Times New Roman"/>
          <w:spacing w:val="-15"/>
        </w:rPr>
        <w:t>2018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spacing w:val="-15"/>
        </w:rPr>
        <w:t>年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15"/>
        </w:rPr>
        <w:t>07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-15"/>
        </w:rPr>
        <w:t>月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15"/>
        </w:rPr>
        <w:t>18</w:t>
      </w:r>
      <w:r>
        <w:rPr>
          <w:rFonts w:ascii="Times New Roman" w:eastAsia="Times New Roman" w:hAnsi="Times New Roman" w:cs="Times New Roman"/>
          <w:spacing w:val="50"/>
          <w:w w:val="101"/>
        </w:rPr>
        <w:t xml:space="preserve"> </w:t>
      </w:r>
      <w:r>
        <w:rPr>
          <w:spacing w:val="-15"/>
        </w:rPr>
        <w:t>日</w:t>
      </w:r>
    </w:p>
    <w:p>
      <w:pPr>
        <w:pStyle w:val="BodyText"/>
        <w:spacing w:before="182" w:line="220" w:lineRule="auto"/>
        <w:ind w:left="1127"/>
      </w:pPr>
      <w:r>
        <w:rPr>
          <w:rFonts w:ascii="Times New Roman" w:eastAsia="Times New Roman" w:hAnsi="Times New Roman" w:cs="Times New Roman"/>
          <w:spacing w:val="-2"/>
        </w:rPr>
        <w:t>4</w:t>
      </w:r>
      <w:r>
        <w:rPr>
          <w:spacing w:val="-2"/>
        </w:rPr>
        <w:t>、法定代表人：马国庆</w:t>
      </w:r>
    </w:p>
    <w:p>
      <w:pPr>
        <w:pStyle w:val="BodyText"/>
        <w:spacing w:before="180" w:line="221" w:lineRule="auto"/>
        <w:ind w:left="1135"/>
      </w:pPr>
      <w:r>
        <w:rPr>
          <w:rFonts w:ascii="Times New Roman" w:eastAsia="Times New Roman" w:hAnsi="Times New Roman" w:cs="Times New Roman"/>
          <w:spacing w:val="-13"/>
        </w:rPr>
        <w:t>5</w:t>
      </w:r>
      <w:r>
        <w:rPr>
          <w:spacing w:val="-13"/>
        </w:rPr>
        <w:t>、注册资本：</w:t>
      </w:r>
      <w:r>
        <w:rPr>
          <w:spacing w:val="94"/>
        </w:rPr>
        <w:t xml:space="preserve"> </w:t>
      </w:r>
      <w:r>
        <w:rPr>
          <w:rFonts w:ascii="Times New Roman" w:eastAsia="Times New Roman" w:hAnsi="Times New Roman" w:cs="Times New Roman"/>
          <w:spacing w:val="-13"/>
        </w:rPr>
        <w:t>16,000.00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-13"/>
        </w:rPr>
        <w:t>万元</w:t>
      </w:r>
    </w:p>
    <w:p>
      <w:pPr>
        <w:pStyle w:val="BodyText"/>
        <w:spacing w:before="180" w:line="359" w:lineRule="auto"/>
        <w:ind w:left="652" w:right="664" w:firstLine="481"/>
      </w:pPr>
      <w:r>
        <w:rPr>
          <w:rFonts w:ascii="Times New Roman" w:eastAsia="Times New Roman" w:hAnsi="Times New Roman" w:cs="Times New Roman"/>
          <w:spacing w:val="-1"/>
        </w:rPr>
        <w:t>6</w:t>
      </w:r>
      <w:r>
        <w:rPr>
          <w:spacing w:val="-1"/>
        </w:rPr>
        <w:t>、经营范围：有色金属压延加工；有色金属合金制造；金属材料制造；锻</w:t>
      </w:r>
      <w:r>
        <w:rPr>
          <w:spacing w:val="11"/>
        </w:rPr>
        <w:t xml:space="preserve"> </w:t>
      </w:r>
      <w:r>
        <w:rPr>
          <w:spacing w:val="-12"/>
        </w:rPr>
        <w:t>件及粉末冶金制品制造；</w:t>
      </w:r>
      <w:r>
        <w:rPr>
          <w:spacing w:val="78"/>
        </w:rPr>
        <w:t xml:space="preserve"> </w:t>
      </w:r>
      <w:r>
        <w:rPr>
          <w:rFonts w:ascii="Times New Roman" w:eastAsia="Times New Roman" w:hAnsi="Times New Roman" w:cs="Times New Roman"/>
          <w:spacing w:val="-12"/>
        </w:rPr>
        <w:t>3D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spacing w:val="-12"/>
        </w:rPr>
        <w:t>打印基础材料销售；</w:t>
      </w:r>
      <w:r>
        <w:rPr>
          <w:spacing w:val="66"/>
        </w:rPr>
        <w:t xml:space="preserve"> </w:t>
      </w:r>
      <w:r>
        <w:rPr>
          <w:rFonts w:ascii="Times New Roman" w:eastAsia="Times New Roman" w:hAnsi="Times New Roman" w:cs="Times New Roman"/>
          <w:spacing w:val="-12"/>
        </w:rPr>
        <w:t>3D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spacing w:val="-12"/>
        </w:rPr>
        <w:t>打印服务；有色金属合金</w:t>
      </w:r>
      <w:r>
        <w:t xml:space="preserve">  </w:t>
      </w:r>
      <w:r>
        <w:t>销售；高纯元素及化合物销；高性能有色金属及合金材</w:t>
      </w:r>
      <w:r>
        <w:rPr>
          <w:spacing w:val="-1"/>
        </w:rPr>
        <w:t>料销售；新型金属功能</w:t>
      </w:r>
    </w:p>
    <w:p>
      <w:pPr>
        <w:pStyle w:val="BodyText"/>
        <w:spacing w:before="1" w:line="218" w:lineRule="auto"/>
        <w:ind w:left="653"/>
      </w:pPr>
      <w:r>
        <w:t>材料销售；新材料技术推广服务；技术服务、技术</w:t>
      </w:r>
      <w:r>
        <w:rPr>
          <w:spacing w:val="-1"/>
        </w:rPr>
        <w:t>开发、技术咨询、技术交</w:t>
      </w:r>
    </w:p>
    <w:p>
      <w:pPr>
        <w:pStyle w:val="BodyText"/>
        <w:spacing w:before="183" w:line="220" w:lineRule="auto"/>
        <w:ind w:left="653"/>
      </w:pPr>
      <w:r>
        <w:rPr>
          <w:spacing w:val="-4"/>
        </w:rPr>
        <w:t>流、技术转让、技术推广。</w:t>
      </w:r>
    </w:p>
    <w:p>
      <w:pPr>
        <w:pStyle w:val="BodyText"/>
        <w:spacing w:before="303" w:line="221" w:lineRule="auto"/>
        <w:ind w:left="1216"/>
        <w:outlineLvl w:val="0"/>
        <w:rPr>
          <w:sz w:val="28"/>
          <w:szCs w:val="28"/>
        </w:rPr>
      </w:pPr>
      <w:r>
        <w:rPr>
          <w:spacing w:val="-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三、项目投资计划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79" w:line="359" w:lineRule="auto"/>
        <w:ind w:left="651" w:right="713" w:firstLine="482"/>
        <w:jc w:val="both"/>
      </w:pPr>
      <w:r>
        <w:rPr>
          <w:spacing w:val="-1"/>
        </w:rPr>
        <w:t>本项目预计总投资不超过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8.20 </w:t>
      </w:r>
      <w:r>
        <w:rPr>
          <w:spacing w:val="-1"/>
        </w:rPr>
        <w:t>亿元。投资建设资金将根据项目实施计划和</w:t>
      </w:r>
      <w:r>
        <w:t xml:space="preserve"> </w:t>
      </w:r>
      <w:r>
        <w:rPr>
          <w:spacing w:val="-1"/>
        </w:rPr>
        <w:t>进度安排分批投入使用，经初步测算，项目总建设期为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6 </w:t>
      </w:r>
      <w:r>
        <w:rPr>
          <w:spacing w:val="-1"/>
        </w:rPr>
        <w:t>年，项目投资明细如</w:t>
      </w:r>
    </w:p>
    <w:p>
      <w:pPr>
        <w:pStyle w:val="BodyText"/>
        <w:spacing w:before="1" w:line="220" w:lineRule="auto"/>
        <w:ind w:left="660"/>
      </w:pPr>
      <w:r>
        <w:rPr>
          <w:spacing w:val="-18"/>
        </w:rPr>
        <w:t>下：</w:t>
      </w:r>
    </w:p>
    <w:p>
      <w:pPr>
        <w:pStyle w:val="BodyText"/>
        <w:spacing w:before="177" w:line="212" w:lineRule="auto"/>
        <w:ind w:left="7915"/>
        <w:rPr>
          <w:sz w:val="21"/>
          <w:szCs w:val="21"/>
        </w:rPr>
      </w:pPr>
      <w:r>
        <w:rPr>
          <w:spacing w:val="-23"/>
          <w:sz w:val="21"/>
          <w:szCs w:val="21"/>
        </w:rPr>
        <w:t>单位：</w:t>
      </w:r>
      <w:r>
        <w:rPr>
          <w:spacing w:val="8"/>
          <w:sz w:val="21"/>
          <w:szCs w:val="21"/>
        </w:rPr>
        <w:t xml:space="preserve"> </w:t>
      </w:r>
      <w:r>
        <w:rPr>
          <w:spacing w:val="-23"/>
          <w:sz w:val="21"/>
          <w:szCs w:val="21"/>
        </w:rPr>
        <w:t>万元</w:t>
      </w:r>
    </w:p>
    <w:tbl>
      <w:tblPr>
        <w:tblStyle w:val="TableNormal0"/>
        <w:tblW w:w="9552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30"/>
        <w:gridCol w:w="1652"/>
        <w:gridCol w:w="934"/>
        <w:gridCol w:w="890"/>
        <w:gridCol w:w="934"/>
        <w:gridCol w:w="933"/>
        <w:gridCol w:w="843"/>
        <w:gridCol w:w="934"/>
        <w:gridCol w:w="845"/>
        <w:gridCol w:w="857"/>
      </w:tblGrid>
      <w:tr>
        <w:tblPrEx>
          <w:tblW w:w="9552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9"/>
        </w:trPr>
        <w:tc>
          <w:tcPr>
            <w:tcW w:w="730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spacing w:before="31" w:line="221" w:lineRule="auto"/>
              <w:ind w:left="1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1652" w:type="dxa"/>
            <w:tcBorders>
              <w:top w:val="single" w:sz="10" w:space="0" w:color="000000"/>
            </w:tcBorders>
            <w:vAlign w:val="top"/>
          </w:tcPr>
          <w:p>
            <w:pPr>
              <w:spacing w:before="55" w:line="220" w:lineRule="auto"/>
              <w:ind w:left="6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</w:t>
            </w:r>
          </w:p>
        </w:tc>
        <w:tc>
          <w:tcPr>
            <w:tcW w:w="934" w:type="dxa"/>
            <w:tcBorders>
              <w:top w:val="single" w:sz="10" w:space="0" w:color="000000"/>
            </w:tcBorders>
            <w:vAlign w:val="top"/>
          </w:tcPr>
          <w:p>
            <w:pPr>
              <w:spacing w:before="55" w:line="220" w:lineRule="auto"/>
              <w:ind w:left="28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金额</w:t>
            </w:r>
          </w:p>
        </w:tc>
        <w:tc>
          <w:tcPr>
            <w:tcW w:w="890" w:type="dxa"/>
            <w:tcBorders>
              <w:top w:val="single" w:sz="10" w:space="0" w:color="000000"/>
            </w:tcBorders>
            <w:vAlign w:val="top"/>
          </w:tcPr>
          <w:p>
            <w:pPr>
              <w:spacing w:before="55" w:line="221" w:lineRule="auto"/>
              <w:ind w:left="2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占比</w:t>
            </w:r>
          </w:p>
        </w:tc>
        <w:tc>
          <w:tcPr>
            <w:tcW w:w="934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5" w:line="220" w:lineRule="auto"/>
              <w:ind w:left="173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-1"/>
              </w:rPr>
              <w:t>2024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</w:p>
        </w:tc>
        <w:tc>
          <w:tcPr>
            <w:tcW w:w="933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5" w:line="220" w:lineRule="auto"/>
              <w:ind w:left="17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-1"/>
              </w:rPr>
              <w:t>2025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</w:p>
        </w:tc>
        <w:tc>
          <w:tcPr>
            <w:tcW w:w="843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5" w:line="220" w:lineRule="auto"/>
              <w:ind w:left="13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-1"/>
              </w:rPr>
              <w:t>2026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</w:p>
        </w:tc>
        <w:tc>
          <w:tcPr>
            <w:tcW w:w="934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5" w:line="220" w:lineRule="auto"/>
              <w:ind w:left="183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-1"/>
              </w:rPr>
              <w:t>2027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</w:p>
        </w:tc>
        <w:tc>
          <w:tcPr>
            <w:tcW w:w="845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5" w:line="220" w:lineRule="auto"/>
              <w:ind w:left="140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-1"/>
              </w:rPr>
              <w:t>2028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</w:p>
        </w:tc>
        <w:tc>
          <w:tcPr>
            <w:tcW w:w="857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55" w:line="220" w:lineRule="auto"/>
              <w:ind w:left="140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-1"/>
              </w:rPr>
              <w:t>2029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</w:p>
        </w:tc>
      </w:tr>
      <w:tr>
        <w:tblPrEx>
          <w:tblW w:w="9552" w:type="dxa"/>
          <w:tblInd w:w="12" w:type="dxa"/>
          <w:tblLayout w:type="fixed"/>
        </w:tblPrEx>
        <w:trPr>
          <w:trHeight w:val="281"/>
        </w:trPr>
        <w:tc>
          <w:tcPr>
            <w:tcW w:w="73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44" w:line="186" w:lineRule="auto"/>
              <w:ind w:left="322"/>
            </w:pPr>
            <w:r>
              <w:t>1</w:t>
            </w:r>
          </w:p>
        </w:tc>
        <w:tc>
          <w:tcPr>
            <w:tcW w:w="1652" w:type="dxa"/>
            <w:vAlign w:val="top"/>
          </w:tcPr>
          <w:p>
            <w:pPr>
              <w:spacing w:before="50" w:line="220" w:lineRule="auto"/>
              <w:ind w:left="4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建设投资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80" w:line="186" w:lineRule="auto"/>
              <w:ind w:left="106"/>
            </w:pPr>
            <w:r>
              <w:rPr>
                <w:spacing w:val="-1"/>
              </w:rPr>
              <w:t>74,529.65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spacing w:before="80" w:line="186" w:lineRule="auto"/>
              <w:ind w:left="231"/>
            </w:pPr>
            <w:r>
              <w:rPr>
                <w:spacing w:val="-1"/>
              </w:rPr>
              <w:t>90.89%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80" w:line="186" w:lineRule="auto"/>
              <w:ind w:left="106"/>
            </w:pPr>
            <w:r>
              <w:rPr>
                <w:spacing w:val="-1"/>
              </w:rPr>
              <w:t>24,898.59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80" w:line="186" w:lineRule="auto"/>
              <w:ind w:left="108"/>
            </w:pPr>
            <w:r>
              <w:rPr>
                <w:spacing w:val="-1"/>
              </w:rPr>
              <w:t>23,009.01</w:t>
            </w:r>
          </w:p>
        </w:tc>
        <w:tc>
          <w:tcPr>
            <w:tcW w:w="843" w:type="dxa"/>
            <w:vAlign w:val="top"/>
          </w:tcPr>
          <w:p>
            <w:pPr>
              <w:pStyle w:val="TableText"/>
              <w:spacing w:before="80" w:line="186" w:lineRule="auto"/>
              <w:ind w:left="117"/>
            </w:pPr>
            <w:r>
              <w:rPr>
                <w:spacing w:val="-1"/>
              </w:rPr>
              <w:t>6,597.73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80" w:line="186" w:lineRule="auto"/>
              <w:ind w:left="207"/>
            </w:pPr>
            <w:r>
              <w:rPr>
                <w:spacing w:val="-1"/>
              </w:rPr>
              <w:t>9,063.43</w:t>
            </w:r>
          </w:p>
        </w:tc>
        <w:tc>
          <w:tcPr>
            <w:tcW w:w="845" w:type="dxa"/>
            <w:vAlign w:val="top"/>
          </w:tcPr>
          <w:p>
            <w:pPr>
              <w:pStyle w:val="TableText"/>
              <w:spacing w:before="80" w:line="186" w:lineRule="auto"/>
              <w:ind w:left="123"/>
            </w:pPr>
            <w:r>
              <w:rPr>
                <w:spacing w:val="-1"/>
              </w:rPr>
              <w:t>5,066.25</w:t>
            </w:r>
          </w:p>
        </w:tc>
        <w:tc>
          <w:tcPr>
            <w:tcW w:w="857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0" w:line="186" w:lineRule="auto"/>
              <w:ind w:left="123"/>
            </w:pPr>
            <w:r>
              <w:rPr>
                <w:spacing w:val="-1"/>
              </w:rPr>
              <w:t>5,894.64</w:t>
            </w:r>
          </w:p>
        </w:tc>
      </w:tr>
      <w:tr>
        <w:tblPrEx>
          <w:tblW w:w="9552" w:type="dxa"/>
          <w:tblInd w:w="12" w:type="dxa"/>
          <w:tblLayout w:type="fixed"/>
        </w:tblPrEx>
        <w:trPr>
          <w:trHeight w:val="283"/>
        </w:trPr>
        <w:tc>
          <w:tcPr>
            <w:tcW w:w="73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49" w:line="186" w:lineRule="auto"/>
              <w:ind w:left="255"/>
            </w:pPr>
            <w:r>
              <w:rPr>
                <w:spacing w:val="-7"/>
              </w:rPr>
              <w:t>1.1</w:t>
            </w:r>
          </w:p>
        </w:tc>
        <w:tc>
          <w:tcPr>
            <w:tcW w:w="1652" w:type="dxa"/>
            <w:vAlign w:val="top"/>
          </w:tcPr>
          <w:p>
            <w:pPr>
              <w:spacing w:before="54" w:line="220" w:lineRule="auto"/>
              <w:ind w:left="4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工程费用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85" w:line="186" w:lineRule="auto"/>
              <w:ind w:left="107"/>
            </w:pPr>
            <w:r>
              <w:rPr>
                <w:spacing w:val="-1"/>
              </w:rPr>
              <w:t>66,359.97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spacing w:before="84" w:line="186" w:lineRule="auto"/>
              <w:ind w:left="235"/>
            </w:pPr>
            <w:r>
              <w:rPr>
                <w:spacing w:val="-2"/>
              </w:rPr>
              <w:t>80.93%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85" w:line="186" w:lineRule="auto"/>
              <w:ind w:left="106"/>
            </w:pPr>
            <w:r>
              <w:rPr>
                <w:spacing w:val="-1"/>
              </w:rPr>
              <w:t>22,092.61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85" w:line="186" w:lineRule="auto"/>
              <w:ind w:left="108"/>
            </w:pPr>
            <w:r>
              <w:rPr>
                <w:spacing w:val="-1"/>
              </w:rPr>
              <w:t>20,346.77</w:t>
            </w:r>
          </w:p>
        </w:tc>
        <w:tc>
          <w:tcPr>
            <w:tcW w:w="843" w:type="dxa"/>
            <w:vAlign w:val="top"/>
          </w:tcPr>
          <w:p>
            <w:pPr>
              <w:pStyle w:val="TableText"/>
              <w:spacing w:before="85" w:line="186" w:lineRule="auto"/>
              <w:ind w:left="118"/>
            </w:pPr>
            <w:r>
              <w:rPr>
                <w:spacing w:val="-1"/>
              </w:rPr>
              <w:t>5,602.50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85" w:line="186" w:lineRule="auto"/>
              <w:ind w:left="207"/>
            </w:pPr>
            <w:r>
              <w:rPr>
                <w:spacing w:val="-1"/>
              </w:rPr>
              <w:t>7,879.14</w:t>
            </w:r>
          </w:p>
        </w:tc>
        <w:tc>
          <w:tcPr>
            <w:tcW w:w="845" w:type="dxa"/>
            <w:vAlign w:val="top"/>
          </w:tcPr>
          <w:p>
            <w:pPr>
              <w:pStyle w:val="TableText"/>
              <w:spacing w:before="85" w:line="186" w:lineRule="auto"/>
              <w:ind w:left="117"/>
            </w:pPr>
            <w:r>
              <w:rPr>
                <w:spacing w:val="-1"/>
              </w:rPr>
              <w:t>4,825.00</w:t>
            </w:r>
          </w:p>
        </w:tc>
        <w:tc>
          <w:tcPr>
            <w:tcW w:w="857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5" w:line="186" w:lineRule="auto"/>
              <w:ind w:left="123"/>
            </w:pPr>
            <w:r>
              <w:rPr>
                <w:spacing w:val="-1"/>
              </w:rPr>
              <w:t>5,613.94</w:t>
            </w:r>
          </w:p>
        </w:tc>
      </w:tr>
      <w:tr>
        <w:tblPrEx>
          <w:tblW w:w="9552" w:type="dxa"/>
          <w:tblInd w:w="12" w:type="dxa"/>
          <w:tblLayout w:type="fixed"/>
        </w:tblPrEx>
        <w:trPr>
          <w:trHeight w:val="283"/>
        </w:trPr>
        <w:tc>
          <w:tcPr>
            <w:tcW w:w="73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49" w:line="186" w:lineRule="auto"/>
              <w:ind w:left="188"/>
            </w:pPr>
            <w:r>
              <w:rPr>
                <w:spacing w:val="-4"/>
              </w:rPr>
              <w:t>1.1.1</w:t>
            </w:r>
          </w:p>
        </w:tc>
        <w:tc>
          <w:tcPr>
            <w:tcW w:w="1652" w:type="dxa"/>
            <w:vAlign w:val="top"/>
          </w:tcPr>
          <w:p>
            <w:pPr>
              <w:spacing w:before="56" w:line="220" w:lineRule="auto"/>
              <w:ind w:left="1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设备及软件购置费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87" w:line="186" w:lineRule="auto"/>
              <w:ind w:left="102"/>
            </w:pPr>
            <w:r>
              <w:rPr>
                <w:spacing w:val="-1"/>
              </w:rPr>
              <w:t>42,145.49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spacing w:before="87" w:line="186" w:lineRule="auto"/>
              <w:ind w:left="233"/>
            </w:pPr>
            <w:r>
              <w:rPr>
                <w:spacing w:val="-2"/>
              </w:rPr>
              <w:t>51.40%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87" w:line="186" w:lineRule="auto"/>
              <w:ind w:left="202"/>
            </w:pPr>
            <w:r>
              <w:rPr>
                <w:spacing w:val="-2"/>
              </w:rPr>
              <w:t>8,315.98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87" w:line="186" w:lineRule="auto"/>
              <w:ind w:left="125"/>
            </w:pPr>
            <w:r>
              <w:rPr>
                <w:spacing w:val="-3"/>
              </w:rPr>
              <w:t>10,108.93</w:t>
            </w:r>
          </w:p>
        </w:tc>
        <w:tc>
          <w:tcPr>
            <w:tcW w:w="843" w:type="dxa"/>
            <w:vAlign w:val="top"/>
          </w:tcPr>
          <w:p>
            <w:pPr>
              <w:pStyle w:val="TableText"/>
              <w:spacing w:before="87" w:line="186" w:lineRule="auto"/>
              <w:ind w:left="118"/>
            </w:pPr>
            <w:r>
              <w:rPr>
                <w:spacing w:val="-1"/>
              </w:rPr>
              <w:t>5,402.50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87" w:line="186" w:lineRule="auto"/>
              <w:ind w:left="207"/>
            </w:pPr>
            <w:r>
              <w:rPr>
                <w:spacing w:val="-1"/>
              </w:rPr>
              <w:t>7,879.14</w:t>
            </w:r>
          </w:p>
        </w:tc>
        <w:tc>
          <w:tcPr>
            <w:tcW w:w="845" w:type="dxa"/>
            <w:vAlign w:val="top"/>
          </w:tcPr>
          <w:p>
            <w:pPr>
              <w:pStyle w:val="TableText"/>
              <w:spacing w:before="87" w:line="186" w:lineRule="auto"/>
              <w:ind w:left="117"/>
            </w:pPr>
            <w:r>
              <w:rPr>
                <w:spacing w:val="-1"/>
              </w:rPr>
              <w:t>4,825.00</w:t>
            </w:r>
          </w:p>
        </w:tc>
        <w:tc>
          <w:tcPr>
            <w:tcW w:w="857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7" w:line="186" w:lineRule="auto"/>
              <w:ind w:left="123"/>
            </w:pPr>
            <w:r>
              <w:rPr>
                <w:spacing w:val="-1"/>
              </w:rPr>
              <w:t>5,613.94</w:t>
            </w:r>
          </w:p>
        </w:tc>
      </w:tr>
      <w:tr>
        <w:tblPrEx>
          <w:tblW w:w="9552" w:type="dxa"/>
          <w:tblInd w:w="12" w:type="dxa"/>
          <w:tblLayout w:type="fixed"/>
        </w:tblPrEx>
        <w:trPr>
          <w:trHeight w:val="282"/>
        </w:trPr>
        <w:tc>
          <w:tcPr>
            <w:tcW w:w="73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51" w:line="186" w:lineRule="auto"/>
              <w:ind w:left="188"/>
            </w:pPr>
            <w:r>
              <w:rPr>
                <w:spacing w:val="-4"/>
              </w:rPr>
              <w:t>1.1.2</w:t>
            </w:r>
          </w:p>
        </w:tc>
        <w:tc>
          <w:tcPr>
            <w:tcW w:w="1652" w:type="dxa"/>
            <w:vAlign w:val="top"/>
          </w:tcPr>
          <w:p>
            <w:pPr>
              <w:spacing w:before="59" w:line="218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建安工程费用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87" w:line="186" w:lineRule="auto"/>
              <w:ind w:left="103"/>
            </w:pPr>
            <w:r>
              <w:rPr>
                <w:spacing w:val="-1"/>
              </w:rPr>
              <w:t>24,214.47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spacing w:before="87" w:line="186" w:lineRule="auto"/>
              <w:ind w:left="228"/>
            </w:pPr>
            <w:r>
              <w:rPr>
                <w:spacing w:val="-1"/>
              </w:rPr>
              <w:t>29.53%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87" w:line="186" w:lineRule="auto"/>
              <w:ind w:left="123"/>
            </w:pPr>
            <w:r>
              <w:rPr>
                <w:spacing w:val="-3"/>
              </w:rPr>
              <w:t>13,776.63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87" w:line="186" w:lineRule="auto"/>
              <w:ind w:left="125"/>
            </w:pPr>
            <w:r>
              <w:rPr>
                <w:spacing w:val="-3"/>
              </w:rPr>
              <w:t>10,237.84</w:t>
            </w:r>
          </w:p>
        </w:tc>
        <w:tc>
          <w:tcPr>
            <w:tcW w:w="843" w:type="dxa"/>
            <w:vAlign w:val="top"/>
          </w:tcPr>
          <w:p>
            <w:pPr>
              <w:pStyle w:val="TableText"/>
              <w:spacing w:before="87" w:line="186" w:lineRule="auto"/>
              <w:ind w:left="250"/>
            </w:pPr>
            <w:r>
              <w:rPr>
                <w:spacing w:val="-1"/>
              </w:rPr>
              <w:t>200.00</w:t>
            </w:r>
          </w:p>
        </w:tc>
        <w:tc>
          <w:tcPr>
            <w:tcW w:w="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tcBorders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52" w:type="dxa"/>
          <w:tblInd w:w="12" w:type="dxa"/>
          <w:tblLayout w:type="fixed"/>
        </w:tblPrEx>
        <w:trPr>
          <w:trHeight w:val="282"/>
        </w:trPr>
        <w:tc>
          <w:tcPr>
            <w:tcW w:w="73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54" w:line="186" w:lineRule="auto"/>
              <w:ind w:left="255"/>
            </w:pPr>
            <w:r>
              <w:rPr>
                <w:spacing w:val="-7"/>
              </w:rPr>
              <w:t>1.2</w:t>
            </w:r>
          </w:p>
        </w:tc>
        <w:tc>
          <w:tcPr>
            <w:tcW w:w="1652" w:type="dxa"/>
            <w:vAlign w:val="top"/>
          </w:tcPr>
          <w:p>
            <w:pPr>
              <w:spacing w:before="62" w:line="215" w:lineRule="auto"/>
              <w:ind w:left="1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工程建设其他费用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90" w:line="186" w:lineRule="auto"/>
              <w:ind w:left="191"/>
            </w:pPr>
            <w:r>
              <w:rPr>
                <w:spacing w:val="-1"/>
              </w:rPr>
              <w:t>2,090.40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spacing w:before="90" w:line="186" w:lineRule="auto"/>
              <w:ind w:left="316"/>
            </w:pPr>
            <w:r>
              <w:rPr>
                <w:spacing w:val="-1"/>
              </w:rPr>
              <w:t>2.55%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90" w:line="186" w:lineRule="auto"/>
              <w:ind w:left="212"/>
            </w:pPr>
            <w:r>
              <w:rPr>
                <w:spacing w:val="-3"/>
              </w:rPr>
              <w:t>1,131.03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90" w:line="186" w:lineRule="auto"/>
              <w:ind w:left="337"/>
            </w:pPr>
            <w:r>
              <w:rPr>
                <w:spacing w:val="-1"/>
              </w:rPr>
              <w:t>959.37</w:t>
            </w:r>
          </w:p>
        </w:tc>
        <w:tc>
          <w:tcPr>
            <w:tcW w:w="843" w:type="dxa"/>
            <w:vAlign w:val="top"/>
          </w:tcPr>
          <w:p>
            <w:pPr>
              <w:pStyle w:val="TableText"/>
              <w:spacing w:before="165" w:line="86" w:lineRule="exact"/>
              <w:ind w:left="688"/>
            </w:pPr>
            <w:r>
              <w:rPr>
                <w:position w:val="-1"/>
              </w:rPr>
              <w:t>-</w:t>
            </w:r>
          </w:p>
        </w:tc>
        <w:tc>
          <w:tcPr>
            <w:tcW w:w="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7" w:type="dxa"/>
            <w:tcBorders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52" w:type="dxa"/>
          <w:tblInd w:w="12" w:type="dxa"/>
          <w:tblLayout w:type="fixed"/>
        </w:tblPrEx>
        <w:trPr>
          <w:trHeight w:val="283"/>
        </w:trPr>
        <w:tc>
          <w:tcPr>
            <w:tcW w:w="73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58" w:line="186" w:lineRule="auto"/>
              <w:ind w:left="255"/>
            </w:pPr>
            <w:r>
              <w:rPr>
                <w:spacing w:val="-7"/>
              </w:rPr>
              <w:t>1.3</w:t>
            </w:r>
          </w:p>
        </w:tc>
        <w:tc>
          <w:tcPr>
            <w:tcW w:w="1652" w:type="dxa"/>
            <w:vAlign w:val="top"/>
          </w:tcPr>
          <w:p>
            <w:pPr>
              <w:spacing w:before="66" w:line="212" w:lineRule="auto"/>
              <w:ind w:left="5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预备费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94" w:line="186" w:lineRule="auto"/>
              <w:ind w:left="195"/>
            </w:pPr>
            <w:r>
              <w:rPr>
                <w:spacing w:val="-1"/>
              </w:rPr>
              <w:t>6,079.28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spacing w:before="94" w:line="186" w:lineRule="auto"/>
              <w:ind w:left="319"/>
            </w:pPr>
            <w:r>
              <w:rPr>
                <w:spacing w:val="-2"/>
              </w:rPr>
              <w:t>7.41%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94" w:line="186" w:lineRule="auto"/>
              <w:ind w:left="212"/>
            </w:pPr>
            <w:r>
              <w:rPr>
                <w:spacing w:val="-3"/>
              </w:rPr>
              <w:t>1,674.94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94" w:line="186" w:lineRule="auto"/>
              <w:ind w:left="214"/>
            </w:pPr>
            <w:r>
              <w:rPr>
                <w:spacing w:val="-3"/>
              </w:rPr>
              <w:t>1,702.87</w:t>
            </w:r>
          </w:p>
        </w:tc>
        <w:tc>
          <w:tcPr>
            <w:tcW w:w="843" w:type="dxa"/>
            <w:vAlign w:val="top"/>
          </w:tcPr>
          <w:p>
            <w:pPr>
              <w:pStyle w:val="TableText"/>
              <w:spacing w:before="94" w:line="186" w:lineRule="auto"/>
              <w:ind w:left="254"/>
            </w:pPr>
            <w:r>
              <w:rPr>
                <w:spacing w:val="-1"/>
              </w:rPr>
              <w:t>995.23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94" w:line="186" w:lineRule="auto"/>
              <w:ind w:left="221"/>
            </w:pPr>
            <w:r>
              <w:rPr>
                <w:spacing w:val="-3"/>
              </w:rPr>
              <w:t>1,184.29</w:t>
            </w:r>
          </w:p>
        </w:tc>
        <w:tc>
          <w:tcPr>
            <w:tcW w:w="845" w:type="dxa"/>
            <w:vAlign w:val="top"/>
          </w:tcPr>
          <w:p>
            <w:pPr>
              <w:pStyle w:val="TableText"/>
              <w:spacing w:before="94" w:line="186" w:lineRule="auto"/>
              <w:ind w:left="255"/>
            </w:pPr>
            <w:r>
              <w:rPr>
                <w:spacing w:val="-1"/>
              </w:rPr>
              <w:t>241.25</w:t>
            </w:r>
          </w:p>
        </w:tc>
        <w:tc>
          <w:tcPr>
            <w:tcW w:w="857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94" w:line="186" w:lineRule="auto"/>
              <w:ind w:left="254"/>
            </w:pPr>
            <w:r>
              <w:rPr>
                <w:spacing w:val="-1"/>
              </w:rPr>
              <w:t>280.70</w:t>
            </w:r>
          </w:p>
        </w:tc>
      </w:tr>
      <w:tr>
        <w:tblPrEx>
          <w:tblW w:w="9552" w:type="dxa"/>
          <w:tblInd w:w="12" w:type="dxa"/>
          <w:tblLayout w:type="fixed"/>
        </w:tblPrEx>
        <w:trPr>
          <w:trHeight w:val="280"/>
        </w:trPr>
        <w:tc>
          <w:tcPr>
            <w:tcW w:w="73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60" w:line="186" w:lineRule="auto"/>
              <w:ind w:left="305"/>
            </w:pPr>
            <w:r>
              <w:t>2</w:t>
            </w:r>
          </w:p>
        </w:tc>
        <w:tc>
          <w:tcPr>
            <w:tcW w:w="1652" w:type="dxa"/>
            <w:vAlign w:val="top"/>
          </w:tcPr>
          <w:p>
            <w:pPr>
              <w:spacing w:before="66" w:line="209" w:lineRule="auto"/>
              <w:ind w:left="2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铺底流动资金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96" w:line="186" w:lineRule="auto"/>
              <w:ind w:left="194"/>
            </w:pPr>
            <w:r>
              <w:rPr>
                <w:spacing w:val="-1"/>
              </w:rPr>
              <w:t>7,470.35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spacing w:before="96" w:line="186" w:lineRule="auto"/>
              <w:ind w:left="320"/>
            </w:pPr>
            <w:r>
              <w:rPr>
                <w:spacing w:val="-2"/>
              </w:rPr>
              <w:t>9.11%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171" w:line="86" w:lineRule="exact"/>
              <w:ind w:left="769"/>
            </w:pPr>
            <w:r>
              <w:rPr>
                <w:position w:val="-1"/>
              </w:rPr>
              <w:t>-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96" w:line="186" w:lineRule="auto"/>
              <w:ind w:left="214"/>
            </w:pPr>
            <w:r>
              <w:rPr>
                <w:spacing w:val="-3"/>
              </w:rPr>
              <w:t>1,138.78</w:t>
            </w:r>
          </w:p>
        </w:tc>
        <w:tc>
          <w:tcPr>
            <w:tcW w:w="843" w:type="dxa"/>
            <w:vAlign w:val="top"/>
          </w:tcPr>
          <w:p>
            <w:pPr>
              <w:pStyle w:val="TableText"/>
              <w:spacing w:before="96" w:line="186" w:lineRule="auto"/>
              <w:ind w:left="113"/>
            </w:pPr>
            <w:r>
              <w:rPr>
                <w:spacing w:val="-1"/>
              </w:rPr>
              <w:t>2,695.59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96" w:line="186" w:lineRule="auto"/>
              <w:ind w:left="221"/>
            </w:pPr>
            <w:r>
              <w:rPr>
                <w:spacing w:val="-3"/>
              </w:rPr>
              <w:t>1,906.76</w:t>
            </w:r>
          </w:p>
        </w:tc>
        <w:tc>
          <w:tcPr>
            <w:tcW w:w="845" w:type="dxa"/>
            <w:vAlign w:val="top"/>
          </w:tcPr>
          <w:p>
            <w:pPr>
              <w:pStyle w:val="TableText"/>
              <w:spacing w:before="96" w:line="186" w:lineRule="auto"/>
              <w:ind w:left="260"/>
            </w:pPr>
            <w:r>
              <w:rPr>
                <w:spacing w:val="-2"/>
              </w:rPr>
              <w:t>503.17</w:t>
            </w:r>
          </w:p>
        </w:tc>
        <w:tc>
          <w:tcPr>
            <w:tcW w:w="857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96" w:line="186" w:lineRule="auto"/>
              <w:ind w:left="135"/>
            </w:pPr>
            <w:r>
              <w:rPr>
                <w:spacing w:val="-3"/>
              </w:rPr>
              <w:t>1,226.06</w:t>
            </w:r>
          </w:p>
        </w:tc>
      </w:tr>
      <w:tr>
        <w:tblPrEx>
          <w:tblW w:w="9552" w:type="dxa"/>
          <w:tblInd w:w="12" w:type="dxa"/>
          <w:tblLayout w:type="fixed"/>
        </w:tblPrEx>
        <w:trPr>
          <w:trHeight w:val="316"/>
        </w:trPr>
        <w:tc>
          <w:tcPr>
            <w:tcW w:w="730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tcBorders>
              <w:bottom w:val="single" w:sz="10" w:space="0" w:color="000000"/>
            </w:tcBorders>
            <w:vAlign w:val="top"/>
          </w:tcPr>
          <w:p>
            <w:pPr>
              <w:spacing w:before="76" w:line="221" w:lineRule="auto"/>
              <w:ind w:left="6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合计</w:t>
            </w:r>
          </w:p>
        </w:tc>
        <w:tc>
          <w:tcPr>
            <w:tcW w:w="934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11" w:line="195" w:lineRule="auto"/>
              <w:ind w:left="105"/>
            </w:pPr>
            <w:r>
              <w:rPr>
                <w:b/>
                <w:bCs/>
                <w:spacing w:val="-1"/>
              </w:rPr>
              <w:t>82,000.00</w:t>
            </w:r>
          </w:p>
        </w:tc>
        <w:tc>
          <w:tcPr>
            <w:tcW w:w="890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11" w:line="226" w:lineRule="auto"/>
              <w:ind w:left="116"/>
            </w:pPr>
            <w:r>
              <w:rPr>
                <w:b/>
                <w:bCs/>
                <w:spacing w:val="-2"/>
              </w:rPr>
              <w:t>100.00%</w:t>
            </w:r>
          </w:p>
        </w:tc>
        <w:tc>
          <w:tcPr>
            <w:tcW w:w="934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11" w:line="195" w:lineRule="auto"/>
              <w:ind w:left="106"/>
            </w:pPr>
            <w:r>
              <w:rPr>
                <w:b/>
                <w:bCs/>
                <w:spacing w:val="-1"/>
              </w:rPr>
              <w:t>24,898.59</w:t>
            </w:r>
          </w:p>
        </w:tc>
        <w:tc>
          <w:tcPr>
            <w:tcW w:w="933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11" w:line="195" w:lineRule="auto"/>
              <w:ind w:left="109"/>
            </w:pPr>
            <w:r>
              <w:rPr>
                <w:b/>
                <w:bCs/>
                <w:spacing w:val="-1"/>
              </w:rPr>
              <w:t>24,147.79</w:t>
            </w:r>
          </w:p>
        </w:tc>
        <w:tc>
          <w:tcPr>
            <w:tcW w:w="843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11" w:line="195" w:lineRule="auto"/>
              <w:ind w:left="115"/>
            </w:pPr>
            <w:r>
              <w:rPr>
                <w:b/>
                <w:bCs/>
                <w:spacing w:val="-1"/>
              </w:rPr>
              <w:t>9,293.32</w:t>
            </w:r>
          </w:p>
        </w:tc>
        <w:tc>
          <w:tcPr>
            <w:tcW w:w="934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11" w:line="195" w:lineRule="auto"/>
              <w:ind w:left="123"/>
            </w:pPr>
            <w:r>
              <w:rPr>
                <w:b/>
                <w:bCs/>
                <w:spacing w:val="-2"/>
              </w:rPr>
              <w:t>10,970.19</w:t>
            </w:r>
          </w:p>
        </w:tc>
        <w:tc>
          <w:tcPr>
            <w:tcW w:w="845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11" w:line="195" w:lineRule="auto"/>
              <w:ind w:left="120"/>
            </w:pPr>
            <w:r>
              <w:rPr>
                <w:b/>
                <w:bCs/>
                <w:spacing w:val="-1"/>
              </w:rPr>
              <w:t>5,569.42</w:t>
            </w:r>
          </w:p>
        </w:tc>
        <w:tc>
          <w:tcPr>
            <w:tcW w:w="857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11" w:line="195" w:lineRule="auto"/>
              <w:ind w:left="120"/>
            </w:pPr>
            <w:r>
              <w:rPr>
                <w:b/>
                <w:bCs/>
                <w:spacing w:val="-1"/>
              </w:rPr>
              <w:t>7,120.70</w:t>
            </w:r>
          </w:p>
        </w:tc>
      </w:tr>
    </w:tbl>
    <w:p>
      <w:pPr>
        <w:spacing w:line="368" w:lineRule="auto"/>
        <w:rPr>
          <w:rFonts w:ascii="Arial"/>
          <w:sz w:val="21"/>
        </w:rPr>
      </w:pPr>
    </w:p>
    <w:p>
      <w:pPr>
        <w:pStyle w:val="BodyText"/>
        <w:spacing w:before="79" w:line="468" w:lineRule="exact"/>
        <w:ind w:left="1144"/>
      </w:pPr>
      <w:r>
        <w:rPr>
          <w:spacing w:val="-1"/>
          <w:position w:val="17"/>
        </w:rPr>
        <w:t>医疗项目预计总投资不超过</w:t>
      </w:r>
      <w:r>
        <w:rPr>
          <w:spacing w:val="-49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7"/>
        </w:rPr>
        <w:t xml:space="preserve">4.0 </w:t>
      </w:r>
      <w:r>
        <w:rPr>
          <w:spacing w:val="-1"/>
          <w:position w:val="17"/>
        </w:rPr>
        <w:t>亿元，项目建设期为</w:t>
      </w:r>
      <w:r>
        <w:rPr>
          <w:spacing w:val="-56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7"/>
        </w:rPr>
        <w:t xml:space="preserve">4 </w:t>
      </w:r>
      <w:r>
        <w:rPr>
          <w:spacing w:val="-1"/>
          <w:position w:val="17"/>
        </w:rPr>
        <w:t>年，项目投资明细</w:t>
      </w:r>
    </w:p>
    <w:p>
      <w:pPr>
        <w:pStyle w:val="BodyText"/>
        <w:spacing w:line="220" w:lineRule="auto"/>
        <w:ind w:left="656"/>
      </w:pPr>
      <w:r>
        <w:rPr>
          <w:spacing w:val="-16"/>
        </w:rPr>
        <w:t>如下：</w:t>
      </w:r>
    </w:p>
    <w:p>
      <w:pPr>
        <w:pStyle w:val="BodyText"/>
        <w:spacing w:before="176" w:line="214" w:lineRule="auto"/>
        <w:ind w:left="7915"/>
        <w:rPr>
          <w:sz w:val="21"/>
          <w:szCs w:val="21"/>
        </w:rPr>
      </w:pPr>
      <w:r>
        <w:rPr>
          <w:spacing w:val="-23"/>
          <w:sz w:val="21"/>
          <w:szCs w:val="21"/>
        </w:rPr>
        <w:t>单位：</w:t>
      </w:r>
      <w:r>
        <w:rPr>
          <w:spacing w:val="8"/>
          <w:sz w:val="21"/>
          <w:szCs w:val="21"/>
        </w:rPr>
        <w:t xml:space="preserve"> </w:t>
      </w:r>
      <w:r>
        <w:rPr>
          <w:spacing w:val="-23"/>
          <w:sz w:val="21"/>
          <w:szCs w:val="21"/>
        </w:rPr>
        <w:t>万元</w:t>
      </w:r>
    </w:p>
    <w:tbl>
      <w:tblPr>
        <w:tblStyle w:val="TableNormal0"/>
        <w:tblW w:w="8287" w:type="dxa"/>
        <w:tblInd w:w="65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35"/>
        <w:gridCol w:w="1652"/>
        <w:gridCol w:w="933"/>
        <w:gridCol w:w="890"/>
        <w:gridCol w:w="933"/>
        <w:gridCol w:w="842"/>
        <w:gridCol w:w="845"/>
        <w:gridCol w:w="857"/>
      </w:tblGrid>
      <w:tr>
        <w:tblPrEx>
          <w:tblW w:w="8287" w:type="dxa"/>
          <w:tblInd w:w="65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6"/>
        </w:trPr>
        <w:tc>
          <w:tcPr>
            <w:tcW w:w="1335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spacing w:before="29" w:line="221" w:lineRule="auto"/>
              <w:ind w:left="4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1652" w:type="dxa"/>
            <w:tcBorders>
              <w:top w:val="single" w:sz="10" w:space="0" w:color="000000"/>
            </w:tcBorders>
            <w:vAlign w:val="top"/>
          </w:tcPr>
          <w:p>
            <w:pPr>
              <w:spacing w:before="53" w:line="220" w:lineRule="auto"/>
              <w:ind w:left="6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</w:t>
            </w:r>
          </w:p>
        </w:tc>
        <w:tc>
          <w:tcPr>
            <w:tcW w:w="933" w:type="dxa"/>
            <w:tcBorders>
              <w:top w:val="single" w:sz="10" w:space="0" w:color="000000"/>
            </w:tcBorders>
            <w:vAlign w:val="top"/>
          </w:tcPr>
          <w:p>
            <w:pPr>
              <w:spacing w:before="52" w:line="220" w:lineRule="auto"/>
              <w:ind w:left="2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金额</w:t>
            </w:r>
          </w:p>
        </w:tc>
        <w:tc>
          <w:tcPr>
            <w:tcW w:w="890" w:type="dxa"/>
            <w:tcBorders>
              <w:top w:val="single" w:sz="10" w:space="0" w:color="000000"/>
            </w:tcBorders>
            <w:vAlign w:val="top"/>
          </w:tcPr>
          <w:p>
            <w:pPr>
              <w:spacing w:before="53" w:line="221" w:lineRule="auto"/>
              <w:ind w:left="2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占比</w:t>
            </w:r>
          </w:p>
        </w:tc>
        <w:tc>
          <w:tcPr>
            <w:tcW w:w="933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2" w:line="220" w:lineRule="auto"/>
              <w:ind w:left="177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-1"/>
              </w:rPr>
              <w:t>2024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</w:p>
        </w:tc>
        <w:tc>
          <w:tcPr>
            <w:tcW w:w="842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2" w:line="220" w:lineRule="auto"/>
              <w:ind w:left="134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-1"/>
              </w:rPr>
              <w:t>2025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</w:p>
        </w:tc>
        <w:tc>
          <w:tcPr>
            <w:tcW w:w="845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2" w:line="220" w:lineRule="auto"/>
              <w:ind w:left="139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-1"/>
              </w:rPr>
              <w:t>2026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</w:p>
        </w:tc>
        <w:tc>
          <w:tcPr>
            <w:tcW w:w="857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52" w:line="220" w:lineRule="auto"/>
              <w:ind w:left="140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-1"/>
              </w:rPr>
              <w:t>2027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</w:p>
        </w:tc>
      </w:tr>
      <w:tr>
        <w:tblPrEx>
          <w:tblW w:w="8287" w:type="dxa"/>
          <w:tblInd w:w="656" w:type="dxa"/>
          <w:tblLayout w:type="fixed"/>
        </w:tblPrEx>
        <w:trPr>
          <w:trHeight w:val="282"/>
        </w:trPr>
        <w:tc>
          <w:tcPr>
            <w:tcW w:w="1335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44" w:line="186" w:lineRule="auto"/>
              <w:ind w:left="627"/>
            </w:pPr>
            <w:r>
              <w:t>1</w:t>
            </w:r>
          </w:p>
        </w:tc>
        <w:tc>
          <w:tcPr>
            <w:tcW w:w="1652" w:type="dxa"/>
            <w:vAlign w:val="top"/>
          </w:tcPr>
          <w:p>
            <w:pPr>
              <w:spacing w:before="52" w:line="220" w:lineRule="auto"/>
              <w:ind w:left="4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建设投资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80" w:line="186" w:lineRule="auto"/>
              <w:ind w:left="109"/>
            </w:pPr>
            <w:r>
              <w:rPr>
                <w:spacing w:val="-1"/>
              </w:rPr>
              <w:t>36,563.31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spacing w:before="80" w:line="186" w:lineRule="auto"/>
              <w:ind w:left="231"/>
            </w:pPr>
            <w:r>
              <w:rPr>
                <w:spacing w:val="-1"/>
              </w:rPr>
              <w:t>91.41%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80" w:line="186" w:lineRule="auto"/>
              <w:ind w:left="109"/>
            </w:pPr>
            <w:r>
              <w:rPr>
                <w:spacing w:val="-1"/>
              </w:rPr>
              <w:t>24,898.59</w:t>
            </w:r>
          </w:p>
        </w:tc>
        <w:tc>
          <w:tcPr>
            <w:tcW w:w="842" w:type="dxa"/>
            <w:vAlign w:val="top"/>
          </w:tcPr>
          <w:p>
            <w:pPr>
              <w:pStyle w:val="TableText"/>
              <w:spacing w:before="80" w:line="186" w:lineRule="auto"/>
              <w:ind w:left="115"/>
            </w:pPr>
            <w:r>
              <w:rPr>
                <w:spacing w:val="-1"/>
              </w:rPr>
              <w:t>3,570.27</w:t>
            </w:r>
          </w:p>
        </w:tc>
        <w:tc>
          <w:tcPr>
            <w:tcW w:w="845" w:type="dxa"/>
            <w:vAlign w:val="top"/>
          </w:tcPr>
          <w:p>
            <w:pPr>
              <w:pStyle w:val="TableText"/>
              <w:spacing w:before="80" w:line="186" w:lineRule="auto"/>
              <w:ind w:left="116"/>
            </w:pPr>
            <w:r>
              <w:rPr>
                <w:spacing w:val="-1"/>
              </w:rPr>
              <w:t>4,030.48</w:t>
            </w:r>
          </w:p>
        </w:tc>
        <w:tc>
          <w:tcPr>
            <w:tcW w:w="857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0" w:line="186" w:lineRule="auto"/>
              <w:ind w:left="117"/>
            </w:pPr>
            <w:r>
              <w:rPr>
                <w:spacing w:val="-1"/>
              </w:rPr>
              <w:t>4,063.97</w:t>
            </w:r>
          </w:p>
        </w:tc>
      </w:tr>
      <w:tr>
        <w:tblPrEx>
          <w:tblW w:w="8287" w:type="dxa"/>
          <w:tblInd w:w="656" w:type="dxa"/>
          <w:tblLayout w:type="fixed"/>
        </w:tblPrEx>
        <w:trPr>
          <w:trHeight w:val="282"/>
        </w:trPr>
        <w:tc>
          <w:tcPr>
            <w:tcW w:w="1335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48" w:line="186" w:lineRule="auto"/>
              <w:ind w:left="559"/>
            </w:pPr>
            <w:r>
              <w:rPr>
                <w:spacing w:val="-7"/>
              </w:rPr>
              <w:t>1.1</w:t>
            </w:r>
          </w:p>
        </w:tc>
        <w:tc>
          <w:tcPr>
            <w:tcW w:w="1652" w:type="dxa"/>
            <w:vAlign w:val="top"/>
          </w:tcPr>
          <w:p>
            <w:pPr>
              <w:spacing w:before="56" w:line="220" w:lineRule="auto"/>
              <w:ind w:left="4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工程费用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84" w:line="186" w:lineRule="auto"/>
              <w:ind w:left="109"/>
            </w:pPr>
            <w:r>
              <w:rPr>
                <w:spacing w:val="-1"/>
              </w:rPr>
              <w:t>31,160.91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spacing w:before="84" w:line="186" w:lineRule="auto"/>
              <w:ind w:left="231"/>
            </w:pPr>
            <w:r>
              <w:rPr>
                <w:spacing w:val="-1"/>
              </w:rPr>
              <w:t>77.90%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84" w:line="186" w:lineRule="auto"/>
              <w:ind w:left="109"/>
            </w:pPr>
            <w:r>
              <w:rPr>
                <w:spacing w:val="-1"/>
              </w:rPr>
              <w:t>22,092.61</w:t>
            </w:r>
          </w:p>
        </w:tc>
        <w:tc>
          <w:tcPr>
            <w:tcW w:w="842" w:type="dxa"/>
            <w:vAlign w:val="top"/>
          </w:tcPr>
          <w:p>
            <w:pPr>
              <w:pStyle w:val="TableText"/>
              <w:spacing w:before="84" w:line="186" w:lineRule="auto"/>
              <w:ind w:left="112"/>
            </w:pPr>
            <w:r>
              <w:rPr>
                <w:spacing w:val="-1"/>
              </w:rPr>
              <w:t>2,793.05</w:t>
            </w:r>
          </w:p>
        </w:tc>
        <w:tc>
          <w:tcPr>
            <w:tcW w:w="845" w:type="dxa"/>
            <w:vAlign w:val="top"/>
          </w:tcPr>
          <w:p>
            <w:pPr>
              <w:pStyle w:val="TableText"/>
              <w:spacing w:before="84" w:line="186" w:lineRule="auto"/>
              <w:ind w:left="121"/>
            </w:pPr>
            <w:r>
              <w:rPr>
                <w:spacing w:val="-1"/>
              </w:rPr>
              <w:t>3,157.50</w:t>
            </w:r>
          </w:p>
        </w:tc>
        <w:tc>
          <w:tcPr>
            <w:tcW w:w="857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4" w:line="186" w:lineRule="auto"/>
              <w:ind w:left="121"/>
            </w:pPr>
            <w:r>
              <w:rPr>
                <w:spacing w:val="-1"/>
              </w:rPr>
              <w:t>3,117.75</w:t>
            </w:r>
          </w:p>
        </w:tc>
      </w:tr>
    </w:tbl>
    <w:p>
      <w:pPr>
        <w:sectPr>
          <w:pgSz w:w="11907" w:h="16839"/>
          <w:pgMar w:top="1425" w:right="1174" w:bottom="0" w:left="1154" w:header="0" w:footer="0" w:gutter="0"/>
          <w:pgNumType w:start="3"/>
          <w:cols w:space="708"/>
        </w:sectPr>
      </w:pPr>
    </w:p>
    <w:tbl>
      <w:tblPr>
        <w:tblStyle w:val="TableNormal1"/>
        <w:tblW w:w="8287" w:type="dxa"/>
        <w:tblInd w:w="65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35"/>
        <w:gridCol w:w="1652"/>
        <w:gridCol w:w="933"/>
        <w:gridCol w:w="890"/>
        <w:gridCol w:w="933"/>
        <w:gridCol w:w="842"/>
        <w:gridCol w:w="845"/>
        <w:gridCol w:w="857"/>
      </w:tblGrid>
      <w:tr>
        <w:tblPrEx>
          <w:tblW w:w="8287" w:type="dxa"/>
          <w:tblInd w:w="65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3"/>
        </w:trPr>
        <w:tc>
          <w:tcPr>
            <w:tcW w:w="1335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51" w:line="186" w:lineRule="auto"/>
              <w:ind w:left="492"/>
            </w:pPr>
            <w:r>
              <w:rPr>
                <w:spacing w:val="-4"/>
              </w:rPr>
              <w:t>1.1.1</w:t>
            </w:r>
          </w:p>
        </w:tc>
        <w:tc>
          <w:tcPr>
            <w:tcW w:w="1652" w:type="dxa"/>
            <w:vAlign w:val="top"/>
          </w:tcPr>
          <w:p>
            <w:pPr>
              <w:spacing w:before="59" w:line="219" w:lineRule="auto"/>
              <w:ind w:left="2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设备购置费用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87" w:line="186" w:lineRule="auto"/>
              <w:ind w:left="122"/>
            </w:pPr>
            <w:r>
              <w:rPr>
                <w:spacing w:val="-3"/>
              </w:rPr>
              <w:t>17,184.28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spacing w:before="87" w:line="186" w:lineRule="auto"/>
              <w:ind w:left="227"/>
            </w:pPr>
            <w:r>
              <w:rPr>
                <w:spacing w:val="-1"/>
              </w:rPr>
              <w:t>42.96%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87" w:line="186" w:lineRule="auto"/>
              <w:ind w:left="205"/>
            </w:pPr>
            <w:r>
              <w:rPr>
                <w:spacing w:val="-2"/>
              </w:rPr>
              <w:t>8,315.98</w:t>
            </w:r>
          </w:p>
        </w:tc>
        <w:tc>
          <w:tcPr>
            <w:tcW w:w="842" w:type="dxa"/>
            <w:vAlign w:val="top"/>
          </w:tcPr>
          <w:p>
            <w:pPr>
              <w:pStyle w:val="TableText"/>
              <w:spacing w:before="87" w:line="186" w:lineRule="auto"/>
              <w:ind w:left="112"/>
            </w:pPr>
            <w:r>
              <w:rPr>
                <w:spacing w:val="-1"/>
              </w:rPr>
              <w:t>2,793.05</w:t>
            </w:r>
          </w:p>
        </w:tc>
        <w:tc>
          <w:tcPr>
            <w:tcW w:w="845" w:type="dxa"/>
            <w:vAlign w:val="top"/>
          </w:tcPr>
          <w:p>
            <w:pPr>
              <w:pStyle w:val="TableText"/>
              <w:spacing w:before="87" w:line="186" w:lineRule="auto"/>
              <w:ind w:left="117"/>
            </w:pPr>
            <w:r>
              <w:rPr>
                <w:spacing w:val="-1"/>
              </w:rPr>
              <w:t>2,957.50</w:t>
            </w:r>
          </w:p>
        </w:tc>
        <w:tc>
          <w:tcPr>
            <w:tcW w:w="857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7" w:line="186" w:lineRule="auto"/>
              <w:ind w:left="121"/>
            </w:pPr>
            <w:r>
              <w:rPr>
                <w:spacing w:val="-1"/>
              </w:rPr>
              <w:t>3,117.75</w:t>
            </w:r>
          </w:p>
        </w:tc>
      </w:tr>
      <w:tr>
        <w:tblPrEx>
          <w:tblW w:w="8287" w:type="dxa"/>
          <w:tblInd w:w="656" w:type="dxa"/>
          <w:tblLayout w:type="fixed"/>
        </w:tblPrEx>
        <w:trPr>
          <w:trHeight w:val="280"/>
        </w:trPr>
        <w:tc>
          <w:tcPr>
            <w:tcW w:w="1335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54" w:line="186" w:lineRule="auto"/>
              <w:ind w:left="492"/>
            </w:pPr>
            <w:r>
              <w:rPr>
                <w:spacing w:val="-4"/>
              </w:rPr>
              <w:t>1.1.2</w:t>
            </w:r>
          </w:p>
        </w:tc>
        <w:tc>
          <w:tcPr>
            <w:tcW w:w="1652" w:type="dxa"/>
            <w:vAlign w:val="top"/>
          </w:tcPr>
          <w:p>
            <w:pPr>
              <w:spacing w:before="59" w:line="216" w:lineRule="auto"/>
              <w:ind w:left="28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建筑工程费用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90" w:line="186" w:lineRule="auto"/>
              <w:ind w:left="122"/>
            </w:pPr>
            <w:r>
              <w:rPr>
                <w:spacing w:val="-3"/>
              </w:rPr>
              <w:t>13,976.63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spacing w:before="89" w:line="186" w:lineRule="auto"/>
              <w:ind w:left="232"/>
            </w:pPr>
            <w:r>
              <w:rPr>
                <w:spacing w:val="-1"/>
              </w:rPr>
              <w:t>34.94%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90" w:line="186" w:lineRule="auto"/>
              <w:ind w:left="126"/>
            </w:pPr>
            <w:r>
              <w:rPr>
                <w:spacing w:val="-3"/>
              </w:rPr>
              <w:t>13,776.63</w:t>
            </w:r>
          </w:p>
        </w:tc>
        <w:tc>
          <w:tcPr>
            <w:tcW w:w="842" w:type="dxa"/>
            <w:vAlign w:val="top"/>
          </w:tcPr>
          <w:p>
            <w:pPr>
              <w:pStyle w:val="TableText"/>
              <w:spacing w:before="164" w:line="86" w:lineRule="exact"/>
              <w:ind w:left="687"/>
            </w:pPr>
            <w:r>
              <w:rPr>
                <w:position w:val="-1"/>
              </w:rPr>
              <w:t>-</w:t>
            </w:r>
          </w:p>
        </w:tc>
        <w:tc>
          <w:tcPr>
            <w:tcW w:w="845" w:type="dxa"/>
            <w:vAlign w:val="top"/>
          </w:tcPr>
          <w:p>
            <w:pPr>
              <w:pStyle w:val="TableText"/>
              <w:spacing w:before="90" w:line="186" w:lineRule="auto"/>
              <w:ind w:left="254"/>
            </w:pPr>
            <w:r>
              <w:rPr>
                <w:spacing w:val="-1"/>
              </w:rPr>
              <w:t>200.00</w:t>
            </w:r>
          </w:p>
        </w:tc>
        <w:tc>
          <w:tcPr>
            <w:tcW w:w="857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64" w:line="86" w:lineRule="exact"/>
              <w:ind w:left="692"/>
            </w:pPr>
            <w:r>
              <w:rPr>
                <w:position w:val="-1"/>
              </w:rPr>
              <w:t>-</w:t>
            </w:r>
          </w:p>
        </w:tc>
      </w:tr>
      <w:tr>
        <w:tblPrEx>
          <w:tblW w:w="8287" w:type="dxa"/>
          <w:tblInd w:w="656" w:type="dxa"/>
          <w:tblLayout w:type="fixed"/>
        </w:tblPrEx>
        <w:trPr>
          <w:trHeight w:val="282"/>
        </w:trPr>
        <w:tc>
          <w:tcPr>
            <w:tcW w:w="1335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59" w:line="186" w:lineRule="auto"/>
              <w:ind w:left="559"/>
            </w:pPr>
            <w:r>
              <w:rPr>
                <w:spacing w:val="-7"/>
              </w:rPr>
              <w:t>1.2</w:t>
            </w:r>
          </w:p>
        </w:tc>
        <w:tc>
          <w:tcPr>
            <w:tcW w:w="1652" w:type="dxa"/>
            <w:vAlign w:val="top"/>
          </w:tcPr>
          <w:p>
            <w:pPr>
              <w:spacing w:before="64" w:line="213" w:lineRule="auto"/>
              <w:ind w:left="1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工程建设其他费用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95" w:line="186" w:lineRule="auto"/>
              <w:ind w:left="211"/>
            </w:pPr>
            <w:r>
              <w:rPr>
                <w:spacing w:val="-3"/>
              </w:rPr>
              <w:t>1,131.03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spacing w:before="95" w:line="186" w:lineRule="auto"/>
              <w:ind w:left="317"/>
            </w:pPr>
            <w:r>
              <w:rPr>
                <w:spacing w:val="-1"/>
              </w:rPr>
              <w:t>2.83%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95" w:line="186" w:lineRule="auto"/>
              <w:ind w:left="215"/>
            </w:pPr>
            <w:r>
              <w:rPr>
                <w:spacing w:val="-3"/>
              </w:rPr>
              <w:t>1,131.03</w:t>
            </w:r>
          </w:p>
        </w:tc>
        <w:tc>
          <w:tcPr>
            <w:tcW w:w="842" w:type="dxa"/>
            <w:vAlign w:val="top"/>
          </w:tcPr>
          <w:p>
            <w:pPr>
              <w:pStyle w:val="TableText"/>
              <w:spacing w:before="170" w:line="85" w:lineRule="exact"/>
              <w:ind w:left="687"/>
            </w:pPr>
            <w:r>
              <w:rPr>
                <w:position w:val="-1"/>
              </w:rPr>
              <w:t>-</w:t>
            </w:r>
          </w:p>
        </w:tc>
        <w:tc>
          <w:tcPr>
            <w:tcW w:w="845" w:type="dxa"/>
            <w:vAlign w:val="top"/>
          </w:tcPr>
          <w:p>
            <w:pPr>
              <w:pStyle w:val="TableText"/>
              <w:spacing w:before="170" w:line="85" w:lineRule="exact"/>
              <w:ind w:left="692"/>
            </w:pPr>
            <w:r>
              <w:rPr>
                <w:position w:val="-1"/>
              </w:rPr>
              <w:t>-</w:t>
            </w:r>
          </w:p>
        </w:tc>
        <w:tc>
          <w:tcPr>
            <w:tcW w:w="857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70" w:line="85" w:lineRule="exact"/>
              <w:ind w:left="692"/>
            </w:pPr>
            <w:r>
              <w:rPr>
                <w:position w:val="-1"/>
              </w:rPr>
              <w:t>-</w:t>
            </w:r>
          </w:p>
        </w:tc>
      </w:tr>
      <w:tr>
        <w:tblPrEx>
          <w:tblW w:w="8287" w:type="dxa"/>
          <w:tblInd w:w="656" w:type="dxa"/>
          <w:tblLayout w:type="fixed"/>
        </w:tblPrEx>
        <w:trPr>
          <w:trHeight w:val="282"/>
        </w:trPr>
        <w:tc>
          <w:tcPr>
            <w:tcW w:w="1335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60" w:line="186" w:lineRule="auto"/>
              <w:ind w:left="559"/>
            </w:pPr>
            <w:r>
              <w:rPr>
                <w:spacing w:val="-7"/>
              </w:rPr>
              <w:t>1.3</w:t>
            </w:r>
          </w:p>
        </w:tc>
        <w:tc>
          <w:tcPr>
            <w:tcW w:w="1652" w:type="dxa"/>
            <w:vAlign w:val="top"/>
          </w:tcPr>
          <w:p>
            <w:pPr>
              <w:spacing w:before="68" w:line="209" w:lineRule="auto"/>
              <w:ind w:left="5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预备费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98" w:line="186" w:lineRule="auto"/>
              <w:ind w:left="193"/>
            </w:pPr>
            <w:r>
              <w:rPr>
                <w:spacing w:val="-1"/>
              </w:rPr>
              <w:t>4,271.36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spacing w:before="98" w:line="186" w:lineRule="auto"/>
              <w:ind w:left="245"/>
            </w:pPr>
            <w:r>
              <w:rPr>
                <w:spacing w:val="-4"/>
              </w:rPr>
              <w:t>10.68%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98" w:line="186" w:lineRule="auto"/>
              <w:ind w:left="215"/>
            </w:pPr>
            <w:r>
              <w:rPr>
                <w:spacing w:val="-3"/>
              </w:rPr>
              <w:t>1,674.94</w:t>
            </w:r>
          </w:p>
        </w:tc>
        <w:tc>
          <w:tcPr>
            <w:tcW w:w="842" w:type="dxa"/>
            <w:vAlign w:val="top"/>
          </w:tcPr>
          <w:p>
            <w:pPr>
              <w:pStyle w:val="TableText"/>
              <w:spacing w:before="98" w:line="186" w:lineRule="auto"/>
              <w:ind w:left="251"/>
            </w:pPr>
            <w:r>
              <w:rPr>
                <w:spacing w:val="-1"/>
              </w:rPr>
              <w:t>777.22</w:t>
            </w:r>
          </w:p>
        </w:tc>
        <w:tc>
          <w:tcPr>
            <w:tcW w:w="845" w:type="dxa"/>
            <w:vAlign w:val="top"/>
          </w:tcPr>
          <w:p>
            <w:pPr>
              <w:pStyle w:val="TableText"/>
              <w:spacing w:before="98" w:line="186" w:lineRule="auto"/>
              <w:ind w:left="261"/>
            </w:pPr>
            <w:r>
              <w:rPr>
                <w:spacing w:val="-2"/>
              </w:rPr>
              <w:t>872.98</w:t>
            </w:r>
          </w:p>
        </w:tc>
        <w:tc>
          <w:tcPr>
            <w:tcW w:w="857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98" w:line="186" w:lineRule="auto"/>
              <w:ind w:left="258"/>
            </w:pPr>
            <w:r>
              <w:rPr>
                <w:spacing w:val="-1"/>
              </w:rPr>
              <w:t>946.22</w:t>
            </w:r>
          </w:p>
        </w:tc>
      </w:tr>
      <w:tr>
        <w:tblPrEx>
          <w:tblW w:w="8287" w:type="dxa"/>
          <w:tblInd w:w="656" w:type="dxa"/>
          <w:tblLayout w:type="fixed"/>
        </w:tblPrEx>
        <w:trPr>
          <w:trHeight w:val="304"/>
        </w:trPr>
        <w:tc>
          <w:tcPr>
            <w:tcW w:w="1335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63" w:line="186" w:lineRule="auto"/>
              <w:ind w:left="609"/>
            </w:pPr>
            <w:r>
              <w:t>2</w:t>
            </w:r>
          </w:p>
        </w:tc>
        <w:tc>
          <w:tcPr>
            <w:tcW w:w="1652" w:type="dxa"/>
            <w:tcBorders>
              <w:bottom w:val="single" w:sz="10" w:space="0" w:color="000000"/>
            </w:tcBorders>
            <w:vAlign w:val="top"/>
          </w:tcPr>
          <w:p>
            <w:pPr>
              <w:spacing w:before="71" w:line="220" w:lineRule="auto"/>
              <w:ind w:left="28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铺底流动资金</w:t>
            </w:r>
          </w:p>
        </w:tc>
        <w:tc>
          <w:tcPr>
            <w:tcW w:w="933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99" w:line="186" w:lineRule="auto"/>
              <w:ind w:left="197"/>
            </w:pPr>
            <w:r>
              <w:rPr>
                <w:spacing w:val="-1"/>
              </w:rPr>
              <w:t>3,436.70</w:t>
            </w:r>
          </w:p>
        </w:tc>
        <w:tc>
          <w:tcPr>
            <w:tcW w:w="890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99" w:line="186" w:lineRule="auto"/>
              <w:ind w:left="324"/>
            </w:pPr>
            <w:r>
              <w:rPr>
                <w:spacing w:val="-2"/>
              </w:rPr>
              <w:t>8.59%</w:t>
            </w:r>
          </w:p>
        </w:tc>
        <w:tc>
          <w:tcPr>
            <w:tcW w:w="933" w:type="dxa"/>
            <w:tcBorders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2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99" w:line="186" w:lineRule="auto"/>
              <w:ind w:left="129"/>
            </w:pPr>
            <w:r>
              <w:rPr>
                <w:spacing w:val="-3"/>
              </w:rPr>
              <w:t>1,138.78</w:t>
            </w:r>
          </w:p>
        </w:tc>
        <w:tc>
          <w:tcPr>
            <w:tcW w:w="845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99" w:line="186" w:lineRule="auto"/>
              <w:ind w:left="257"/>
            </w:pPr>
            <w:r>
              <w:rPr>
                <w:spacing w:val="-1"/>
              </w:rPr>
              <w:t>747.95</w:t>
            </w:r>
          </w:p>
        </w:tc>
        <w:tc>
          <w:tcPr>
            <w:tcW w:w="857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99" w:line="186" w:lineRule="auto"/>
              <w:ind w:left="135"/>
            </w:pPr>
            <w:r>
              <w:rPr>
                <w:spacing w:val="-3"/>
              </w:rPr>
              <w:t>1,549.97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1907" w:h="16839"/>
          <w:pgMar w:top="1425" w:right="1174" w:bottom="0" w:left="1154" w:header="0" w:footer="0" w:gutter="0"/>
          <w:pgNumType w:start="4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2"/>
        <w:tblW w:w="8287" w:type="dxa"/>
        <w:tblInd w:w="310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1335"/>
        <w:gridCol w:w="1652"/>
        <w:gridCol w:w="933"/>
        <w:gridCol w:w="890"/>
        <w:gridCol w:w="933"/>
        <w:gridCol w:w="842"/>
        <w:gridCol w:w="845"/>
        <w:gridCol w:w="857"/>
      </w:tblGrid>
      <w:tr>
        <w:tblPrEx>
          <w:tblW w:w="8287" w:type="dxa"/>
          <w:tblInd w:w="310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298"/>
        </w:trPr>
        <w:tc>
          <w:tcPr>
            <w:tcW w:w="1335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tcBorders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57" w:line="221" w:lineRule="auto"/>
              <w:ind w:left="6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合计</w:t>
            </w:r>
          </w:p>
        </w:tc>
        <w:tc>
          <w:tcPr>
            <w:tcW w:w="933" w:type="dxa"/>
            <w:tcBorders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93" w:line="195" w:lineRule="auto"/>
              <w:ind w:left="106"/>
            </w:pPr>
            <w:r>
              <w:rPr>
                <w:b/>
                <w:bCs/>
                <w:spacing w:val="-1"/>
              </w:rPr>
              <w:t>40,000.00</w:t>
            </w:r>
          </w:p>
        </w:tc>
        <w:tc>
          <w:tcPr>
            <w:tcW w:w="890" w:type="dxa"/>
            <w:tcBorders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92" w:line="226" w:lineRule="auto"/>
              <w:ind w:left="116"/>
            </w:pPr>
            <w:r>
              <w:rPr>
                <w:b/>
                <w:bCs/>
                <w:spacing w:val="-2"/>
              </w:rPr>
              <w:t>100.00%</w:t>
            </w:r>
          </w:p>
        </w:tc>
        <w:tc>
          <w:tcPr>
            <w:tcW w:w="933" w:type="dxa"/>
            <w:tcBorders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93" w:line="195" w:lineRule="auto"/>
              <w:ind w:left="109"/>
            </w:pPr>
            <w:r>
              <w:rPr>
                <w:b/>
                <w:bCs/>
                <w:spacing w:val="-1"/>
              </w:rPr>
              <w:t>24,898.59</w:t>
            </w:r>
          </w:p>
        </w:tc>
        <w:tc>
          <w:tcPr>
            <w:tcW w:w="842" w:type="dxa"/>
            <w:tcBorders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93" w:line="195" w:lineRule="auto"/>
              <w:ind w:left="113"/>
            </w:pPr>
            <w:r>
              <w:rPr>
                <w:b/>
                <w:bCs/>
                <w:spacing w:val="-1"/>
              </w:rPr>
              <w:t>4,709.04</w:t>
            </w:r>
          </w:p>
        </w:tc>
        <w:tc>
          <w:tcPr>
            <w:tcW w:w="845" w:type="dxa"/>
            <w:tcBorders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93" w:line="195" w:lineRule="auto"/>
              <w:ind w:left="118"/>
            </w:pPr>
            <w:r>
              <w:rPr>
                <w:b/>
                <w:bCs/>
                <w:spacing w:val="-1"/>
              </w:rPr>
              <w:t>4,778.42</w:t>
            </w:r>
          </w:p>
        </w:tc>
        <w:tc>
          <w:tcPr>
            <w:tcW w:w="857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93" w:line="195" w:lineRule="auto"/>
              <w:ind w:left="120"/>
            </w:pPr>
            <w:r>
              <w:rPr>
                <w:b/>
                <w:bCs/>
                <w:spacing w:val="-1"/>
              </w:rPr>
              <w:t>5,613.95</w:t>
            </w:r>
          </w:p>
        </w:tc>
      </w:tr>
    </w:tbl>
    <w:p>
      <w:pPr>
        <w:spacing w:line="368" w:lineRule="auto"/>
        <w:rPr>
          <w:rFonts w:ascii="Arial"/>
          <w:sz w:val="21"/>
        </w:rPr>
      </w:pPr>
    </w:p>
    <w:p>
      <w:pPr>
        <w:pStyle w:val="BodyText"/>
        <w:spacing w:before="78" w:line="468" w:lineRule="exact"/>
        <w:ind w:left="788"/>
      </w:pPr>
      <w:r>
        <w:rPr>
          <w:spacing w:val="-1"/>
          <w:position w:val="17"/>
        </w:rPr>
        <w:t>光模块项目预计总投资不超过</w:t>
      </w:r>
      <w:r>
        <w:rPr>
          <w:spacing w:val="-47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7"/>
        </w:rPr>
        <w:t xml:space="preserve">3.2 </w:t>
      </w:r>
      <w:r>
        <w:rPr>
          <w:spacing w:val="-1"/>
          <w:position w:val="17"/>
        </w:rPr>
        <w:t>亿元，项目建设期为</w:t>
      </w:r>
      <w:r>
        <w:rPr>
          <w:spacing w:val="-48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7"/>
        </w:rPr>
        <w:t xml:space="preserve">5 </w:t>
      </w:r>
      <w:r>
        <w:rPr>
          <w:spacing w:val="-1"/>
          <w:position w:val="17"/>
        </w:rPr>
        <w:t>年，项目投资明</w:t>
      </w:r>
    </w:p>
    <w:p>
      <w:pPr>
        <w:pStyle w:val="BodyText"/>
        <w:spacing w:line="220" w:lineRule="auto"/>
        <w:ind w:left="307"/>
      </w:pPr>
      <w:r>
        <w:rPr>
          <w:spacing w:val="-13"/>
        </w:rPr>
        <w:t>细如下：</w:t>
      </w:r>
    </w:p>
    <w:p>
      <w:pPr>
        <w:pStyle w:val="BodyText"/>
        <w:spacing w:before="175" w:line="214" w:lineRule="auto"/>
        <w:ind w:left="7569"/>
        <w:rPr>
          <w:sz w:val="21"/>
          <w:szCs w:val="21"/>
        </w:rPr>
      </w:pPr>
      <w:r>
        <w:rPr>
          <w:spacing w:val="-23"/>
          <w:sz w:val="21"/>
          <w:szCs w:val="21"/>
        </w:rPr>
        <w:t>单位：</w:t>
      </w:r>
      <w:r>
        <w:rPr>
          <w:spacing w:val="8"/>
          <w:sz w:val="21"/>
          <w:szCs w:val="21"/>
        </w:rPr>
        <w:t xml:space="preserve"> </w:t>
      </w:r>
      <w:r>
        <w:rPr>
          <w:spacing w:val="-23"/>
          <w:sz w:val="21"/>
          <w:szCs w:val="21"/>
        </w:rPr>
        <w:t>万元</w:t>
      </w:r>
    </w:p>
    <w:tbl>
      <w:tblPr>
        <w:tblStyle w:val="TableNormal2"/>
        <w:tblW w:w="8587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89"/>
        <w:gridCol w:w="1652"/>
        <w:gridCol w:w="933"/>
        <w:gridCol w:w="890"/>
        <w:gridCol w:w="934"/>
        <w:gridCol w:w="842"/>
        <w:gridCol w:w="845"/>
        <w:gridCol w:w="843"/>
        <w:gridCol w:w="859"/>
      </w:tblGrid>
      <w:tr>
        <w:tblPrEx>
          <w:tblW w:w="8587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6"/>
        </w:trPr>
        <w:tc>
          <w:tcPr>
            <w:tcW w:w="789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spacing w:before="29" w:line="221" w:lineRule="auto"/>
              <w:ind w:left="2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1652" w:type="dxa"/>
            <w:tcBorders>
              <w:top w:val="single" w:sz="10" w:space="0" w:color="000000"/>
            </w:tcBorders>
            <w:vAlign w:val="top"/>
          </w:tcPr>
          <w:p>
            <w:pPr>
              <w:spacing w:before="53" w:line="220" w:lineRule="auto"/>
              <w:ind w:left="6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</w:t>
            </w:r>
          </w:p>
        </w:tc>
        <w:tc>
          <w:tcPr>
            <w:tcW w:w="933" w:type="dxa"/>
            <w:tcBorders>
              <w:top w:val="single" w:sz="10" w:space="0" w:color="000000"/>
            </w:tcBorders>
            <w:vAlign w:val="top"/>
          </w:tcPr>
          <w:p>
            <w:pPr>
              <w:spacing w:before="52" w:line="220" w:lineRule="auto"/>
              <w:ind w:left="28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金额</w:t>
            </w:r>
          </w:p>
        </w:tc>
        <w:tc>
          <w:tcPr>
            <w:tcW w:w="890" w:type="dxa"/>
            <w:tcBorders>
              <w:top w:val="single" w:sz="10" w:space="0" w:color="000000"/>
            </w:tcBorders>
            <w:vAlign w:val="top"/>
          </w:tcPr>
          <w:p>
            <w:pPr>
              <w:spacing w:before="53" w:line="221" w:lineRule="auto"/>
              <w:ind w:left="2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占比</w:t>
            </w:r>
          </w:p>
        </w:tc>
        <w:tc>
          <w:tcPr>
            <w:tcW w:w="934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2" w:line="220" w:lineRule="auto"/>
              <w:ind w:left="175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-1"/>
              </w:rPr>
              <w:t>2025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</w:p>
        </w:tc>
        <w:tc>
          <w:tcPr>
            <w:tcW w:w="842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2" w:line="220" w:lineRule="auto"/>
              <w:ind w:left="132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-1"/>
              </w:rPr>
              <w:t>2026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</w:p>
        </w:tc>
        <w:tc>
          <w:tcPr>
            <w:tcW w:w="845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2" w:line="220" w:lineRule="auto"/>
              <w:ind w:left="137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-1"/>
              </w:rPr>
              <w:t>2027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</w:p>
        </w:tc>
        <w:tc>
          <w:tcPr>
            <w:tcW w:w="843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2" w:line="220" w:lineRule="auto"/>
              <w:ind w:left="137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-1"/>
              </w:rPr>
              <w:t>2028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</w:p>
        </w:tc>
        <w:tc>
          <w:tcPr>
            <w:tcW w:w="859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52" w:line="220" w:lineRule="auto"/>
              <w:ind w:left="142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-1"/>
              </w:rPr>
              <w:t>2029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</w:p>
        </w:tc>
      </w:tr>
      <w:tr>
        <w:tblPrEx>
          <w:tblW w:w="8587" w:type="dxa"/>
          <w:tblInd w:w="12" w:type="dxa"/>
          <w:tblLayout w:type="fixed"/>
        </w:tblPrEx>
        <w:trPr>
          <w:trHeight w:val="282"/>
        </w:trPr>
        <w:tc>
          <w:tcPr>
            <w:tcW w:w="78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44" w:line="186" w:lineRule="auto"/>
              <w:ind w:left="351"/>
            </w:pPr>
            <w:r>
              <w:t>1</w:t>
            </w:r>
          </w:p>
        </w:tc>
        <w:tc>
          <w:tcPr>
            <w:tcW w:w="1652" w:type="dxa"/>
            <w:vAlign w:val="top"/>
          </w:tcPr>
          <w:p>
            <w:pPr>
              <w:spacing w:before="52" w:line="220" w:lineRule="auto"/>
              <w:ind w:left="4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建设投资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80" w:line="186" w:lineRule="auto"/>
              <w:ind w:left="104"/>
            </w:pPr>
            <w:r>
              <w:rPr>
                <w:spacing w:val="-1"/>
              </w:rPr>
              <w:t>28,702.65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spacing w:before="80" w:line="186" w:lineRule="auto"/>
              <w:ind w:left="234"/>
            </w:pPr>
            <w:r>
              <w:rPr>
                <w:spacing w:val="-2"/>
              </w:rPr>
              <w:t>89.70%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80" w:line="186" w:lineRule="auto"/>
              <w:ind w:left="124"/>
            </w:pPr>
            <w:r>
              <w:rPr>
                <w:spacing w:val="-3"/>
              </w:rPr>
              <w:t>15,432.45</w:t>
            </w:r>
          </w:p>
        </w:tc>
        <w:tc>
          <w:tcPr>
            <w:tcW w:w="842" w:type="dxa"/>
            <w:vAlign w:val="top"/>
          </w:tcPr>
          <w:p>
            <w:pPr>
              <w:pStyle w:val="TableText"/>
              <w:spacing w:before="80" w:line="186" w:lineRule="auto"/>
              <w:ind w:left="110"/>
            </w:pPr>
            <w:r>
              <w:rPr>
                <w:spacing w:val="-1"/>
              </w:rPr>
              <w:t>2,567.25</w:t>
            </w:r>
          </w:p>
        </w:tc>
        <w:tc>
          <w:tcPr>
            <w:tcW w:w="845" w:type="dxa"/>
            <w:vAlign w:val="top"/>
          </w:tcPr>
          <w:p>
            <w:pPr>
              <w:pStyle w:val="TableText"/>
              <w:spacing w:before="80" w:line="186" w:lineRule="auto"/>
              <w:ind w:left="118"/>
            </w:pPr>
            <w:r>
              <w:rPr>
                <w:spacing w:val="-1"/>
              </w:rPr>
              <w:t>3,748.11</w:t>
            </w:r>
          </w:p>
        </w:tc>
        <w:tc>
          <w:tcPr>
            <w:tcW w:w="843" w:type="dxa"/>
            <w:vAlign w:val="top"/>
          </w:tcPr>
          <w:p>
            <w:pPr>
              <w:pStyle w:val="TableText"/>
              <w:spacing w:before="80" w:line="186" w:lineRule="auto"/>
              <w:ind w:left="119"/>
            </w:pPr>
            <w:r>
              <w:rPr>
                <w:spacing w:val="-1"/>
              </w:rPr>
              <w:t>5,066.25</w:t>
            </w:r>
          </w:p>
        </w:tc>
        <w:tc>
          <w:tcPr>
            <w:tcW w:w="859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0" w:line="186" w:lineRule="auto"/>
              <w:ind w:left="137"/>
            </w:pPr>
            <w:r>
              <w:rPr>
                <w:spacing w:val="-3"/>
              </w:rPr>
              <w:t>1,888.59</w:t>
            </w:r>
          </w:p>
        </w:tc>
      </w:tr>
      <w:tr>
        <w:tblPrEx>
          <w:tblW w:w="8587" w:type="dxa"/>
          <w:tblInd w:w="12" w:type="dxa"/>
          <w:tblLayout w:type="fixed"/>
        </w:tblPrEx>
        <w:trPr>
          <w:trHeight w:val="283"/>
        </w:trPr>
        <w:tc>
          <w:tcPr>
            <w:tcW w:w="78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48" w:line="186" w:lineRule="auto"/>
              <w:ind w:left="284"/>
            </w:pPr>
            <w:r>
              <w:rPr>
                <w:spacing w:val="-7"/>
              </w:rPr>
              <w:t>1.1</w:t>
            </w:r>
          </w:p>
        </w:tc>
        <w:tc>
          <w:tcPr>
            <w:tcW w:w="1652" w:type="dxa"/>
            <w:vAlign w:val="top"/>
          </w:tcPr>
          <w:p>
            <w:pPr>
              <w:spacing w:before="56" w:line="220" w:lineRule="auto"/>
              <w:ind w:left="4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工程费用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84" w:line="186" w:lineRule="auto"/>
              <w:ind w:left="104"/>
            </w:pPr>
            <w:r>
              <w:rPr>
                <w:spacing w:val="-1"/>
              </w:rPr>
              <w:t>26,664.30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spacing w:before="84" w:line="186" w:lineRule="auto"/>
              <w:ind w:left="234"/>
            </w:pPr>
            <w:r>
              <w:rPr>
                <w:spacing w:val="-2"/>
              </w:rPr>
              <w:t>83.33%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84" w:line="186" w:lineRule="auto"/>
              <w:ind w:left="124"/>
            </w:pPr>
            <w:r>
              <w:rPr>
                <w:spacing w:val="-3"/>
              </w:rPr>
              <w:t>14,026.01</w:t>
            </w:r>
          </w:p>
        </w:tc>
        <w:tc>
          <w:tcPr>
            <w:tcW w:w="842" w:type="dxa"/>
            <w:vAlign w:val="top"/>
          </w:tcPr>
          <w:p>
            <w:pPr>
              <w:pStyle w:val="TableText"/>
              <w:spacing w:before="84" w:line="186" w:lineRule="auto"/>
              <w:ind w:left="110"/>
            </w:pPr>
            <w:r>
              <w:rPr>
                <w:spacing w:val="-1"/>
              </w:rPr>
              <w:t>2,445.00</w:t>
            </w:r>
          </w:p>
        </w:tc>
        <w:tc>
          <w:tcPr>
            <w:tcW w:w="845" w:type="dxa"/>
            <w:vAlign w:val="top"/>
          </w:tcPr>
          <w:p>
            <w:pPr>
              <w:pStyle w:val="TableText"/>
              <w:spacing w:before="84" w:line="186" w:lineRule="auto"/>
              <w:ind w:left="118"/>
            </w:pPr>
            <w:r>
              <w:rPr>
                <w:spacing w:val="-1"/>
              </w:rPr>
              <w:t>3,569.63</w:t>
            </w:r>
          </w:p>
        </w:tc>
        <w:tc>
          <w:tcPr>
            <w:tcW w:w="843" w:type="dxa"/>
            <w:vAlign w:val="top"/>
          </w:tcPr>
          <w:p>
            <w:pPr>
              <w:pStyle w:val="TableText"/>
              <w:spacing w:before="84" w:line="186" w:lineRule="auto"/>
              <w:ind w:left="114"/>
            </w:pPr>
            <w:r>
              <w:rPr>
                <w:spacing w:val="-1"/>
              </w:rPr>
              <w:t>4,825.00</w:t>
            </w:r>
          </w:p>
        </w:tc>
        <w:tc>
          <w:tcPr>
            <w:tcW w:w="859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4" w:line="186" w:lineRule="auto"/>
              <w:ind w:left="137"/>
            </w:pPr>
            <w:r>
              <w:rPr>
                <w:spacing w:val="-3"/>
              </w:rPr>
              <w:t>1,798.66</w:t>
            </w:r>
          </w:p>
        </w:tc>
      </w:tr>
      <w:tr>
        <w:tblPrEx>
          <w:tblW w:w="8587" w:type="dxa"/>
          <w:tblInd w:w="12" w:type="dxa"/>
          <w:tblLayout w:type="fixed"/>
        </w:tblPrEx>
        <w:trPr>
          <w:trHeight w:val="283"/>
        </w:trPr>
        <w:tc>
          <w:tcPr>
            <w:tcW w:w="78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50" w:line="186" w:lineRule="auto"/>
              <w:ind w:left="216"/>
            </w:pPr>
            <w:r>
              <w:rPr>
                <w:spacing w:val="-4"/>
              </w:rPr>
              <w:t>1.1.1</w:t>
            </w:r>
          </w:p>
        </w:tc>
        <w:tc>
          <w:tcPr>
            <w:tcW w:w="1652" w:type="dxa"/>
            <w:vAlign w:val="top"/>
          </w:tcPr>
          <w:p>
            <w:pPr>
              <w:spacing w:before="57" w:line="220" w:lineRule="auto"/>
              <w:ind w:left="1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设备及软件购置费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86" w:line="186" w:lineRule="auto"/>
              <w:ind w:left="121"/>
            </w:pPr>
            <w:r>
              <w:rPr>
                <w:spacing w:val="-3"/>
              </w:rPr>
              <w:t>19,497.81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spacing w:before="86" w:line="186" w:lineRule="auto"/>
              <w:ind w:left="231"/>
            </w:pPr>
            <w:r>
              <w:rPr>
                <w:spacing w:val="-1"/>
              </w:rPr>
              <w:t>60.93%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86" w:line="186" w:lineRule="auto"/>
              <w:ind w:left="200"/>
            </w:pPr>
            <w:r>
              <w:rPr>
                <w:spacing w:val="-1"/>
              </w:rPr>
              <w:t>6,859.52</w:t>
            </w:r>
          </w:p>
        </w:tc>
        <w:tc>
          <w:tcPr>
            <w:tcW w:w="842" w:type="dxa"/>
            <w:vAlign w:val="top"/>
          </w:tcPr>
          <w:p>
            <w:pPr>
              <w:pStyle w:val="TableText"/>
              <w:spacing w:before="86" w:line="186" w:lineRule="auto"/>
              <w:ind w:left="110"/>
            </w:pPr>
            <w:r>
              <w:rPr>
                <w:spacing w:val="-1"/>
              </w:rPr>
              <w:t>2,445.00</w:t>
            </w:r>
          </w:p>
        </w:tc>
        <w:tc>
          <w:tcPr>
            <w:tcW w:w="845" w:type="dxa"/>
            <w:vAlign w:val="top"/>
          </w:tcPr>
          <w:p>
            <w:pPr>
              <w:pStyle w:val="TableText"/>
              <w:spacing w:before="86" w:line="186" w:lineRule="auto"/>
              <w:ind w:left="118"/>
            </w:pPr>
            <w:r>
              <w:rPr>
                <w:spacing w:val="-1"/>
              </w:rPr>
              <w:t>3,569.63</w:t>
            </w:r>
          </w:p>
        </w:tc>
        <w:tc>
          <w:tcPr>
            <w:tcW w:w="843" w:type="dxa"/>
            <w:vAlign w:val="top"/>
          </w:tcPr>
          <w:p>
            <w:pPr>
              <w:pStyle w:val="TableText"/>
              <w:spacing w:before="86" w:line="186" w:lineRule="auto"/>
              <w:ind w:left="114"/>
            </w:pPr>
            <w:r>
              <w:rPr>
                <w:spacing w:val="-1"/>
              </w:rPr>
              <w:t>4,825.00</w:t>
            </w:r>
          </w:p>
        </w:tc>
        <w:tc>
          <w:tcPr>
            <w:tcW w:w="859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6" w:line="186" w:lineRule="auto"/>
              <w:ind w:left="137"/>
            </w:pPr>
            <w:r>
              <w:rPr>
                <w:spacing w:val="-3"/>
              </w:rPr>
              <w:t>1,798.66</w:t>
            </w:r>
          </w:p>
        </w:tc>
      </w:tr>
      <w:tr>
        <w:tblPrEx>
          <w:tblW w:w="8587" w:type="dxa"/>
          <w:tblInd w:w="12" w:type="dxa"/>
          <w:tblLayout w:type="fixed"/>
        </w:tblPrEx>
        <w:trPr>
          <w:trHeight w:val="280"/>
        </w:trPr>
        <w:tc>
          <w:tcPr>
            <w:tcW w:w="78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53" w:line="186" w:lineRule="auto"/>
              <w:ind w:left="216"/>
            </w:pPr>
            <w:r>
              <w:rPr>
                <w:spacing w:val="-4"/>
              </w:rPr>
              <w:t>1.1.2</w:t>
            </w:r>
          </w:p>
        </w:tc>
        <w:tc>
          <w:tcPr>
            <w:tcW w:w="1652" w:type="dxa"/>
            <w:vAlign w:val="top"/>
          </w:tcPr>
          <w:p>
            <w:pPr>
              <w:spacing w:before="58" w:line="217" w:lineRule="auto"/>
              <w:ind w:left="2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建安工程费用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89" w:line="186" w:lineRule="auto"/>
              <w:ind w:left="195"/>
            </w:pPr>
            <w:r>
              <w:rPr>
                <w:spacing w:val="-1"/>
              </w:rPr>
              <w:t>7,166.49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spacing w:before="88" w:line="186" w:lineRule="auto"/>
              <w:ind w:left="227"/>
            </w:pPr>
            <w:r>
              <w:rPr>
                <w:spacing w:val="-1"/>
              </w:rPr>
              <w:t>22.40%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89" w:line="186" w:lineRule="auto"/>
              <w:ind w:left="199"/>
            </w:pPr>
            <w:r>
              <w:rPr>
                <w:spacing w:val="-1"/>
              </w:rPr>
              <w:t>7,166.49</w:t>
            </w:r>
          </w:p>
        </w:tc>
        <w:tc>
          <w:tcPr>
            <w:tcW w:w="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tcBorders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87" w:type="dxa"/>
          <w:tblInd w:w="12" w:type="dxa"/>
          <w:tblLayout w:type="fixed"/>
        </w:tblPrEx>
        <w:trPr>
          <w:trHeight w:val="283"/>
        </w:trPr>
        <w:tc>
          <w:tcPr>
            <w:tcW w:w="78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58" w:line="186" w:lineRule="auto"/>
              <w:ind w:left="284"/>
            </w:pPr>
            <w:r>
              <w:rPr>
                <w:spacing w:val="-7"/>
              </w:rPr>
              <w:t>1.2</w:t>
            </w:r>
          </w:p>
        </w:tc>
        <w:tc>
          <w:tcPr>
            <w:tcW w:w="1652" w:type="dxa"/>
            <w:vAlign w:val="top"/>
          </w:tcPr>
          <w:p>
            <w:pPr>
              <w:spacing w:before="63" w:line="215" w:lineRule="auto"/>
              <w:ind w:left="1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工程建设其他费用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94" w:line="186" w:lineRule="auto"/>
              <w:ind w:left="333"/>
            </w:pPr>
            <w:r>
              <w:rPr>
                <w:spacing w:val="-2"/>
              </w:rPr>
              <w:t>671.56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spacing w:before="94" w:line="186" w:lineRule="auto"/>
              <w:ind w:left="316"/>
            </w:pPr>
            <w:r>
              <w:rPr>
                <w:spacing w:val="-1"/>
              </w:rPr>
              <w:t>2.10%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94" w:line="186" w:lineRule="auto"/>
              <w:ind w:left="337"/>
            </w:pPr>
            <w:r>
              <w:rPr>
                <w:spacing w:val="-2"/>
              </w:rPr>
              <w:t>671.56</w:t>
            </w:r>
          </w:p>
        </w:tc>
        <w:tc>
          <w:tcPr>
            <w:tcW w:w="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tcBorders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87" w:type="dxa"/>
          <w:tblInd w:w="12" w:type="dxa"/>
          <w:tblLayout w:type="fixed"/>
        </w:tblPrEx>
        <w:trPr>
          <w:trHeight w:val="283"/>
        </w:trPr>
        <w:tc>
          <w:tcPr>
            <w:tcW w:w="78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58" w:line="186" w:lineRule="auto"/>
              <w:ind w:left="284"/>
            </w:pPr>
            <w:r>
              <w:rPr>
                <w:spacing w:val="-7"/>
              </w:rPr>
              <w:t>1.3</w:t>
            </w:r>
          </w:p>
        </w:tc>
        <w:tc>
          <w:tcPr>
            <w:tcW w:w="1652" w:type="dxa"/>
            <w:vAlign w:val="top"/>
          </w:tcPr>
          <w:p>
            <w:pPr>
              <w:spacing w:before="66" w:line="212" w:lineRule="auto"/>
              <w:ind w:left="3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基本预备费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97" w:line="186" w:lineRule="auto"/>
              <w:ind w:left="210"/>
            </w:pPr>
            <w:r>
              <w:rPr>
                <w:spacing w:val="-3"/>
              </w:rPr>
              <w:t>1,366.79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spacing w:before="97" w:line="186" w:lineRule="auto"/>
              <w:ind w:left="315"/>
            </w:pPr>
            <w:r>
              <w:rPr>
                <w:spacing w:val="-1"/>
              </w:rPr>
              <w:t>4.27%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97" w:line="186" w:lineRule="auto"/>
              <w:ind w:left="336"/>
            </w:pPr>
            <w:r>
              <w:rPr>
                <w:spacing w:val="-1"/>
              </w:rPr>
              <w:t>734.88</w:t>
            </w:r>
          </w:p>
        </w:tc>
        <w:tc>
          <w:tcPr>
            <w:tcW w:w="842" w:type="dxa"/>
            <w:vAlign w:val="top"/>
          </w:tcPr>
          <w:p>
            <w:pPr>
              <w:pStyle w:val="TableText"/>
              <w:spacing w:before="97" w:line="186" w:lineRule="auto"/>
              <w:ind w:left="264"/>
            </w:pPr>
            <w:r>
              <w:rPr>
                <w:spacing w:val="-4"/>
              </w:rPr>
              <w:t>122.25</w:t>
            </w:r>
          </w:p>
        </w:tc>
        <w:tc>
          <w:tcPr>
            <w:tcW w:w="845" w:type="dxa"/>
            <w:vAlign w:val="top"/>
          </w:tcPr>
          <w:p>
            <w:pPr>
              <w:pStyle w:val="TableText"/>
              <w:spacing w:before="97" w:line="186" w:lineRule="auto"/>
              <w:ind w:left="269"/>
            </w:pPr>
            <w:r>
              <w:rPr>
                <w:spacing w:val="-4"/>
              </w:rPr>
              <w:t>178.48</w:t>
            </w:r>
          </w:p>
        </w:tc>
        <w:tc>
          <w:tcPr>
            <w:tcW w:w="843" w:type="dxa"/>
            <w:vAlign w:val="top"/>
          </w:tcPr>
          <w:p>
            <w:pPr>
              <w:pStyle w:val="TableText"/>
              <w:spacing w:before="97" w:line="186" w:lineRule="auto"/>
              <w:ind w:left="251"/>
            </w:pPr>
            <w:r>
              <w:rPr>
                <w:spacing w:val="-1"/>
              </w:rPr>
              <w:t>241.25</w:t>
            </w:r>
          </w:p>
        </w:tc>
        <w:tc>
          <w:tcPr>
            <w:tcW w:w="859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97" w:line="186" w:lineRule="auto"/>
              <w:ind w:left="352"/>
            </w:pPr>
            <w:r>
              <w:rPr>
                <w:spacing w:val="-2"/>
              </w:rPr>
              <w:t>89.93</w:t>
            </w:r>
          </w:p>
        </w:tc>
      </w:tr>
      <w:tr>
        <w:tblPrEx>
          <w:tblW w:w="8587" w:type="dxa"/>
          <w:tblInd w:w="12" w:type="dxa"/>
          <w:tblLayout w:type="fixed"/>
        </w:tblPrEx>
        <w:trPr>
          <w:trHeight w:val="283"/>
        </w:trPr>
        <w:tc>
          <w:tcPr>
            <w:tcW w:w="78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61" w:line="186" w:lineRule="auto"/>
              <w:ind w:left="333"/>
            </w:pPr>
            <w:r>
              <w:t>2</w:t>
            </w:r>
          </w:p>
        </w:tc>
        <w:tc>
          <w:tcPr>
            <w:tcW w:w="1652" w:type="dxa"/>
            <w:vAlign w:val="top"/>
          </w:tcPr>
          <w:p>
            <w:pPr>
              <w:spacing w:before="69" w:line="209" w:lineRule="auto"/>
              <w:ind w:left="28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铺底流动资金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97" w:line="186" w:lineRule="auto"/>
              <w:ind w:left="196"/>
            </w:pPr>
            <w:r>
              <w:rPr>
                <w:spacing w:val="-1"/>
              </w:rPr>
              <w:t>3,297.35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spacing w:before="97" w:line="186" w:lineRule="auto"/>
              <w:ind w:left="244"/>
            </w:pPr>
            <w:r>
              <w:rPr>
                <w:spacing w:val="-4"/>
              </w:rPr>
              <w:t>10.30%</w:t>
            </w:r>
          </w:p>
        </w:tc>
        <w:tc>
          <w:tcPr>
            <w:tcW w:w="934" w:type="dxa"/>
            <w:vAlign w:val="top"/>
          </w:tcPr>
          <w:p>
            <w:pPr>
              <w:pStyle w:val="TableText"/>
              <w:spacing w:before="172" w:line="85" w:lineRule="exact"/>
              <w:ind w:left="771"/>
            </w:pPr>
            <w:r>
              <w:rPr>
                <w:position w:val="-1"/>
              </w:rPr>
              <w:t>-</w:t>
            </w:r>
          </w:p>
        </w:tc>
        <w:tc>
          <w:tcPr>
            <w:tcW w:w="842" w:type="dxa"/>
            <w:vAlign w:val="top"/>
          </w:tcPr>
          <w:p>
            <w:pPr>
              <w:pStyle w:val="TableText"/>
              <w:spacing w:before="97" w:line="186" w:lineRule="auto"/>
              <w:ind w:left="127"/>
            </w:pPr>
            <w:r>
              <w:rPr>
                <w:spacing w:val="-3"/>
              </w:rPr>
              <w:t>1,593.97</w:t>
            </w:r>
          </w:p>
        </w:tc>
        <w:tc>
          <w:tcPr>
            <w:tcW w:w="845" w:type="dxa"/>
            <w:vAlign w:val="top"/>
          </w:tcPr>
          <w:p>
            <w:pPr>
              <w:pStyle w:val="TableText"/>
              <w:spacing w:before="97" w:line="186" w:lineRule="auto"/>
              <w:ind w:left="252"/>
            </w:pPr>
            <w:r>
              <w:rPr>
                <w:spacing w:val="-1"/>
              </w:rPr>
              <w:t>291.34</w:t>
            </w:r>
          </w:p>
        </w:tc>
        <w:tc>
          <w:tcPr>
            <w:tcW w:w="843" w:type="dxa"/>
            <w:vAlign w:val="top"/>
          </w:tcPr>
          <w:p>
            <w:pPr>
              <w:pStyle w:val="TableText"/>
              <w:spacing w:before="97" w:line="186" w:lineRule="auto"/>
              <w:ind w:left="250"/>
            </w:pPr>
            <w:r>
              <w:rPr>
                <w:spacing w:val="-1"/>
              </w:rPr>
              <w:t>410.88</w:t>
            </w:r>
          </w:p>
        </w:tc>
        <w:tc>
          <w:tcPr>
            <w:tcW w:w="859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97" w:line="186" w:lineRule="auto"/>
              <w:ind w:left="137"/>
            </w:pPr>
            <w:r>
              <w:rPr>
                <w:spacing w:val="-3"/>
              </w:rPr>
              <w:t>1,001.17</w:t>
            </w:r>
          </w:p>
        </w:tc>
      </w:tr>
      <w:tr>
        <w:tblPrEx>
          <w:tblW w:w="8587" w:type="dxa"/>
          <w:tblInd w:w="12" w:type="dxa"/>
          <w:tblLayout w:type="fixed"/>
        </w:tblPrEx>
        <w:trPr>
          <w:trHeight w:val="313"/>
        </w:trPr>
        <w:tc>
          <w:tcPr>
            <w:tcW w:w="789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tcBorders>
              <w:bottom w:val="single" w:sz="10" w:space="0" w:color="000000"/>
            </w:tcBorders>
            <w:vAlign w:val="top"/>
          </w:tcPr>
          <w:p>
            <w:pPr>
              <w:spacing w:before="76" w:line="221" w:lineRule="auto"/>
              <w:ind w:left="6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合计</w:t>
            </w:r>
          </w:p>
        </w:tc>
        <w:tc>
          <w:tcPr>
            <w:tcW w:w="933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09" w:line="195" w:lineRule="auto"/>
              <w:ind w:left="103"/>
            </w:pPr>
            <w:r>
              <w:rPr>
                <w:b/>
                <w:bCs/>
                <w:spacing w:val="-1"/>
              </w:rPr>
              <w:t>32,000.00</w:t>
            </w:r>
          </w:p>
        </w:tc>
        <w:tc>
          <w:tcPr>
            <w:tcW w:w="890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08" w:line="225" w:lineRule="auto"/>
              <w:ind w:left="115"/>
            </w:pPr>
            <w:r>
              <w:rPr>
                <w:b/>
                <w:bCs/>
                <w:spacing w:val="-2"/>
              </w:rPr>
              <w:t>100.00%</w:t>
            </w:r>
          </w:p>
        </w:tc>
        <w:tc>
          <w:tcPr>
            <w:tcW w:w="934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09" w:line="195" w:lineRule="auto"/>
              <w:ind w:left="115"/>
            </w:pPr>
            <w:r>
              <w:rPr>
                <w:b/>
                <w:bCs/>
                <w:spacing w:val="-2"/>
              </w:rPr>
              <w:t>15,432.45</w:t>
            </w:r>
          </w:p>
        </w:tc>
        <w:tc>
          <w:tcPr>
            <w:tcW w:w="842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09" w:line="195" w:lineRule="auto"/>
              <w:ind w:left="110"/>
            </w:pPr>
            <w:r>
              <w:rPr>
                <w:b/>
                <w:bCs/>
                <w:spacing w:val="-1"/>
              </w:rPr>
              <w:t>4,161.22</w:t>
            </w:r>
          </w:p>
        </w:tc>
        <w:tc>
          <w:tcPr>
            <w:tcW w:w="845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09" w:line="195" w:lineRule="auto"/>
              <w:ind w:left="116"/>
            </w:pPr>
            <w:r>
              <w:rPr>
                <w:b/>
                <w:bCs/>
                <w:spacing w:val="-1"/>
              </w:rPr>
              <w:t>4,039.45</w:t>
            </w:r>
          </w:p>
        </w:tc>
        <w:tc>
          <w:tcPr>
            <w:tcW w:w="843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09" w:line="195" w:lineRule="auto"/>
              <w:ind w:left="117"/>
            </w:pPr>
            <w:r>
              <w:rPr>
                <w:b/>
                <w:bCs/>
                <w:spacing w:val="-1"/>
              </w:rPr>
              <w:t>5,477.13</w:t>
            </w:r>
          </w:p>
        </w:tc>
        <w:tc>
          <w:tcPr>
            <w:tcW w:w="859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09" w:line="195" w:lineRule="auto"/>
              <w:ind w:left="120"/>
            </w:pPr>
            <w:r>
              <w:rPr>
                <w:b/>
                <w:bCs/>
                <w:spacing w:val="-1"/>
              </w:rPr>
              <w:t>2,889.76</w:t>
            </w:r>
          </w:p>
        </w:tc>
      </w:tr>
    </w:tbl>
    <w:p>
      <w:pPr>
        <w:spacing w:line="371" w:lineRule="auto"/>
        <w:rPr>
          <w:rFonts w:ascii="Arial"/>
          <w:sz w:val="21"/>
        </w:rPr>
      </w:pPr>
    </w:p>
    <w:p>
      <w:pPr>
        <w:pStyle w:val="BodyText"/>
        <w:spacing w:before="78" w:line="465" w:lineRule="exact"/>
        <w:ind w:left="785"/>
      </w:pPr>
      <w:r>
        <w:rPr>
          <w:spacing w:val="-1"/>
          <w:position w:val="17"/>
        </w:rPr>
        <w:t>钨铜项目预计总投资不超过</w:t>
      </w:r>
      <w:r>
        <w:rPr>
          <w:spacing w:val="-32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7"/>
        </w:rPr>
        <w:t xml:space="preserve">1.0 </w:t>
      </w:r>
      <w:r>
        <w:rPr>
          <w:spacing w:val="-1"/>
          <w:position w:val="17"/>
        </w:rPr>
        <w:t>亿元，项目建</w:t>
      </w:r>
      <w:r>
        <w:rPr>
          <w:spacing w:val="-2"/>
          <w:position w:val="17"/>
        </w:rPr>
        <w:t>设期为</w:t>
      </w:r>
      <w:r>
        <w:rPr>
          <w:spacing w:val="-48"/>
          <w:position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7"/>
        </w:rPr>
        <w:t xml:space="preserve">5 </w:t>
      </w:r>
      <w:r>
        <w:rPr>
          <w:spacing w:val="-2"/>
          <w:position w:val="17"/>
        </w:rPr>
        <w:t>年，项目投资明细</w:t>
      </w:r>
    </w:p>
    <w:p>
      <w:pPr>
        <w:pStyle w:val="BodyText"/>
        <w:spacing w:line="220" w:lineRule="auto"/>
        <w:ind w:left="310"/>
      </w:pPr>
      <w:r>
        <w:rPr>
          <w:spacing w:val="-16"/>
        </w:rPr>
        <w:t>如下：</w:t>
      </w:r>
    </w:p>
    <w:p>
      <w:pPr>
        <w:spacing w:line="148" w:lineRule="exact"/>
      </w:pPr>
    </w:p>
    <w:tbl>
      <w:tblPr>
        <w:tblStyle w:val="TableNormal2"/>
        <w:tblW w:w="8287" w:type="dxa"/>
        <w:tblInd w:w="3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70"/>
        <w:gridCol w:w="1652"/>
        <w:gridCol w:w="933"/>
        <w:gridCol w:w="888"/>
        <w:gridCol w:w="845"/>
        <w:gridCol w:w="799"/>
        <w:gridCol w:w="842"/>
        <w:gridCol w:w="802"/>
        <w:gridCol w:w="856"/>
      </w:tblGrid>
      <w:tr>
        <w:tblPrEx>
          <w:tblW w:w="8287" w:type="dxa"/>
          <w:tblInd w:w="31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6"/>
        </w:trPr>
        <w:tc>
          <w:tcPr>
            <w:tcW w:w="670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spacing w:before="29" w:line="221" w:lineRule="auto"/>
              <w:ind w:left="1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1652" w:type="dxa"/>
            <w:tcBorders>
              <w:top w:val="single" w:sz="10" w:space="0" w:color="000000"/>
            </w:tcBorders>
            <w:vAlign w:val="top"/>
          </w:tcPr>
          <w:p>
            <w:pPr>
              <w:spacing w:before="53" w:line="220" w:lineRule="auto"/>
              <w:ind w:left="6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</w:t>
            </w:r>
          </w:p>
        </w:tc>
        <w:tc>
          <w:tcPr>
            <w:tcW w:w="933" w:type="dxa"/>
            <w:tcBorders>
              <w:top w:val="single" w:sz="10" w:space="0" w:color="000000"/>
            </w:tcBorders>
            <w:vAlign w:val="top"/>
          </w:tcPr>
          <w:p>
            <w:pPr>
              <w:spacing w:before="52" w:line="220" w:lineRule="auto"/>
              <w:ind w:left="2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金额</w:t>
            </w:r>
          </w:p>
        </w:tc>
        <w:tc>
          <w:tcPr>
            <w:tcW w:w="888" w:type="dxa"/>
            <w:tcBorders>
              <w:top w:val="single" w:sz="10" w:space="0" w:color="000000"/>
            </w:tcBorders>
            <w:vAlign w:val="top"/>
          </w:tcPr>
          <w:p>
            <w:pPr>
              <w:spacing w:before="53" w:line="221" w:lineRule="auto"/>
              <w:ind w:left="29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占比</w:t>
            </w:r>
          </w:p>
        </w:tc>
        <w:tc>
          <w:tcPr>
            <w:tcW w:w="845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2" w:line="220" w:lineRule="auto"/>
              <w:ind w:left="130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-1"/>
              </w:rPr>
              <w:t>2025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</w:p>
        </w:tc>
        <w:tc>
          <w:tcPr>
            <w:tcW w:w="799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2" w:line="220" w:lineRule="auto"/>
              <w:ind w:left="111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-1"/>
              </w:rPr>
              <w:t>2026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</w:p>
        </w:tc>
        <w:tc>
          <w:tcPr>
            <w:tcW w:w="842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2" w:line="220" w:lineRule="auto"/>
              <w:ind w:left="136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-1"/>
              </w:rPr>
              <w:t>2027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</w:p>
        </w:tc>
        <w:tc>
          <w:tcPr>
            <w:tcW w:w="802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52" w:line="220" w:lineRule="auto"/>
              <w:ind w:left="117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-1"/>
              </w:rPr>
              <w:t>2028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</w:p>
        </w:tc>
        <w:tc>
          <w:tcPr>
            <w:tcW w:w="856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52" w:line="220" w:lineRule="auto"/>
              <w:ind w:left="139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-1"/>
              </w:rPr>
              <w:t>2029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</w:p>
        </w:tc>
      </w:tr>
      <w:tr>
        <w:tblPrEx>
          <w:tblW w:w="8287" w:type="dxa"/>
          <w:tblInd w:w="310" w:type="dxa"/>
          <w:tblLayout w:type="fixed"/>
        </w:tblPrEx>
        <w:trPr>
          <w:trHeight w:val="283"/>
        </w:trPr>
        <w:tc>
          <w:tcPr>
            <w:tcW w:w="67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44" w:line="186" w:lineRule="auto"/>
              <w:ind w:left="293"/>
            </w:pPr>
            <w:r>
              <w:t>1</w:t>
            </w:r>
          </w:p>
        </w:tc>
        <w:tc>
          <w:tcPr>
            <w:tcW w:w="1652" w:type="dxa"/>
            <w:vAlign w:val="top"/>
          </w:tcPr>
          <w:p>
            <w:pPr>
              <w:spacing w:before="52" w:line="220" w:lineRule="auto"/>
              <w:ind w:left="4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建设投资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80" w:line="186" w:lineRule="auto"/>
              <w:ind w:left="195"/>
            </w:pPr>
            <w:r>
              <w:rPr>
                <w:spacing w:val="-1"/>
              </w:rPr>
              <w:t>9,263.69</w:t>
            </w:r>
          </w:p>
        </w:tc>
        <w:tc>
          <w:tcPr>
            <w:tcW w:w="888" w:type="dxa"/>
            <w:vAlign w:val="top"/>
          </w:tcPr>
          <w:p>
            <w:pPr>
              <w:pStyle w:val="TableText"/>
              <w:spacing w:before="80" w:line="186" w:lineRule="auto"/>
              <w:ind w:left="229"/>
            </w:pPr>
            <w:r>
              <w:rPr>
                <w:spacing w:val="-1"/>
              </w:rPr>
              <w:t>92.64%</w:t>
            </w:r>
          </w:p>
        </w:tc>
        <w:tc>
          <w:tcPr>
            <w:tcW w:w="845" w:type="dxa"/>
            <w:vAlign w:val="top"/>
          </w:tcPr>
          <w:p>
            <w:pPr>
              <w:pStyle w:val="TableText"/>
              <w:spacing w:before="80" w:line="186" w:lineRule="auto"/>
              <w:ind w:left="107"/>
            </w:pPr>
            <w:r>
              <w:rPr>
                <w:spacing w:val="-1"/>
              </w:rPr>
              <w:t>4,006.30</w:t>
            </w:r>
          </w:p>
        </w:tc>
        <w:tc>
          <w:tcPr>
            <w:tcW w:w="799" w:type="dxa"/>
            <w:vAlign w:val="top"/>
          </w:tcPr>
          <w:p>
            <w:pPr>
              <w:pStyle w:val="TableText"/>
              <w:spacing w:before="155" w:line="86" w:lineRule="exact"/>
              <w:ind w:left="640"/>
            </w:pPr>
            <w:r>
              <w:rPr>
                <w:position w:val="-1"/>
              </w:rPr>
              <w:t>-</w:t>
            </w:r>
          </w:p>
        </w:tc>
        <w:tc>
          <w:tcPr>
            <w:tcW w:w="842" w:type="dxa"/>
            <w:vAlign w:val="top"/>
          </w:tcPr>
          <w:p>
            <w:pPr>
              <w:pStyle w:val="TableText"/>
              <w:spacing w:before="80" w:line="186" w:lineRule="auto"/>
              <w:ind w:left="131"/>
            </w:pPr>
            <w:r>
              <w:rPr>
                <w:spacing w:val="-3"/>
              </w:rPr>
              <w:t>1,251.35</w:t>
            </w:r>
          </w:p>
        </w:tc>
        <w:tc>
          <w:tcPr>
            <w:tcW w:w="802" w:type="dxa"/>
            <w:vAlign w:val="top"/>
          </w:tcPr>
          <w:p>
            <w:pPr>
              <w:pStyle w:val="TableText"/>
              <w:spacing w:before="155" w:line="86" w:lineRule="exact"/>
              <w:ind w:left="646"/>
            </w:pPr>
            <w:r>
              <w:rPr>
                <w:position w:val="-1"/>
              </w:rPr>
              <w:t>-</w:t>
            </w:r>
          </w:p>
        </w:tc>
        <w:tc>
          <w:tcPr>
            <w:tcW w:w="856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0" w:line="186" w:lineRule="auto"/>
              <w:ind w:left="115"/>
            </w:pPr>
            <w:r>
              <w:rPr>
                <w:spacing w:val="-1"/>
              </w:rPr>
              <w:t>4,006.04</w:t>
            </w:r>
          </w:p>
        </w:tc>
      </w:tr>
      <w:tr>
        <w:tblPrEx>
          <w:tblW w:w="8287" w:type="dxa"/>
          <w:tblInd w:w="310" w:type="dxa"/>
          <w:tblLayout w:type="fixed"/>
        </w:tblPrEx>
        <w:trPr>
          <w:trHeight w:val="282"/>
        </w:trPr>
        <w:tc>
          <w:tcPr>
            <w:tcW w:w="67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47" w:line="186" w:lineRule="auto"/>
              <w:ind w:left="226"/>
            </w:pPr>
            <w:r>
              <w:rPr>
                <w:spacing w:val="-7"/>
              </w:rPr>
              <w:t>1.1</w:t>
            </w:r>
          </w:p>
        </w:tc>
        <w:tc>
          <w:tcPr>
            <w:tcW w:w="1652" w:type="dxa"/>
            <w:vAlign w:val="top"/>
          </w:tcPr>
          <w:p>
            <w:pPr>
              <w:spacing w:before="55" w:line="220" w:lineRule="auto"/>
              <w:ind w:left="4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工程费用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83" w:line="186" w:lineRule="auto"/>
              <w:ind w:left="199"/>
            </w:pPr>
            <w:r>
              <w:rPr>
                <w:spacing w:val="-2"/>
              </w:rPr>
              <w:t>8,534.75</w:t>
            </w:r>
          </w:p>
        </w:tc>
        <w:tc>
          <w:tcPr>
            <w:tcW w:w="888" w:type="dxa"/>
            <w:vAlign w:val="top"/>
          </w:tcPr>
          <w:p>
            <w:pPr>
              <w:pStyle w:val="TableText"/>
              <w:spacing w:before="83" w:line="186" w:lineRule="auto"/>
              <w:ind w:left="233"/>
            </w:pPr>
            <w:r>
              <w:rPr>
                <w:spacing w:val="-2"/>
              </w:rPr>
              <w:t>85.35%</w:t>
            </w:r>
          </w:p>
        </w:tc>
        <w:tc>
          <w:tcPr>
            <w:tcW w:w="845" w:type="dxa"/>
            <w:vAlign w:val="top"/>
          </w:tcPr>
          <w:p>
            <w:pPr>
              <w:pStyle w:val="TableText"/>
              <w:spacing w:before="83" w:line="186" w:lineRule="auto"/>
              <w:ind w:left="112"/>
            </w:pPr>
            <w:r>
              <w:rPr>
                <w:spacing w:val="-1"/>
              </w:rPr>
              <w:t>3,527.71</w:t>
            </w:r>
          </w:p>
        </w:tc>
        <w:tc>
          <w:tcPr>
            <w:tcW w:w="799" w:type="dxa"/>
            <w:vAlign w:val="top"/>
          </w:tcPr>
          <w:p>
            <w:pPr>
              <w:pStyle w:val="TableText"/>
              <w:spacing w:before="157" w:line="86" w:lineRule="exact"/>
              <w:ind w:left="640"/>
            </w:pPr>
            <w:r>
              <w:rPr>
                <w:position w:val="-1"/>
              </w:rPr>
              <w:t>-</w:t>
            </w:r>
          </w:p>
        </w:tc>
        <w:tc>
          <w:tcPr>
            <w:tcW w:w="842" w:type="dxa"/>
            <w:vAlign w:val="top"/>
          </w:tcPr>
          <w:p>
            <w:pPr>
              <w:pStyle w:val="TableText"/>
              <w:spacing w:before="83" w:line="186" w:lineRule="auto"/>
              <w:ind w:left="131"/>
            </w:pPr>
            <w:r>
              <w:rPr>
                <w:spacing w:val="-3"/>
              </w:rPr>
              <w:t>1,191.76</w:t>
            </w:r>
          </w:p>
        </w:tc>
        <w:tc>
          <w:tcPr>
            <w:tcW w:w="802" w:type="dxa"/>
            <w:vAlign w:val="top"/>
          </w:tcPr>
          <w:p>
            <w:pPr>
              <w:pStyle w:val="TableText"/>
              <w:spacing w:before="157" w:line="86" w:lineRule="exact"/>
              <w:ind w:left="646"/>
            </w:pPr>
            <w:r>
              <w:rPr>
                <w:position w:val="-1"/>
              </w:rPr>
              <w:t>-</w:t>
            </w:r>
          </w:p>
        </w:tc>
        <w:tc>
          <w:tcPr>
            <w:tcW w:w="856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3" w:line="186" w:lineRule="auto"/>
              <w:ind w:left="120"/>
            </w:pPr>
            <w:r>
              <w:rPr>
                <w:spacing w:val="-1"/>
              </w:rPr>
              <w:t>3,815.28</w:t>
            </w:r>
          </w:p>
        </w:tc>
      </w:tr>
      <w:tr>
        <w:tblPrEx>
          <w:tblW w:w="8287" w:type="dxa"/>
          <w:tblInd w:w="310" w:type="dxa"/>
          <w:tblLayout w:type="fixed"/>
        </w:tblPrEx>
        <w:trPr>
          <w:trHeight w:val="283"/>
        </w:trPr>
        <w:tc>
          <w:tcPr>
            <w:tcW w:w="67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50" w:line="186" w:lineRule="auto"/>
              <w:ind w:left="159"/>
            </w:pPr>
            <w:r>
              <w:rPr>
                <w:spacing w:val="-4"/>
              </w:rPr>
              <w:t>1.1.1</w:t>
            </w:r>
          </w:p>
        </w:tc>
        <w:tc>
          <w:tcPr>
            <w:tcW w:w="1652" w:type="dxa"/>
            <w:vAlign w:val="top"/>
          </w:tcPr>
          <w:p>
            <w:pPr>
              <w:spacing w:before="57" w:line="220" w:lineRule="auto"/>
              <w:ind w:left="1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设备及软件购置费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86" w:line="186" w:lineRule="auto"/>
              <w:ind w:left="196"/>
            </w:pPr>
            <w:r>
              <w:rPr>
                <w:spacing w:val="-1"/>
              </w:rPr>
              <w:t>5,463.40</w:t>
            </w:r>
          </w:p>
        </w:tc>
        <w:tc>
          <w:tcPr>
            <w:tcW w:w="888" w:type="dxa"/>
            <w:vAlign w:val="top"/>
          </w:tcPr>
          <w:p>
            <w:pPr>
              <w:pStyle w:val="TableText"/>
              <w:spacing w:before="86" w:line="186" w:lineRule="auto"/>
              <w:ind w:left="231"/>
            </w:pPr>
            <w:r>
              <w:rPr>
                <w:spacing w:val="-2"/>
              </w:rPr>
              <w:t>54.63%</w:t>
            </w:r>
          </w:p>
        </w:tc>
        <w:tc>
          <w:tcPr>
            <w:tcW w:w="845" w:type="dxa"/>
            <w:vAlign w:val="top"/>
          </w:tcPr>
          <w:p>
            <w:pPr>
              <w:pStyle w:val="TableText"/>
              <w:spacing w:before="86" w:line="186" w:lineRule="auto"/>
              <w:ind w:left="244"/>
            </w:pPr>
            <w:r>
              <w:rPr>
                <w:spacing w:val="-1"/>
              </w:rPr>
              <w:t>456.36</w:t>
            </w:r>
          </w:p>
        </w:tc>
        <w:tc>
          <w:tcPr>
            <w:tcW w:w="799" w:type="dxa"/>
            <w:vAlign w:val="top"/>
          </w:tcPr>
          <w:p>
            <w:pPr>
              <w:pStyle w:val="TableText"/>
              <w:spacing w:before="161" w:line="86" w:lineRule="exact"/>
              <w:ind w:left="640"/>
            </w:pPr>
            <w:r>
              <w:rPr>
                <w:position w:val="-1"/>
              </w:rPr>
              <w:t>-</w:t>
            </w:r>
          </w:p>
        </w:tc>
        <w:tc>
          <w:tcPr>
            <w:tcW w:w="842" w:type="dxa"/>
            <w:vAlign w:val="top"/>
          </w:tcPr>
          <w:p>
            <w:pPr>
              <w:pStyle w:val="TableText"/>
              <w:spacing w:before="86" w:line="186" w:lineRule="auto"/>
              <w:ind w:left="131"/>
            </w:pPr>
            <w:r>
              <w:rPr>
                <w:spacing w:val="-3"/>
              </w:rPr>
              <w:t>1,191.76</w:t>
            </w:r>
          </w:p>
        </w:tc>
        <w:tc>
          <w:tcPr>
            <w:tcW w:w="802" w:type="dxa"/>
            <w:vAlign w:val="top"/>
          </w:tcPr>
          <w:p>
            <w:pPr>
              <w:pStyle w:val="TableText"/>
              <w:spacing w:before="161" w:line="86" w:lineRule="exact"/>
              <w:ind w:left="646"/>
            </w:pPr>
            <w:r>
              <w:rPr>
                <w:position w:val="-1"/>
              </w:rPr>
              <w:t>-</w:t>
            </w:r>
          </w:p>
        </w:tc>
        <w:tc>
          <w:tcPr>
            <w:tcW w:w="856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6" w:line="186" w:lineRule="auto"/>
              <w:ind w:left="120"/>
            </w:pPr>
            <w:r>
              <w:rPr>
                <w:spacing w:val="-1"/>
              </w:rPr>
              <w:t>3,815.28</w:t>
            </w:r>
          </w:p>
        </w:tc>
      </w:tr>
      <w:tr>
        <w:tblPrEx>
          <w:tblW w:w="8287" w:type="dxa"/>
          <w:tblInd w:w="310" w:type="dxa"/>
          <w:tblLayout w:type="fixed"/>
        </w:tblPrEx>
        <w:trPr>
          <w:trHeight w:val="280"/>
        </w:trPr>
        <w:tc>
          <w:tcPr>
            <w:tcW w:w="67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53" w:line="186" w:lineRule="auto"/>
              <w:ind w:left="159"/>
            </w:pPr>
            <w:r>
              <w:rPr>
                <w:spacing w:val="-4"/>
              </w:rPr>
              <w:t>1.1.2</w:t>
            </w:r>
          </w:p>
        </w:tc>
        <w:tc>
          <w:tcPr>
            <w:tcW w:w="1652" w:type="dxa"/>
            <w:vAlign w:val="top"/>
          </w:tcPr>
          <w:p>
            <w:pPr>
              <w:spacing w:before="58" w:line="217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建安工程费用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89" w:line="186" w:lineRule="auto"/>
              <w:ind w:left="195"/>
            </w:pPr>
            <w:r>
              <w:rPr>
                <w:spacing w:val="-1"/>
              </w:rPr>
              <w:t>3,071.35</w:t>
            </w:r>
          </w:p>
        </w:tc>
        <w:tc>
          <w:tcPr>
            <w:tcW w:w="888" w:type="dxa"/>
            <w:vAlign w:val="top"/>
          </w:tcPr>
          <w:p>
            <w:pPr>
              <w:pStyle w:val="TableText"/>
              <w:spacing w:before="88" w:line="186" w:lineRule="auto"/>
              <w:ind w:left="229"/>
            </w:pPr>
            <w:r>
              <w:rPr>
                <w:spacing w:val="-1"/>
              </w:rPr>
              <w:t>30.71%</w:t>
            </w:r>
          </w:p>
        </w:tc>
        <w:tc>
          <w:tcPr>
            <w:tcW w:w="845" w:type="dxa"/>
            <w:vAlign w:val="top"/>
          </w:tcPr>
          <w:p>
            <w:pPr>
              <w:pStyle w:val="TableText"/>
              <w:spacing w:before="89" w:line="186" w:lineRule="auto"/>
              <w:ind w:left="112"/>
            </w:pPr>
            <w:r>
              <w:rPr>
                <w:spacing w:val="-1"/>
              </w:rPr>
              <w:t>3,071.35</w:t>
            </w:r>
          </w:p>
        </w:tc>
        <w:tc>
          <w:tcPr>
            <w:tcW w:w="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6" w:type="dxa"/>
            <w:tcBorders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87" w:type="dxa"/>
          <w:tblInd w:w="310" w:type="dxa"/>
          <w:tblLayout w:type="fixed"/>
        </w:tblPrEx>
        <w:trPr>
          <w:trHeight w:val="283"/>
        </w:trPr>
        <w:tc>
          <w:tcPr>
            <w:tcW w:w="67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58" w:line="186" w:lineRule="auto"/>
              <w:ind w:left="226"/>
            </w:pPr>
            <w:r>
              <w:rPr>
                <w:spacing w:val="-7"/>
              </w:rPr>
              <w:t>1.2</w:t>
            </w:r>
          </w:p>
        </w:tc>
        <w:tc>
          <w:tcPr>
            <w:tcW w:w="1652" w:type="dxa"/>
            <w:vAlign w:val="top"/>
          </w:tcPr>
          <w:p>
            <w:pPr>
              <w:spacing w:before="64" w:line="214" w:lineRule="auto"/>
              <w:ind w:left="1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工程建设其他费用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94" w:line="186" w:lineRule="auto"/>
              <w:ind w:left="328"/>
            </w:pPr>
            <w:r>
              <w:rPr>
                <w:spacing w:val="-1"/>
              </w:rPr>
              <w:t>287.81</w:t>
            </w:r>
          </w:p>
        </w:tc>
        <w:tc>
          <w:tcPr>
            <w:tcW w:w="888" w:type="dxa"/>
            <w:vAlign w:val="top"/>
          </w:tcPr>
          <w:p>
            <w:pPr>
              <w:pStyle w:val="TableText"/>
              <w:spacing w:before="94" w:line="186" w:lineRule="auto"/>
              <w:ind w:left="315"/>
            </w:pPr>
            <w:r>
              <w:rPr>
                <w:spacing w:val="-1"/>
              </w:rPr>
              <w:t>2.88%</w:t>
            </w:r>
          </w:p>
        </w:tc>
        <w:tc>
          <w:tcPr>
            <w:tcW w:w="845" w:type="dxa"/>
            <w:vAlign w:val="top"/>
          </w:tcPr>
          <w:p>
            <w:pPr>
              <w:pStyle w:val="TableText"/>
              <w:spacing w:before="94" w:line="186" w:lineRule="auto"/>
              <w:ind w:left="245"/>
            </w:pPr>
            <w:r>
              <w:rPr>
                <w:spacing w:val="-1"/>
              </w:rPr>
              <w:t>287.81</w:t>
            </w:r>
          </w:p>
        </w:tc>
        <w:tc>
          <w:tcPr>
            <w:tcW w:w="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6" w:type="dxa"/>
            <w:tcBorders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87" w:type="dxa"/>
          <w:tblInd w:w="310" w:type="dxa"/>
          <w:tblLayout w:type="fixed"/>
        </w:tblPrEx>
        <w:trPr>
          <w:trHeight w:val="283"/>
        </w:trPr>
        <w:tc>
          <w:tcPr>
            <w:tcW w:w="67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58" w:line="186" w:lineRule="auto"/>
              <w:ind w:left="226"/>
            </w:pPr>
            <w:r>
              <w:rPr>
                <w:spacing w:val="-7"/>
              </w:rPr>
              <w:t>1.3</w:t>
            </w:r>
          </w:p>
        </w:tc>
        <w:tc>
          <w:tcPr>
            <w:tcW w:w="1652" w:type="dxa"/>
            <w:vAlign w:val="top"/>
          </w:tcPr>
          <w:p>
            <w:pPr>
              <w:spacing w:before="66" w:line="212" w:lineRule="auto"/>
              <w:ind w:left="3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基本预备费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97" w:line="186" w:lineRule="auto"/>
              <w:ind w:left="327"/>
            </w:pPr>
            <w:r>
              <w:rPr>
                <w:spacing w:val="-1"/>
              </w:rPr>
              <w:t>441.13</w:t>
            </w:r>
          </w:p>
        </w:tc>
        <w:tc>
          <w:tcPr>
            <w:tcW w:w="888" w:type="dxa"/>
            <w:vAlign w:val="top"/>
          </w:tcPr>
          <w:p>
            <w:pPr>
              <w:pStyle w:val="TableText"/>
              <w:spacing w:before="97" w:line="186" w:lineRule="auto"/>
              <w:ind w:left="314"/>
            </w:pPr>
            <w:r>
              <w:rPr>
                <w:spacing w:val="-1"/>
              </w:rPr>
              <w:t>4.41%</w:t>
            </w:r>
          </w:p>
        </w:tc>
        <w:tc>
          <w:tcPr>
            <w:tcW w:w="845" w:type="dxa"/>
            <w:vAlign w:val="top"/>
          </w:tcPr>
          <w:p>
            <w:pPr>
              <w:pStyle w:val="TableText"/>
              <w:spacing w:before="97" w:line="186" w:lineRule="auto"/>
              <w:ind w:left="262"/>
            </w:pPr>
            <w:r>
              <w:rPr>
                <w:spacing w:val="-4"/>
              </w:rPr>
              <w:t>190.78</w:t>
            </w:r>
          </w:p>
        </w:tc>
        <w:tc>
          <w:tcPr>
            <w:tcW w:w="799" w:type="dxa"/>
            <w:vAlign w:val="top"/>
          </w:tcPr>
          <w:p>
            <w:pPr>
              <w:pStyle w:val="TableText"/>
              <w:spacing w:before="171" w:line="86" w:lineRule="exact"/>
              <w:ind w:left="640"/>
            </w:pPr>
            <w:r>
              <w:rPr>
                <w:position w:val="-1"/>
              </w:rPr>
              <w:t>-</w:t>
            </w:r>
          </w:p>
        </w:tc>
        <w:tc>
          <w:tcPr>
            <w:tcW w:w="842" w:type="dxa"/>
            <w:vAlign w:val="top"/>
          </w:tcPr>
          <w:p>
            <w:pPr>
              <w:pStyle w:val="TableText"/>
              <w:spacing w:before="97" w:line="186" w:lineRule="auto"/>
              <w:ind w:left="344"/>
            </w:pPr>
            <w:r>
              <w:rPr>
                <w:spacing w:val="-2"/>
              </w:rPr>
              <w:t>59.59</w:t>
            </w:r>
          </w:p>
        </w:tc>
        <w:tc>
          <w:tcPr>
            <w:tcW w:w="802" w:type="dxa"/>
            <w:vAlign w:val="top"/>
          </w:tcPr>
          <w:p>
            <w:pPr>
              <w:pStyle w:val="TableText"/>
              <w:spacing w:before="171" w:line="86" w:lineRule="exact"/>
              <w:ind w:left="646"/>
            </w:pPr>
            <w:r>
              <w:rPr>
                <w:position w:val="-1"/>
              </w:rPr>
              <w:t>-</w:t>
            </w:r>
          </w:p>
        </w:tc>
        <w:tc>
          <w:tcPr>
            <w:tcW w:w="856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97" w:line="186" w:lineRule="auto"/>
              <w:ind w:left="270"/>
            </w:pPr>
            <w:r>
              <w:rPr>
                <w:spacing w:val="-4"/>
              </w:rPr>
              <w:t>190.76</w:t>
            </w:r>
          </w:p>
        </w:tc>
      </w:tr>
      <w:tr>
        <w:tblPrEx>
          <w:tblW w:w="8287" w:type="dxa"/>
          <w:tblInd w:w="310" w:type="dxa"/>
          <w:tblLayout w:type="fixed"/>
        </w:tblPrEx>
        <w:trPr>
          <w:trHeight w:val="283"/>
        </w:trPr>
        <w:tc>
          <w:tcPr>
            <w:tcW w:w="67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61" w:line="186" w:lineRule="auto"/>
              <w:ind w:left="276"/>
            </w:pPr>
            <w:r>
              <w:t>2</w:t>
            </w:r>
          </w:p>
        </w:tc>
        <w:tc>
          <w:tcPr>
            <w:tcW w:w="1652" w:type="dxa"/>
            <w:vAlign w:val="top"/>
          </w:tcPr>
          <w:p>
            <w:pPr>
              <w:spacing w:before="69" w:line="209" w:lineRule="auto"/>
              <w:ind w:left="2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铺底流动资金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before="97" w:line="186" w:lineRule="auto"/>
              <w:ind w:left="331"/>
            </w:pPr>
            <w:r>
              <w:rPr>
                <w:spacing w:val="-1"/>
              </w:rPr>
              <w:t>736.31</w:t>
            </w:r>
          </w:p>
        </w:tc>
        <w:tc>
          <w:tcPr>
            <w:tcW w:w="888" w:type="dxa"/>
            <w:vAlign w:val="top"/>
          </w:tcPr>
          <w:p>
            <w:pPr>
              <w:pStyle w:val="TableText"/>
              <w:spacing w:before="97" w:line="186" w:lineRule="auto"/>
              <w:ind w:left="317"/>
            </w:pPr>
            <w:r>
              <w:rPr>
                <w:spacing w:val="-2"/>
              </w:rPr>
              <w:t>7.36%</w:t>
            </w:r>
          </w:p>
        </w:tc>
        <w:tc>
          <w:tcPr>
            <w:tcW w:w="845" w:type="dxa"/>
            <w:vAlign w:val="top"/>
          </w:tcPr>
          <w:p>
            <w:pPr>
              <w:pStyle w:val="TableText"/>
              <w:spacing w:before="171" w:line="86" w:lineRule="exact"/>
              <w:ind w:left="683"/>
            </w:pPr>
            <w:r>
              <w:rPr>
                <w:position w:val="-1"/>
              </w:rPr>
              <w:t>-</w:t>
            </w:r>
          </w:p>
        </w:tc>
        <w:tc>
          <w:tcPr>
            <w:tcW w:w="799" w:type="dxa"/>
            <w:vAlign w:val="top"/>
          </w:tcPr>
          <w:p>
            <w:pPr>
              <w:pStyle w:val="TableText"/>
              <w:spacing w:before="97" w:line="186" w:lineRule="auto"/>
              <w:ind w:left="206"/>
            </w:pPr>
            <w:r>
              <w:rPr>
                <w:spacing w:val="-2"/>
              </w:rPr>
              <w:t>353.67</w:t>
            </w:r>
          </w:p>
        </w:tc>
        <w:tc>
          <w:tcPr>
            <w:tcW w:w="842" w:type="dxa"/>
            <w:vAlign w:val="top"/>
          </w:tcPr>
          <w:p>
            <w:pPr>
              <w:pStyle w:val="TableText"/>
              <w:spacing w:before="97" w:line="186" w:lineRule="auto"/>
              <w:ind w:left="343"/>
            </w:pPr>
            <w:r>
              <w:rPr>
                <w:spacing w:val="-2"/>
              </w:rPr>
              <w:t>65.44</w:t>
            </w:r>
          </w:p>
        </w:tc>
        <w:tc>
          <w:tcPr>
            <w:tcW w:w="802" w:type="dxa"/>
            <w:vAlign w:val="top"/>
          </w:tcPr>
          <w:p>
            <w:pPr>
              <w:pStyle w:val="TableText"/>
              <w:spacing w:before="97" w:line="186" w:lineRule="auto"/>
              <w:ind w:left="300"/>
            </w:pPr>
            <w:r>
              <w:rPr>
                <w:spacing w:val="-2"/>
              </w:rPr>
              <w:t>92.30</w:t>
            </w:r>
          </w:p>
        </w:tc>
        <w:tc>
          <w:tcPr>
            <w:tcW w:w="856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97" w:line="186" w:lineRule="auto"/>
              <w:ind w:left="253"/>
            </w:pPr>
            <w:r>
              <w:rPr>
                <w:spacing w:val="-1"/>
              </w:rPr>
              <w:t>224.89</w:t>
            </w:r>
          </w:p>
        </w:tc>
      </w:tr>
      <w:tr>
        <w:tblPrEx>
          <w:tblW w:w="8287" w:type="dxa"/>
          <w:tblInd w:w="310" w:type="dxa"/>
          <w:tblLayout w:type="fixed"/>
        </w:tblPrEx>
        <w:trPr>
          <w:trHeight w:val="313"/>
        </w:trPr>
        <w:tc>
          <w:tcPr>
            <w:tcW w:w="670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2" w:type="dxa"/>
            <w:tcBorders>
              <w:bottom w:val="single" w:sz="10" w:space="0" w:color="000000"/>
            </w:tcBorders>
            <w:vAlign w:val="top"/>
          </w:tcPr>
          <w:p>
            <w:pPr>
              <w:spacing w:before="76" w:line="221" w:lineRule="auto"/>
              <w:ind w:left="6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合计</w:t>
            </w:r>
          </w:p>
        </w:tc>
        <w:tc>
          <w:tcPr>
            <w:tcW w:w="933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08" w:line="195" w:lineRule="auto"/>
              <w:ind w:left="111"/>
            </w:pPr>
            <w:r>
              <w:rPr>
                <w:b/>
                <w:bCs/>
                <w:spacing w:val="-2"/>
              </w:rPr>
              <w:t>10,000.00</w:t>
            </w:r>
          </w:p>
        </w:tc>
        <w:tc>
          <w:tcPr>
            <w:tcW w:w="888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08" w:line="225" w:lineRule="auto"/>
              <w:ind w:left="114"/>
            </w:pPr>
            <w:r>
              <w:rPr>
                <w:b/>
                <w:bCs/>
                <w:spacing w:val="-2"/>
              </w:rPr>
              <w:t>100.00%</w:t>
            </w:r>
          </w:p>
        </w:tc>
        <w:tc>
          <w:tcPr>
            <w:tcW w:w="845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08" w:line="195" w:lineRule="auto"/>
              <w:ind w:left="109"/>
            </w:pPr>
            <w:r>
              <w:rPr>
                <w:b/>
                <w:bCs/>
                <w:spacing w:val="-1"/>
              </w:rPr>
              <w:t>4,006.30</w:t>
            </w:r>
          </w:p>
        </w:tc>
        <w:tc>
          <w:tcPr>
            <w:tcW w:w="799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09" w:line="186" w:lineRule="auto"/>
              <w:ind w:left="201"/>
            </w:pPr>
            <w:r>
              <w:rPr>
                <w:b/>
                <w:bCs/>
                <w:spacing w:val="-1"/>
              </w:rPr>
              <w:t>353.67</w:t>
            </w:r>
          </w:p>
        </w:tc>
        <w:tc>
          <w:tcPr>
            <w:tcW w:w="842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08" w:line="195" w:lineRule="auto"/>
              <w:ind w:left="122"/>
            </w:pPr>
            <w:r>
              <w:rPr>
                <w:b/>
                <w:bCs/>
                <w:spacing w:val="-2"/>
              </w:rPr>
              <w:t>1,316.79</w:t>
            </w:r>
          </w:p>
        </w:tc>
        <w:tc>
          <w:tcPr>
            <w:tcW w:w="802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09" w:line="186" w:lineRule="auto"/>
              <w:ind w:left="298"/>
            </w:pPr>
            <w:r>
              <w:rPr>
                <w:b/>
                <w:bCs/>
                <w:spacing w:val="-1"/>
              </w:rPr>
              <w:t>92.30</w:t>
            </w:r>
          </w:p>
        </w:tc>
        <w:tc>
          <w:tcPr>
            <w:tcW w:w="856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08" w:line="195" w:lineRule="auto"/>
              <w:ind w:left="117"/>
            </w:pPr>
            <w:r>
              <w:rPr>
                <w:b/>
                <w:bCs/>
                <w:spacing w:val="-1"/>
              </w:rPr>
              <w:t>4,230.94</w:t>
            </w:r>
          </w:p>
        </w:tc>
      </w:tr>
    </w:tbl>
    <w:p>
      <w:pPr>
        <w:pStyle w:val="BodyText"/>
        <w:spacing w:before="159" w:line="221" w:lineRule="auto"/>
        <w:ind w:left="896"/>
        <w:outlineLvl w:val="0"/>
        <w:rPr>
          <w:sz w:val="28"/>
          <w:szCs w:val="28"/>
        </w:rPr>
      </w:pPr>
      <w:r>
        <w:rPr>
          <w:spacing w:val="-3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四、项目实施的必要性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78" w:line="468" w:lineRule="exact"/>
        <w:ind w:right="66"/>
        <w:jc w:val="right"/>
      </w:pPr>
      <w:r>
        <w:rPr>
          <w:spacing w:val="-3"/>
          <w:position w:val="17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（一）年产</w:t>
      </w:r>
      <w:r>
        <w:rPr>
          <w:spacing w:val="-54"/>
          <w:position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position w:val="17"/>
        </w:rPr>
        <w:t xml:space="preserve">3 </w:t>
      </w:r>
      <w:r>
        <w:rPr>
          <w:spacing w:val="-3"/>
          <w:position w:val="17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万套医疗影像装备等电真空用材</w:t>
      </w:r>
      <w:r>
        <w:rPr>
          <w:spacing w:val="-4"/>
          <w:position w:val="17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料、零组件研发及产业化项目</w:t>
      </w:r>
    </w:p>
    <w:p>
      <w:pPr>
        <w:pStyle w:val="BodyText"/>
        <w:spacing w:before="1" w:line="219" w:lineRule="auto"/>
        <w:ind w:left="795"/>
        <w:sectPr>
          <w:pgSz w:w="11907" w:h="16839"/>
          <w:pgMar w:top="1431" w:right="1730" w:bottom="0" w:left="1500" w:header="0" w:footer="0" w:gutter="0"/>
          <w:pgNumType w:start="5"/>
          <w:cols w:space="708"/>
        </w:sectPr>
      </w:pPr>
      <w:r>
        <w:rPr>
          <w:rFonts w:ascii="Times New Roman" w:eastAsia="Times New Roman" w:hAnsi="Times New Roman" w:cs="Times New Roman"/>
          <w:b/>
          <w:bCs/>
        </w:rPr>
        <w:t>1</w:t>
      </w:r>
      <w:r>
        <w:rPr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、项目建设有利于满足下游产品技术要求，响应国家战略需要</w:t>
      </w:r>
    </w:p>
    <w:p>
      <w:pPr>
        <w:pStyle w:val="BodyText"/>
        <w:spacing w:before="179" w:line="360" w:lineRule="auto"/>
        <w:ind w:left="306" w:firstLine="479"/>
      </w:pPr>
      <w:r>
        <w:rPr>
          <w:spacing w:val="-2"/>
        </w:rPr>
        <w:t>近年来，国务院发文称将逐步增加各级医院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CT/DR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-2"/>
        </w:rPr>
        <w:t>配置，加之放宽审批、</w:t>
      </w:r>
      <w:r>
        <w:t xml:space="preserve">  </w:t>
      </w:r>
      <w:r>
        <w:rPr>
          <w:spacing w:val="-6"/>
        </w:rPr>
        <w:t>鼓励国产等政策，</w:t>
      </w:r>
      <w:r>
        <w:rPr>
          <w:spacing w:val="68"/>
        </w:rPr>
        <w:t xml:space="preserve"> </w:t>
      </w:r>
      <w:r>
        <w:rPr>
          <w:spacing w:val="-6"/>
        </w:rPr>
        <w:t>加速了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CT/DR</w:t>
      </w:r>
      <w:r>
        <w:rPr>
          <w:rFonts w:ascii="Times New Roman" w:eastAsia="Times New Roman" w:hAnsi="Times New Roman" w:cs="Times New Roman"/>
          <w:spacing w:val="33"/>
        </w:rPr>
        <w:t xml:space="preserve"> </w:t>
      </w:r>
      <w:r>
        <w:rPr>
          <w:spacing w:val="-6"/>
        </w:rPr>
        <w:t>设备零组件市场发展。然而，在球管和相关零</w:t>
      </w:r>
      <w:r>
        <w:t xml:space="preserve"> </w:t>
      </w:r>
      <w:r>
        <w:rPr>
          <w:spacing w:val="-11"/>
        </w:rPr>
        <w:t>组件方面，</w:t>
      </w:r>
      <w:r>
        <w:rPr>
          <w:spacing w:val="27"/>
        </w:rPr>
        <w:t xml:space="preserve"> </w:t>
      </w:r>
      <w:r>
        <w:rPr>
          <w:spacing w:val="-11"/>
        </w:rPr>
        <w:t>由于其制备技术复杂、工艺水平较高，</w:t>
      </w:r>
      <w:r>
        <w:rPr>
          <w:spacing w:val="35"/>
        </w:rPr>
        <w:t xml:space="preserve"> </w:t>
      </w:r>
      <w:r>
        <w:rPr>
          <w:spacing w:val="-11"/>
        </w:rPr>
        <w:t>长</w:t>
      </w:r>
      <w:r>
        <w:rPr>
          <w:spacing w:val="-12"/>
        </w:rPr>
        <w:t>期以来我国严重依赖国外企</w:t>
      </w:r>
      <w:r>
        <w:t xml:space="preserve"> </w:t>
      </w:r>
      <w:r>
        <w:rPr>
          <w:spacing w:val="-3"/>
        </w:rPr>
        <w:t xml:space="preserve">业。为了降低 </w:t>
      </w:r>
      <w:r>
        <w:rPr>
          <w:rFonts w:ascii="Times New Roman" w:eastAsia="Times New Roman" w:hAnsi="Times New Roman" w:cs="Times New Roman"/>
          <w:spacing w:val="-3"/>
        </w:rPr>
        <w:t xml:space="preserve">CT  </w:t>
      </w:r>
      <w:r>
        <w:rPr>
          <w:spacing w:val="-3"/>
        </w:rPr>
        <w:t>设备的使用成本，同时加强我国在医疗关键领域的安全可控，</w:t>
      </w:r>
    </w:p>
    <w:p>
      <w:pPr>
        <w:pStyle w:val="BodyText"/>
        <w:spacing w:line="219" w:lineRule="auto"/>
        <w:ind w:left="306"/>
      </w:pPr>
      <w:r>
        <w:rPr>
          <w:spacing w:val="-2"/>
        </w:rPr>
        <w:t>满足人民健康的客观需要，实现球管的国产自主化具有战略意义。</w:t>
      </w:r>
    </w:p>
    <w:p>
      <w:pPr>
        <w:pStyle w:val="BodyText"/>
        <w:spacing w:before="181" w:line="359" w:lineRule="auto"/>
        <w:ind w:left="314" w:right="64" w:firstLine="472"/>
      </w:pPr>
      <w:r>
        <w:rPr>
          <w:spacing w:val="-15"/>
        </w:rPr>
        <w:t>球管工艺要求极高， 需要满足设备高真空、高温、高转速、高热容量等条件，</w:t>
      </w:r>
      <w:r>
        <w:rPr>
          <w:spacing w:val="15"/>
        </w:rPr>
        <w:t xml:space="preserve"> </w:t>
      </w:r>
      <w:r>
        <w:rPr>
          <w:spacing w:val="-8"/>
        </w:rPr>
        <w:t>公司生产的球管零组件产品包括管壳组件、转子组件、轴承套、阴极零件等，</w:t>
      </w:r>
      <w:r>
        <w:rPr>
          <w:spacing w:val="55"/>
        </w:rPr>
        <w:t xml:space="preserve"> </w:t>
      </w:r>
      <w:r>
        <w:rPr>
          <w:spacing w:val="-8"/>
        </w:rPr>
        <w:t>将</w:t>
      </w:r>
    </w:p>
    <w:p>
      <w:pPr>
        <w:pStyle w:val="BodyText"/>
        <w:spacing w:before="1" w:line="218" w:lineRule="auto"/>
        <w:ind w:left="309"/>
      </w:pPr>
      <w:r>
        <w:rPr>
          <w:spacing w:val="-2"/>
        </w:rPr>
        <w:t>从原材料、工艺等方面满足球管使用的严苛要</w:t>
      </w:r>
      <w:r>
        <w:rPr>
          <w:spacing w:val="-3"/>
        </w:rPr>
        <w:t>求。</w:t>
      </w:r>
    </w:p>
    <w:p>
      <w:pPr>
        <w:spacing w:line="218" w:lineRule="auto"/>
        <w:sectPr>
          <w:type w:val="nextPage"/>
          <w:pgSz w:w="11907" w:h="16839"/>
          <w:pgMar w:top="1431" w:right="1730" w:bottom="0" w:left="1500" w:header="0" w:footer="0" w:gutter="0"/>
          <w:pgNumType w:start="6"/>
          <w:cols w:space="708"/>
          <w:titlePg w:val="0"/>
        </w:sectPr>
      </w:pPr>
    </w:p>
    <w:p>
      <w:pPr>
        <w:spacing w:before="47" w:line="214" w:lineRule="auto"/>
        <w:ind w:left="2266"/>
        <w:rPr>
          <w:rFonts w:ascii="KaiTi" w:eastAsia="KaiTi" w:hAnsi="KaiTi" w:cs="KaiTi"/>
          <w:sz w:val="24"/>
          <w:szCs w:val="24"/>
        </w:rPr>
      </w:pPr>
      <w:r>
        <w:rPr>
          <w:rFonts w:ascii="KaiTi" w:eastAsia="KaiTi" w:hAnsi="KaiTi" w:cs="KaiTi"/>
          <w:spacing w:val="-3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rFonts w:ascii="KaiTi" w:eastAsia="KaiTi" w:hAnsi="KaiTi" w:cs="KaiTi"/>
          <w:spacing w:val="-3"/>
          <w:sz w:val="24"/>
          <w:szCs w:val="24"/>
        </w:rPr>
        <w:t xml:space="preserve"> </w:t>
      </w:r>
      <w:r>
        <w:rPr>
          <w:rFonts w:ascii="KaiTi" w:eastAsia="KaiTi" w:hAnsi="KaiTi" w:cs="KaiTi"/>
          <w:spacing w:val="-3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1：球管零组件产品工艺与作用</w:t>
      </w:r>
    </w:p>
    <w:tbl>
      <w:tblPr>
        <w:tblStyle w:val="TableNormal3"/>
        <w:tblW w:w="8287" w:type="dxa"/>
        <w:tblInd w:w="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20"/>
        <w:gridCol w:w="1811"/>
        <w:gridCol w:w="3782"/>
        <w:gridCol w:w="1674"/>
      </w:tblGrid>
      <w:tr>
        <w:tblPrEx>
          <w:tblW w:w="8287" w:type="dxa"/>
          <w:tblInd w:w="2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38"/>
        </w:trPr>
        <w:tc>
          <w:tcPr>
            <w:tcW w:w="1020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spacing w:before="30" w:line="203" w:lineRule="auto"/>
              <w:ind w:left="3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产品</w:t>
            </w:r>
          </w:p>
        </w:tc>
        <w:tc>
          <w:tcPr>
            <w:tcW w:w="1811" w:type="dxa"/>
            <w:tcBorders>
              <w:top w:val="single" w:sz="10" w:space="0" w:color="000000"/>
            </w:tcBorders>
            <w:vAlign w:val="top"/>
          </w:tcPr>
          <w:p>
            <w:pPr>
              <w:spacing w:before="30" w:line="203" w:lineRule="auto"/>
              <w:ind w:left="6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原材料</w:t>
            </w:r>
          </w:p>
        </w:tc>
        <w:tc>
          <w:tcPr>
            <w:tcW w:w="3782" w:type="dxa"/>
            <w:tcBorders>
              <w:top w:val="single" w:sz="10" w:space="0" w:color="000000"/>
            </w:tcBorders>
            <w:vAlign w:val="top"/>
          </w:tcPr>
          <w:p>
            <w:pPr>
              <w:spacing w:before="30" w:line="203" w:lineRule="auto"/>
              <w:ind w:left="13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核心工艺技术</w:t>
            </w:r>
          </w:p>
        </w:tc>
        <w:tc>
          <w:tcPr>
            <w:tcW w:w="1674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30" w:line="203" w:lineRule="auto"/>
              <w:ind w:left="2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在球管中的作用</w:t>
            </w:r>
          </w:p>
        </w:tc>
      </w:tr>
      <w:tr>
        <w:tblPrEx>
          <w:tblW w:w="8287" w:type="dxa"/>
          <w:tblInd w:w="24" w:type="dxa"/>
          <w:tblLayout w:type="fixed"/>
        </w:tblPrEx>
        <w:trPr>
          <w:trHeight w:val="695"/>
        </w:trPr>
        <w:tc>
          <w:tcPr>
            <w:tcW w:w="1020" w:type="dxa"/>
            <w:tcBorders>
              <w:left w:val="single" w:sz="10" w:space="0" w:color="000000"/>
            </w:tcBorders>
            <w:vAlign w:val="top"/>
          </w:tcPr>
          <w:p>
            <w:pPr>
              <w:spacing w:before="258" w:line="220" w:lineRule="auto"/>
              <w:ind w:left="32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管壳</w:t>
            </w:r>
          </w:p>
        </w:tc>
        <w:tc>
          <w:tcPr>
            <w:tcW w:w="1811" w:type="dxa"/>
            <w:vAlign w:val="top"/>
          </w:tcPr>
          <w:p>
            <w:pPr>
              <w:pStyle w:val="TableText"/>
              <w:spacing w:before="26" w:line="220" w:lineRule="auto"/>
              <w:ind w:left="148"/>
              <w:rPr>
                <w:rFonts w:ascii="SimSun" w:eastAsia="SimSun" w:hAnsi="SimSun" w:cs="SimSun"/>
              </w:rPr>
            </w:pPr>
            <w:r>
              <w:rPr>
                <w:spacing w:val="-1"/>
              </w:rPr>
              <w:t xml:space="preserve">304L </w:t>
            </w:r>
            <w:r>
              <w:rPr>
                <w:rFonts w:ascii="SimSun" w:eastAsia="SimSun" w:hAnsi="SimSun" w:cs="SimSun"/>
                <w:spacing w:val="-1"/>
              </w:rPr>
              <w:t>不锈钢、高纯</w:t>
            </w:r>
          </w:p>
          <w:p>
            <w:pPr>
              <w:spacing w:before="18" w:line="219" w:lineRule="auto"/>
              <w:ind w:left="18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无氧铜、精密合金</w:t>
            </w:r>
          </w:p>
          <w:p>
            <w:pPr>
              <w:pStyle w:val="TableText"/>
              <w:spacing w:before="19" w:line="198" w:lineRule="auto"/>
              <w:ind w:left="547"/>
              <w:rPr>
                <w:rFonts w:ascii="SimSun" w:eastAsia="SimSun" w:hAnsi="SimSun" w:cs="SimSun"/>
              </w:rPr>
            </w:pPr>
            <w:r>
              <w:rPr>
                <w:spacing w:val="-1"/>
              </w:rPr>
              <w:t>4J29</w:t>
            </w:r>
            <w:r>
              <w:rPr>
                <w:rFonts w:ascii="SimSun" w:eastAsia="SimSun" w:hAnsi="SimSun" w:cs="SimSun"/>
                <w:spacing w:val="-1"/>
              </w:rPr>
              <w:t>、铍</w:t>
            </w:r>
          </w:p>
        </w:tc>
        <w:tc>
          <w:tcPr>
            <w:tcW w:w="3782" w:type="dxa"/>
            <w:vAlign w:val="top"/>
          </w:tcPr>
          <w:p>
            <w:pPr>
              <w:spacing w:before="26" w:line="219" w:lineRule="auto"/>
              <w:ind w:left="1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异质金属通过机械加工、薄壁成型加工、表</w:t>
            </w:r>
          </w:p>
          <w:p>
            <w:pPr>
              <w:spacing w:before="19" w:line="220" w:lineRule="auto"/>
              <w:ind w:left="18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面处理及真空钎焊而成，形成满足要求的真</w:t>
            </w:r>
          </w:p>
          <w:p>
            <w:pPr>
              <w:spacing w:before="18" w:line="198" w:lineRule="auto"/>
              <w:ind w:left="135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空腔室的组件</w:t>
            </w:r>
          </w:p>
        </w:tc>
        <w:tc>
          <w:tcPr>
            <w:tcW w:w="1674" w:type="dxa"/>
            <w:tcBorders>
              <w:right w:val="single" w:sz="10" w:space="0" w:color="000000"/>
            </w:tcBorders>
            <w:vAlign w:val="top"/>
          </w:tcPr>
          <w:p>
            <w:pPr>
              <w:spacing w:before="141" w:line="229" w:lineRule="auto"/>
              <w:ind w:left="392" w:right="102" w:hanging="2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支撑阴、阳极，提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供真空环境</w:t>
            </w:r>
          </w:p>
        </w:tc>
      </w:tr>
      <w:tr>
        <w:tblPrEx>
          <w:tblW w:w="8287" w:type="dxa"/>
          <w:tblInd w:w="24" w:type="dxa"/>
          <w:tblLayout w:type="fixed"/>
        </w:tblPrEx>
        <w:trPr>
          <w:trHeight w:val="695"/>
        </w:trPr>
        <w:tc>
          <w:tcPr>
            <w:tcW w:w="1020" w:type="dxa"/>
            <w:tcBorders>
              <w:left w:val="single" w:sz="10" w:space="0" w:color="000000"/>
            </w:tcBorders>
            <w:vAlign w:val="top"/>
          </w:tcPr>
          <w:p>
            <w:pPr>
              <w:spacing w:before="265" w:line="220" w:lineRule="auto"/>
              <w:ind w:left="32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转子</w:t>
            </w:r>
          </w:p>
        </w:tc>
        <w:tc>
          <w:tcPr>
            <w:tcW w:w="1811" w:type="dxa"/>
            <w:vAlign w:val="top"/>
          </w:tcPr>
          <w:p>
            <w:pPr>
              <w:spacing w:before="147" w:line="229" w:lineRule="auto"/>
              <w:ind w:left="268" w:right="191" w:hanging="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钼及钼合金、不锈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钢、高纯无氧铜</w:t>
            </w:r>
          </w:p>
        </w:tc>
        <w:tc>
          <w:tcPr>
            <w:tcW w:w="3782" w:type="dxa"/>
            <w:vAlign w:val="top"/>
          </w:tcPr>
          <w:p>
            <w:pPr>
              <w:spacing w:before="147" w:line="229" w:lineRule="auto"/>
              <w:ind w:left="634" w:right="180" w:hanging="4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异质金属通过机械加工、表面处理及真空钎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焊而成，形成满足要求的结构件</w:t>
            </w:r>
          </w:p>
        </w:tc>
        <w:tc>
          <w:tcPr>
            <w:tcW w:w="1674" w:type="dxa"/>
            <w:tcBorders>
              <w:right w:val="single" w:sz="10" w:space="0" w:color="000000"/>
            </w:tcBorders>
            <w:vAlign w:val="top"/>
          </w:tcPr>
          <w:p>
            <w:pPr>
              <w:spacing w:before="29" w:line="230" w:lineRule="auto"/>
              <w:ind w:left="124" w:right="1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支撑靶盘、轴承，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提供高速旋转的支</w:t>
            </w:r>
          </w:p>
          <w:p>
            <w:pPr>
              <w:spacing w:before="19" w:line="192" w:lineRule="auto"/>
              <w:ind w:left="57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撑介质</w:t>
            </w:r>
          </w:p>
        </w:tc>
      </w:tr>
      <w:tr>
        <w:tblPrEx>
          <w:tblW w:w="8287" w:type="dxa"/>
          <w:tblInd w:w="24" w:type="dxa"/>
          <w:tblLayout w:type="fixed"/>
        </w:tblPrEx>
        <w:trPr>
          <w:trHeight w:val="926"/>
        </w:trPr>
        <w:tc>
          <w:tcPr>
            <w:tcW w:w="1020" w:type="dxa"/>
            <w:tcBorders>
              <w:left w:val="single" w:sz="10" w:space="0" w:color="000000"/>
            </w:tcBorders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1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阴极零件</w:t>
            </w:r>
          </w:p>
        </w:tc>
        <w:tc>
          <w:tcPr>
            <w:tcW w:w="1811" w:type="dxa"/>
            <w:vAlign w:val="top"/>
          </w:tcPr>
          <w:p>
            <w:pPr>
              <w:spacing w:before="35" w:line="220" w:lineRule="auto"/>
              <w:ind w:left="1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钼及钼合金、纯镍</w:t>
            </w:r>
          </w:p>
          <w:p>
            <w:pPr>
              <w:pStyle w:val="TableText"/>
              <w:spacing w:before="20" w:line="236" w:lineRule="auto"/>
              <w:ind w:left="164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2"/>
              </w:rPr>
              <w:t>（</w:t>
            </w:r>
            <w:r>
              <w:rPr>
                <w:spacing w:val="-2"/>
              </w:rPr>
              <w:t>N2\N4\N6</w:t>
            </w:r>
            <w:r>
              <w:rPr>
                <w:rFonts w:ascii="SimSun" w:eastAsia="SimSun" w:hAnsi="SimSun" w:cs="SimSun"/>
                <w:spacing w:val="-2"/>
              </w:rPr>
              <w:t>）、不</w:t>
            </w:r>
          </w:p>
          <w:p>
            <w:pPr>
              <w:spacing w:before="2" w:line="219" w:lineRule="auto"/>
              <w:ind w:left="2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锈钢、精密合金</w:t>
            </w:r>
          </w:p>
          <w:p>
            <w:pPr>
              <w:pStyle w:val="TableText"/>
              <w:spacing w:before="19" w:line="184" w:lineRule="auto"/>
              <w:ind w:left="296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3"/>
              </w:rPr>
              <w:t>（</w:t>
            </w:r>
            <w:r>
              <w:rPr>
                <w:spacing w:val="-3"/>
              </w:rPr>
              <w:t>4J33</w:t>
            </w:r>
            <w:r>
              <w:rPr>
                <w:spacing w:val="-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</w:rPr>
              <w:t>、</w:t>
            </w:r>
            <w:r>
              <w:rPr>
                <w:spacing w:val="-3"/>
              </w:rPr>
              <w:t>4J42</w:t>
            </w:r>
            <w:r>
              <w:rPr>
                <w:rFonts w:ascii="SimSun" w:eastAsia="SimSun" w:hAnsi="SimSun" w:cs="SimSun"/>
                <w:spacing w:val="-3"/>
              </w:rPr>
              <w:t>）</w:t>
            </w:r>
          </w:p>
        </w:tc>
        <w:tc>
          <w:tcPr>
            <w:tcW w:w="3782" w:type="dxa"/>
            <w:vAlign w:val="top"/>
          </w:tcPr>
          <w:p>
            <w:pPr>
              <w:spacing w:before="269" w:line="230" w:lineRule="auto"/>
              <w:ind w:left="1356" w:right="180" w:hanging="11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通过机械加工及表面处理而成，满足支撑阴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极灯丝及焦点</w:t>
            </w:r>
          </w:p>
        </w:tc>
        <w:tc>
          <w:tcPr>
            <w:tcW w:w="1674" w:type="dxa"/>
            <w:tcBorders>
              <w:right w:val="single" w:sz="10" w:space="0" w:color="000000"/>
            </w:tcBorders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4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支撑灯丝</w:t>
            </w:r>
          </w:p>
        </w:tc>
      </w:tr>
      <w:tr>
        <w:tblPrEx>
          <w:tblW w:w="8287" w:type="dxa"/>
          <w:tblInd w:w="24" w:type="dxa"/>
          <w:tblLayout w:type="fixed"/>
        </w:tblPrEx>
        <w:trPr>
          <w:trHeight w:val="695"/>
        </w:trPr>
        <w:tc>
          <w:tcPr>
            <w:tcW w:w="1020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spacing w:before="263" w:line="219" w:lineRule="auto"/>
              <w:ind w:left="2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轴承套</w:t>
            </w:r>
          </w:p>
        </w:tc>
        <w:tc>
          <w:tcPr>
            <w:tcW w:w="1811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42" w:line="220" w:lineRule="auto"/>
              <w:ind w:left="148"/>
              <w:rPr>
                <w:rFonts w:ascii="SimSun" w:eastAsia="SimSun" w:hAnsi="SimSun" w:cs="SimSun"/>
              </w:rPr>
            </w:pPr>
            <w:r>
              <w:rPr>
                <w:spacing w:val="-1"/>
              </w:rPr>
              <w:t xml:space="preserve">304L </w:t>
            </w:r>
            <w:r>
              <w:rPr>
                <w:rFonts w:ascii="SimSun" w:eastAsia="SimSun" w:hAnsi="SimSun" w:cs="SimSun"/>
                <w:spacing w:val="-1"/>
              </w:rPr>
              <w:t>不锈钢、弥散</w:t>
            </w:r>
          </w:p>
          <w:p>
            <w:pPr>
              <w:spacing w:before="20" w:line="219" w:lineRule="auto"/>
              <w:ind w:left="1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强化铜、精密合金</w:t>
            </w:r>
          </w:p>
          <w:p>
            <w:pPr>
              <w:pStyle w:val="TableText"/>
              <w:spacing w:before="35" w:line="183" w:lineRule="auto"/>
              <w:ind w:left="727"/>
            </w:pPr>
            <w:r>
              <w:rPr>
                <w:spacing w:val="-1"/>
              </w:rPr>
              <w:t>4J42</w:t>
            </w:r>
          </w:p>
        </w:tc>
        <w:tc>
          <w:tcPr>
            <w:tcW w:w="3782" w:type="dxa"/>
            <w:tcBorders>
              <w:bottom w:val="single" w:sz="10" w:space="0" w:color="000000"/>
            </w:tcBorders>
            <w:vAlign w:val="top"/>
          </w:tcPr>
          <w:p>
            <w:pPr>
              <w:spacing w:before="148" w:line="229" w:lineRule="auto"/>
              <w:ind w:left="543" w:right="180" w:hanging="3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异质金属通过机械加工、表面处理及真空钎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焊而成，形成满足要求的真空器件</w:t>
            </w:r>
          </w:p>
        </w:tc>
        <w:tc>
          <w:tcPr>
            <w:tcW w:w="1674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263" w:line="219" w:lineRule="auto"/>
              <w:ind w:left="4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保护轴承</w:t>
            </w:r>
          </w:p>
        </w:tc>
      </w:tr>
    </w:tbl>
    <w:p>
      <w:pPr>
        <w:pStyle w:val="BodyText"/>
        <w:spacing w:before="36" w:line="359" w:lineRule="auto"/>
        <w:ind w:left="20" w:right="7" w:firstLine="484"/>
      </w:pPr>
      <w:r>
        <w:rPr>
          <w:spacing w:val="-3"/>
        </w:rPr>
        <w:t>项目实施后，公司将具备年产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3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-3"/>
        </w:rPr>
        <w:t>万套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CT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-3"/>
        </w:rPr>
        <w:t>球管零组件和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1.5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-3"/>
        </w:rPr>
        <w:t>万套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DR </w:t>
      </w:r>
      <w:r>
        <w:rPr>
          <w:spacing w:val="-3"/>
        </w:rPr>
        <w:t>射线管</w:t>
      </w:r>
      <w:r>
        <w:t xml:space="preserve"> </w:t>
      </w:r>
      <w:r>
        <w:rPr>
          <w:spacing w:val="-13"/>
        </w:rPr>
        <w:t>零组件的能力。从成本的角度来说，</w:t>
      </w:r>
      <w:r>
        <w:rPr>
          <w:spacing w:val="-40"/>
        </w:rPr>
        <w:t xml:space="preserve"> </w:t>
      </w:r>
      <w:r>
        <w:rPr>
          <w:spacing w:val="-13"/>
        </w:rPr>
        <w:t>公司实</w:t>
      </w:r>
      <w:r>
        <w:rPr>
          <w:spacing w:val="-14"/>
        </w:rPr>
        <w:t>现球管批量生产后，</w:t>
      </w:r>
      <w:r>
        <w:rPr>
          <w:spacing w:val="-50"/>
        </w:rPr>
        <w:t xml:space="preserve"> </w:t>
      </w:r>
      <w:r>
        <w:rPr>
          <w:spacing w:val="-14"/>
        </w:rPr>
        <w:t>将发挥规模效益，</w:t>
      </w:r>
      <w:r>
        <w:t xml:space="preserve"> </w:t>
      </w:r>
      <w:r>
        <w:rPr>
          <w:spacing w:val="-6"/>
        </w:rPr>
        <w:t>降低球管零组件成本， 助力我国医疗影像装备厂商形成成本竞争优势。从工艺的</w:t>
      </w:r>
      <w:r>
        <w:t xml:space="preserve"> </w:t>
      </w:r>
      <w:r>
        <w:rPr>
          <w:spacing w:val="-6"/>
        </w:rPr>
        <w:t>角度来说， 公司先进的生产技术、完善的工艺流程和优异的产品质量将在一定程</w:t>
      </w:r>
      <w:r>
        <w:t xml:space="preserve"> </w:t>
      </w:r>
      <w:r>
        <w:rPr>
          <w:spacing w:val="-9"/>
        </w:rPr>
        <w:t xml:space="preserve">度上实现进口替代， 项目的实施有利于推动我国球管零组件国产化进程， </w:t>
      </w:r>
      <w:r>
        <w:rPr>
          <w:spacing w:val="-10"/>
        </w:rPr>
        <w:t>对国家</w:t>
      </w:r>
    </w:p>
    <w:p>
      <w:pPr>
        <w:pStyle w:val="BodyText"/>
        <w:spacing w:line="219" w:lineRule="auto"/>
        <w:ind w:left="32"/>
      </w:pPr>
      <w:r>
        <w:rPr>
          <w:spacing w:val="-3"/>
        </w:rPr>
        <w:t>医疗影像装备自主化发展具有战略性意义。</w:t>
      </w:r>
    </w:p>
    <w:p>
      <w:pPr>
        <w:pStyle w:val="BodyText"/>
        <w:spacing w:before="182" w:line="219" w:lineRule="auto"/>
        <w:ind w:left="500"/>
        <w:outlineLvl w:val="1"/>
      </w:pPr>
      <w:r>
        <w:rPr>
          <w:rFonts w:ascii="Times New Roman" w:eastAsia="Times New Roman" w:hAnsi="Times New Roman" w:cs="Times New Roman"/>
          <w:b/>
          <w:bCs/>
          <w:spacing w:val="-1"/>
        </w:rPr>
        <w:t>2</w:t>
      </w:r>
      <w:r>
        <w:rPr>
          <w:rFonts w:ascii="Times New Roman" w:eastAsia="Times New Roman" w:hAnsi="Times New Roman" w:cs="Times New Roman"/>
          <w:b/>
          <w:bCs/>
          <w:spacing w:val="-32"/>
        </w:rPr>
        <w:t xml:space="preserve"> </w:t>
      </w:r>
      <w:r>
        <w:rPr>
          <w:spacing w:val="-1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、项目建设有利于提升产品附加值，提高公司核心竞争力</w:t>
      </w:r>
    </w:p>
    <w:p>
      <w:pPr>
        <w:pStyle w:val="BodyText"/>
        <w:spacing w:before="183" w:line="359" w:lineRule="auto"/>
        <w:ind w:left="20" w:right="8" w:firstLine="488"/>
        <w:jc w:val="both"/>
      </w:pPr>
      <w:r>
        <w:rPr>
          <w:spacing w:val="-7"/>
        </w:rPr>
        <w:t>公司作为一家新材料研发制造企业， 战略定位是成为多个细分领域新材料的</w:t>
      </w:r>
      <w:r>
        <w:rPr>
          <w:spacing w:val="11"/>
        </w:rPr>
        <w:t xml:space="preserve"> </w:t>
      </w:r>
      <w:r>
        <w:rPr>
          <w:spacing w:val="-9"/>
        </w:rPr>
        <w:t>领跑者， 目前在各细分领域新材料方面已经掌握了较高的生产水平， 且具</w:t>
      </w:r>
      <w:r>
        <w:rPr>
          <w:spacing w:val="-10"/>
        </w:rPr>
        <w:t>备零组</w:t>
      </w:r>
      <w:r>
        <w:t xml:space="preserve"> </w:t>
      </w:r>
      <w:r>
        <w:rPr>
          <w:spacing w:val="-8"/>
        </w:rPr>
        <w:t>件生产能力。为提高公司整体竞争力，</w:t>
      </w:r>
      <w:r>
        <w:rPr>
          <w:spacing w:val="64"/>
        </w:rPr>
        <w:t xml:space="preserve"> </w:t>
      </w:r>
      <w:r>
        <w:rPr>
          <w:spacing w:val="-8"/>
        </w:rPr>
        <w:t>公司产品需向下游、高端化拓展。产业链</w:t>
      </w:r>
      <w:r>
        <w:t xml:space="preserve"> </w:t>
      </w:r>
      <w:r>
        <w:rPr>
          <w:spacing w:val="-6"/>
        </w:rPr>
        <w:t>的延伸能有效提高产品的附加值， 同时提高产品在国外高端医疗影像装备</w:t>
      </w:r>
      <w:r>
        <w:rPr>
          <w:spacing w:val="-7"/>
        </w:rPr>
        <w:t>市场占</w:t>
      </w:r>
      <w:r>
        <w:t xml:space="preserve"> </w:t>
      </w:r>
      <w:r>
        <w:rPr>
          <w:spacing w:val="-8"/>
        </w:rPr>
        <w:t>有率， 因此，</w:t>
      </w:r>
      <w:r>
        <w:rPr>
          <w:spacing w:val="-42"/>
        </w:rPr>
        <w:t xml:space="preserve"> </w:t>
      </w:r>
      <w:r>
        <w:rPr>
          <w:spacing w:val="-8"/>
        </w:rPr>
        <w:t>实现从材料制造延伸至零组件制造是公司提升</w:t>
      </w:r>
      <w:r>
        <w:rPr>
          <w:spacing w:val="-9"/>
        </w:rPr>
        <w:t>核心竞争力的关键一</w:t>
      </w:r>
    </w:p>
    <w:p>
      <w:pPr>
        <w:pStyle w:val="BodyText"/>
        <w:spacing w:line="219" w:lineRule="auto"/>
        <w:ind w:left="24"/>
      </w:pPr>
      <w:r>
        <w:rPr>
          <w:spacing w:val="-12"/>
        </w:rPr>
        <w:t>步。</w:t>
      </w:r>
    </w:p>
    <w:p>
      <w:pPr>
        <w:spacing w:before="183" w:line="211" w:lineRule="auto"/>
        <w:ind w:left="2760"/>
        <w:rPr>
          <w:rFonts w:ascii="KaiTi" w:eastAsia="KaiTi" w:hAnsi="KaiTi" w:cs="KaiTi"/>
          <w:sz w:val="24"/>
          <w:szCs w:val="24"/>
        </w:rPr>
      </w:pPr>
      <w:r>
        <w:rPr>
          <w:rFonts w:ascii="KaiTi" w:eastAsia="KaiTi" w:hAnsi="KaiTi" w:cs="KaiTi"/>
          <w:spacing w:val="-3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rFonts w:ascii="KaiTi" w:eastAsia="KaiTi" w:hAnsi="KaiTi" w:cs="KaiTi"/>
          <w:spacing w:val="-3"/>
          <w:sz w:val="24"/>
          <w:szCs w:val="24"/>
        </w:rPr>
        <w:t xml:space="preserve"> </w:t>
      </w:r>
      <w:r>
        <w:rPr>
          <w:rFonts w:ascii="KaiTi" w:eastAsia="KaiTi" w:hAnsi="KaiTi" w:cs="KaiTi"/>
          <w:spacing w:val="-3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2：球管零组件产业链</w:t>
      </w:r>
    </w:p>
    <w:p>
      <w:pPr>
        <w:spacing w:line="2232" w:lineRule="exact"/>
        <w:ind w:firstLine="11"/>
      </w:pPr>
      <w:r>
        <w:rPr>
          <w:position w:val="-44"/>
        </w:rPr>
        <w:drawing>
          <wp:inline distT="0" distB="0" distL="0" distR="0">
            <wp:extent cx="5274563" cy="141731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563" cy="1417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92" w:line="468" w:lineRule="exact"/>
        <w:ind w:right="11"/>
        <w:jc w:val="right"/>
        <w:sectPr>
          <w:pgSz w:w="11907" w:h="16839"/>
          <w:pgMar w:top="1425" w:right="1785" w:bottom="0" w:left="1785" w:header="0" w:footer="0" w:gutter="0"/>
          <w:pgNumType w:start="7"/>
          <w:cols w:space="708"/>
        </w:sectPr>
      </w:pPr>
      <w:r>
        <w:rPr>
          <w:rFonts w:ascii="Times New Roman" w:eastAsia="Times New Roman" w:hAnsi="Times New Roman" w:cs="Times New Roman"/>
          <w:spacing w:val="-1"/>
          <w:position w:val="17"/>
        </w:rPr>
        <w:t>CT</w:t>
      </w:r>
      <w:r>
        <w:rPr>
          <w:rFonts w:ascii="Times New Roman" w:eastAsia="Times New Roman" w:hAnsi="Times New Roman" w:cs="Times New Roman"/>
          <w:spacing w:val="55"/>
          <w:w w:val="101"/>
          <w:position w:val="17"/>
        </w:rPr>
        <w:t xml:space="preserve"> </w:t>
      </w:r>
      <w:r>
        <w:rPr>
          <w:spacing w:val="-1"/>
          <w:position w:val="17"/>
        </w:rPr>
        <w:t>的排数越多，探测器的宽度越宽，球管旋转一周扫描</w:t>
      </w:r>
      <w:r>
        <w:rPr>
          <w:spacing w:val="-2"/>
          <w:position w:val="17"/>
        </w:rPr>
        <w:t>范围较广，扫描速</w:t>
      </w:r>
    </w:p>
    <w:p>
      <w:pPr>
        <w:pStyle w:val="BodyText"/>
        <w:spacing w:before="1" w:line="218" w:lineRule="auto"/>
        <w:ind w:left="20"/>
      </w:pPr>
      <w:r>
        <w:rPr>
          <w:spacing w:val="-6"/>
        </w:rPr>
        <w:t>度就会越快。</w:t>
      </w:r>
      <w:r>
        <w:rPr>
          <w:spacing w:val="47"/>
        </w:rPr>
        <w:t xml:space="preserve"> </w:t>
      </w:r>
      <w:r>
        <w:rPr>
          <w:spacing w:val="-6"/>
        </w:rPr>
        <w:t>为满足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64</w:t>
      </w:r>
      <w:r>
        <w:rPr>
          <w:rFonts w:ascii="Times New Roman" w:eastAsia="Times New Roman" w:hAnsi="Times New Roman" w:cs="Times New Roman"/>
          <w:spacing w:val="31"/>
        </w:rPr>
        <w:t xml:space="preserve"> </w:t>
      </w:r>
      <w:r>
        <w:rPr>
          <w:spacing w:val="-6"/>
        </w:rPr>
        <w:t>排及以上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CT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spacing w:val="-6"/>
        </w:rPr>
        <w:t>设备各项性能的指标要求</w:t>
      </w:r>
      <w:r>
        <w:rPr>
          <w:spacing w:val="-7"/>
        </w:rPr>
        <w:t>，球管必须提升</w:t>
      </w:r>
    </w:p>
    <w:p>
      <w:pPr>
        <w:spacing w:line="218" w:lineRule="auto"/>
        <w:sectPr>
          <w:type w:val="nextPage"/>
          <w:pgSz w:w="11907" w:h="16839"/>
          <w:pgMar w:top="1425" w:right="1785" w:bottom="0" w:left="1785" w:header="0" w:footer="0" w:gutter="0"/>
          <w:pgNumType w:start="8"/>
          <w:cols w:space="708"/>
          <w:titlePg w:val="0"/>
        </w:sectPr>
      </w:pPr>
    </w:p>
    <w:p>
      <w:pPr>
        <w:pStyle w:val="BodyText"/>
        <w:spacing w:before="48" w:line="468" w:lineRule="exact"/>
        <w:ind w:left="27"/>
      </w:pPr>
      <w:r>
        <w:rPr>
          <w:spacing w:val="-8"/>
          <w:position w:val="17"/>
        </w:rPr>
        <w:t>高真空、高温、高转速、高热容量等指标保证设备稳定精准运行，</w:t>
      </w:r>
      <w:r>
        <w:rPr>
          <w:spacing w:val="58"/>
          <w:position w:val="17"/>
        </w:rPr>
        <w:t xml:space="preserve"> </w:t>
      </w:r>
      <w:r>
        <w:rPr>
          <w:spacing w:val="-8"/>
          <w:position w:val="17"/>
        </w:rPr>
        <w:t>其零组件生产</w:t>
      </w:r>
    </w:p>
    <w:p>
      <w:pPr>
        <w:pStyle w:val="BodyText"/>
        <w:spacing w:line="219" w:lineRule="auto"/>
        <w:ind w:left="34"/>
      </w:pPr>
      <w:r>
        <w:rPr>
          <w:spacing w:val="-7"/>
        </w:rPr>
        <w:t>需要极高的工艺。</w:t>
      </w:r>
    </w:p>
    <w:p>
      <w:pPr>
        <w:spacing w:before="180" w:line="214" w:lineRule="auto"/>
        <w:ind w:left="1101"/>
        <w:rPr>
          <w:rFonts w:ascii="KaiTi" w:eastAsia="KaiTi" w:hAnsi="KaiTi" w:cs="KaiTi"/>
          <w:sz w:val="24"/>
          <w:szCs w:val="24"/>
        </w:rPr>
      </w:pPr>
      <w:r>
        <w:rPr>
          <w:rFonts w:ascii="KaiTi" w:eastAsia="KaiTi" w:hAnsi="KaiTi" w:cs="KaiTi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rFonts w:ascii="KaiTi" w:eastAsia="KaiTi" w:hAnsi="KaiTi" w:cs="KaiTi"/>
          <w:spacing w:val="-1"/>
          <w:sz w:val="24"/>
          <w:szCs w:val="24"/>
        </w:rPr>
        <w:t xml:space="preserve"> </w:t>
      </w:r>
      <w:r>
        <w:rPr>
          <w:rFonts w:ascii="KaiTi" w:eastAsia="KaiTi" w:hAnsi="KaiTi" w:cs="KaiTi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3：16、64</w:t>
      </w:r>
      <w:r>
        <w:rPr>
          <w:rFonts w:ascii="KaiTi" w:eastAsia="KaiTi" w:hAnsi="KaiTi" w:cs="KaiTi"/>
          <w:spacing w:val="-55"/>
          <w:sz w:val="24"/>
          <w:szCs w:val="24"/>
        </w:rPr>
        <w:t xml:space="preserve"> </w:t>
      </w:r>
      <w:r>
        <w:rPr>
          <w:rFonts w:ascii="KaiTi" w:eastAsia="KaiTi" w:hAnsi="KaiTi" w:cs="KaiTi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排</w:t>
      </w:r>
      <w:r>
        <w:rPr>
          <w:rFonts w:ascii="KaiTi" w:eastAsia="KaiTi" w:hAnsi="KaiTi" w:cs="KaiTi"/>
          <w:spacing w:val="-50"/>
          <w:sz w:val="24"/>
          <w:szCs w:val="24"/>
        </w:rPr>
        <w:t xml:space="preserve"> </w:t>
      </w:r>
      <w:r>
        <w:rPr>
          <w:rFonts w:ascii="KaiTi" w:eastAsia="KaiTi" w:hAnsi="KaiTi" w:cs="KaiTi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CT</w:t>
      </w:r>
      <w:r>
        <w:rPr>
          <w:rFonts w:ascii="KaiTi" w:eastAsia="KaiTi" w:hAnsi="KaiTi" w:cs="KaiTi"/>
          <w:spacing w:val="-50"/>
          <w:sz w:val="24"/>
          <w:szCs w:val="24"/>
        </w:rPr>
        <w:t xml:space="preserve"> </w:t>
      </w:r>
      <w:r>
        <w:rPr>
          <w:rFonts w:ascii="KaiTi" w:eastAsia="KaiTi" w:hAnsi="KaiTi" w:cs="KaiTi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设备技术指标</w:t>
      </w:r>
      <w:r>
        <w:rPr>
          <w:rFonts w:ascii="KaiTi" w:eastAsia="KaiTi" w:hAnsi="KaiTi" w:cs="KaiTi"/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与球管零组件技术水平</w:t>
      </w:r>
    </w:p>
    <w:tbl>
      <w:tblPr>
        <w:tblStyle w:val="TableNormal4"/>
        <w:tblW w:w="8287" w:type="dxa"/>
        <w:tblInd w:w="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550"/>
        <w:gridCol w:w="1975"/>
        <w:gridCol w:w="2699"/>
        <w:gridCol w:w="2063"/>
      </w:tblGrid>
      <w:tr>
        <w:tblPrEx>
          <w:tblW w:w="8287" w:type="dxa"/>
          <w:tblInd w:w="24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327"/>
        </w:trPr>
        <w:tc>
          <w:tcPr>
            <w:tcW w:w="1550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spacing w:before="69" w:line="221" w:lineRule="auto"/>
              <w:ind w:left="1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工艺要求</w:t>
            </w:r>
          </w:p>
        </w:tc>
        <w:tc>
          <w:tcPr>
            <w:tcW w:w="4674" w:type="dxa"/>
            <w:gridSpan w:val="2"/>
            <w:tcBorders>
              <w:top w:val="single" w:sz="10" w:space="0" w:color="000000"/>
            </w:tcBorders>
            <w:vAlign w:val="top"/>
          </w:tcPr>
          <w:p>
            <w:pPr>
              <w:spacing w:before="69" w:line="220" w:lineRule="auto"/>
              <w:ind w:left="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技术指标</w:t>
            </w:r>
          </w:p>
        </w:tc>
        <w:tc>
          <w:tcPr>
            <w:tcW w:w="2063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69" w:line="220" w:lineRule="auto"/>
              <w:ind w:left="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公司技术水平</w:t>
            </w:r>
          </w:p>
        </w:tc>
      </w:tr>
      <w:tr>
        <w:tblPrEx>
          <w:tblW w:w="8287" w:type="dxa"/>
          <w:tblInd w:w="24" w:type="dxa"/>
          <w:tblLayout w:type="fixed"/>
        </w:tblPrEx>
        <w:trPr>
          <w:trHeight w:val="301"/>
        </w:trPr>
        <w:tc>
          <w:tcPr>
            <w:tcW w:w="1550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spacing w:before="214" w:line="220" w:lineRule="auto"/>
              <w:ind w:left="1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大功率</w:t>
            </w:r>
          </w:p>
        </w:tc>
        <w:tc>
          <w:tcPr>
            <w:tcW w:w="1975" w:type="dxa"/>
            <w:vAlign w:val="top"/>
          </w:tcPr>
          <w:p>
            <w:pPr>
              <w:pStyle w:val="TableText"/>
              <w:spacing w:before="56" w:line="222" w:lineRule="auto"/>
              <w:ind w:left="93"/>
              <w:rPr>
                <w:rFonts w:ascii="SimSun" w:eastAsia="SimSun" w:hAnsi="SimSun" w:cs="SimSun"/>
              </w:rPr>
            </w:pPr>
            <w:r>
              <w:rPr>
                <w:spacing w:val="-1"/>
              </w:rPr>
              <w:t>&lt;16</w:t>
            </w:r>
            <w:r>
              <w:rPr>
                <w:spacing w:val="9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</w:rPr>
              <w:t>排</w:t>
            </w:r>
          </w:p>
        </w:tc>
        <w:tc>
          <w:tcPr>
            <w:tcW w:w="2699" w:type="dxa"/>
            <w:vAlign w:val="top"/>
          </w:tcPr>
          <w:p>
            <w:pPr>
              <w:pStyle w:val="TableText"/>
              <w:spacing w:before="81" w:line="190" w:lineRule="auto"/>
              <w:ind w:left="107"/>
            </w:pPr>
            <w:r>
              <w:rPr>
                <w:spacing w:val="-2"/>
              </w:rPr>
              <w:t>50kW</w:t>
            </w:r>
          </w:p>
        </w:tc>
        <w:tc>
          <w:tcPr>
            <w:tcW w:w="2063" w:type="dxa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spacing w:before="248" w:line="206" w:lineRule="auto"/>
              <w:ind w:left="136"/>
              <w:rPr>
                <w:rFonts w:ascii="Segoe UI Emoji" w:eastAsia="Segoe UI Emoji" w:hAnsi="Segoe UI Emoji" w:cs="Segoe UI Emoji"/>
                <w:sz w:val="18"/>
                <w:szCs w:val="18"/>
              </w:rPr>
            </w:pPr>
            <w:r>
              <w:rPr>
                <w:rFonts w:ascii="Segoe UI Emoji" w:eastAsia="Segoe UI Emoji" w:hAnsi="Segoe UI Emoji" w:cs="Segoe UI Emoji"/>
                <w:sz w:val="18"/>
                <w:szCs w:val="18"/>
              </w:rPr>
              <w:t>✔</w:t>
            </w:r>
          </w:p>
        </w:tc>
      </w:tr>
      <w:tr>
        <w:tblPrEx>
          <w:tblW w:w="8287" w:type="dxa"/>
          <w:tblInd w:w="24" w:type="dxa"/>
          <w:tblLayout w:type="fixed"/>
        </w:tblPrEx>
        <w:trPr>
          <w:trHeight w:val="301"/>
        </w:trPr>
        <w:tc>
          <w:tcPr>
            <w:tcW w:w="1550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5" w:type="dxa"/>
            <w:vAlign w:val="top"/>
          </w:tcPr>
          <w:p>
            <w:pPr>
              <w:pStyle w:val="TableText"/>
              <w:spacing w:before="59" w:line="222" w:lineRule="auto"/>
              <w:ind w:left="115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6"/>
              </w:rPr>
              <w:t>≥</w:t>
            </w:r>
            <w:r>
              <w:rPr>
                <w:spacing w:val="-6"/>
              </w:rPr>
              <w:t>64</w:t>
            </w:r>
            <w:r>
              <w:rPr>
                <w:spacing w:val="9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</w:rPr>
              <w:t>排</w:t>
            </w:r>
          </w:p>
        </w:tc>
        <w:tc>
          <w:tcPr>
            <w:tcW w:w="2699" w:type="dxa"/>
            <w:vAlign w:val="top"/>
          </w:tcPr>
          <w:p>
            <w:pPr>
              <w:pStyle w:val="TableText"/>
              <w:spacing w:before="87" w:line="190" w:lineRule="auto"/>
              <w:ind w:left="105"/>
            </w:pPr>
            <w:r>
              <w:rPr>
                <w:spacing w:val="-3"/>
              </w:rPr>
              <w:t>70kW-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100kW</w:t>
            </w:r>
          </w:p>
        </w:tc>
        <w:tc>
          <w:tcPr>
            <w:tcW w:w="2063" w:type="dxa"/>
            <w:vMerge/>
            <w:tcBorders>
              <w:top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87" w:type="dxa"/>
          <w:tblInd w:w="24" w:type="dxa"/>
          <w:tblLayout w:type="fixed"/>
        </w:tblPrEx>
        <w:trPr>
          <w:trHeight w:val="304"/>
        </w:trPr>
        <w:tc>
          <w:tcPr>
            <w:tcW w:w="1550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spacing w:before="223" w:line="220" w:lineRule="auto"/>
              <w:ind w:left="1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高热容量</w:t>
            </w:r>
          </w:p>
        </w:tc>
        <w:tc>
          <w:tcPr>
            <w:tcW w:w="1975" w:type="dxa"/>
            <w:vAlign w:val="top"/>
          </w:tcPr>
          <w:p>
            <w:pPr>
              <w:pStyle w:val="TableText"/>
              <w:spacing w:before="62" w:line="222" w:lineRule="auto"/>
              <w:ind w:left="93"/>
              <w:rPr>
                <w:rFonts w:ascii="SimSun" w:eastAsia="SimSun" w:hAnsi="SimSun" w:cs="SimSun"/>
              </w:rPr>
            </w:pPr>
            <w:r>
              <w:rPr>
                <w:spacing w:val="-1"/>
              </w:rPr>
              <w:t>&lt;16</w:t>
            </w:r>
            <w:r>
              <w:rPr>
                <w:spacing w:val="9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</w:rPr>
              <w:t>排</w:t>
            </w:r>
          </w:p>
        </w:tc>
        <w:tc>
          <w:tcPr>
            <w:tcW w:w="2699" w:type="dxa"/>
            <w:vAlign w:val="top"/>
          </w:tcPr>
          <w:p>
            <w:pPr>
              <w:pStyle w:val="TableText"/>
              <w:spacing w:before="93" w:line="186" w:lineRule="auto"/>
              <w:ind w:left="102"/>
            </w:pPr>
            <w:r>
              <w:rPr>
                <w:spacing w:val="-1"/>
              </w:rPr>
              <w:t>2MHU-5.3MHU</w:t>
            </w:r>
          </w:p>
        </w:tc>
        <w:tc>
          <w:tcPr>
            <w:tcW w:w="2063" w:type="dxa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spacing w:before="256" w:line="206" w:lineRule="auto"/>
              <w:ind w:left="136"/>
              <w:rPr>
                <w:rFonts w:ascii="Segoe UI Emoji" w:eastAsia="Segoe UI Emoji" w:hAnsi="Segoe UI Emoji" w:cs="Segoe UI Emoji"/>
                <w:sz w:val="18"/>
                <w:szCs w:val="18"/>
              </w:rPr>
            </w:pPr>
            <w:r>
              <w:rPr>
                <w:rFonts w:ascii="Segoe UI Emoji" w:eastAsia="Segoe UI Emoji" w:hAnsi="Segoe UI Emoji" w:cs="Segoe UI Emoji"/>
                <w:sz w:val="18"/>
                <w:szCs w:val="18"/>
              </w:rPr>
              <w:t>✔</w:t>
            </w:r>
          </w:p>
        </w:tc>
      </w:tr>
      <w:tr>
        <w:tblPrEx>
          <w:tblW w:w="8287" w:type="dxa"/>
          <w:tblInd w:w="24" w:type="dxa"/>
          <w:tblLayout w:type="fixed"/>
        </w:tblPrEx>
        <w:trPr>
          <w:trHeight w:val="301"/>
        </w:trPr>
        <w:tc>
          <w:tcPr>
            <w:tcW w:w="1550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5" w:type="dxa"/>
            <w:vAlign w:val="top"/>
          </w:tcPr>
          <w:p>
            <w:pPr>
              <w:pStyle w:val="TableText"/>
              <w:spacing w:before="65" w:line="222" w:lineRule="auto"/>
              <w:ind w:left="115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6"/>
              </w:rPr>
              <w:t>≥</w:t>
            </w:r>
            <w:r>
              <w:rPr>
                <w:spacing w:val="-6"/>
              </w:rPr>
              <w:t>64</w:t>
            </w:r>
            <w:r>
              <w:rPr>
                <w:spacing w:val="9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</w:rPr>
              <w:t>排</w:t>
            </w:r>
          </w:p>
        </w:tc>
        <w:tc>
          <w:tcPr>
            <w:tcW w:w="2699" w:type="dxa"/>
            <w:vAlign w:val="top"/>
          </w:tcPr>
          <w:p>
            <w:pPr>
              <w:pStyle w:val="TableText"/>
              <w:spacing w:before="94" w:line="186" w:lineRule="auto"/>
              <w:ind w:left="107"/>
            </w:pPr>
            <w:r>
              <w:rPr>
                <w:spacing w:val="-1"/>
              </w:rPr>
              <w:t>5.3MHU-8MHU</w:t>
            </w:r>
          </w:p>
        </w:tc>
        <w:tc>
          <w:tcPr>
            <w:tcW w:w="2063" w:type="dxa"/>
            <w:vMerge/>
            <w:tcBorders>
              <w:top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87" w:type="dxa"/>
          <w:tblInd w:w="24" w:type="dxa"/>
          <w:tblLayout w:type="fixed"/>
        </w:tblPrEx>
        <w:trPr>
          <w:trHeight w:val="301"/>
        </w:trPr>
        <w:tc>
          <w:tcPr>
            <w:tcW w:w="1550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spacing w:before="229" w:line="220" w:lineRule="auto"/>
              <w:ind w:left="1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高转速</w:t>
            </w:r>
          </w:p>
        </w:tc>
        <w:tc>
          <w:tcPr>
            <w:tcW w:w="1975" w:type="dxa"/>
            <w:vAlign w:val="top"/>
          </w:tcPr>
          <w:p>
            <w:pPr>
              <w:pStyle w:val="TableText"/>
              <w:spacing w:before="68" w:line="222" w:lineRule="auto"/>
              <w:ind w:left="93"/>
              <w:rPr>
                <w:rFonts w:ascii="SimSun" w:eastAsia="SimSun" w:hAnsi="SimSun" w:cs="SimSun"/>
              </w:rPr>
            </w:pPr>
            <w:r>
              <w:rPr>
                <w:spacing w:val="-1"/>
              </w:rPr>
              <w:t>&lt;16</w:t>
            </w:r>
            <w:r>
              <w:rPr>
                <w:spacing w:val="9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</w:rPr>
              <w:t>排</w:t>
            </w:r>
          </w:p>
        </w:tc>
        <w:tc>
          <w:tcPr>
            <w:tcW w:w="2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3" w:type="dxa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spacing w:before="260" w:line="206" w:lineRule="auto"/>
              <w:ind w:left="136"/>
              <w:rPr>
                <w:rFonts w:ascii="Segoe UI Emoji" w:eastAsia="Segoe UI Emoji" w:hAnsi="Segoe UI Emoji" w:cs="Segoe UI Emoji"/>
                <w:sz w:val="18"/>
                <w:szCs w:val="18"/>
              </w:rPr>
            </w:pPr>
            <w:r>
              <w:rPr>
                <w:rFonts w:ascii="Segoe UI Emoji" w:eastAsia="Segoe UI Emoji" w:hAnsi="Segoe UI Emoji" w:cs="Segoe UI Emoji"/>
                <w:sz w:val="18"/>
                <w:szCs w:val="18"/>
              </w:rPr>
              <w:t>✔</w:t>
            </w:r>
          </w:p>
        </w:tc>
      </w:tr>
      <w:tr>
        <w:tblPrEx>
          <w:tblW w:w="8287" w:type="dxa"/>
          <w:tblInd w:w="24" w:type="dxa"/>
          <w:tblLayout w:type="fixed"/>
        </w:tblPrEx>
        <w:trPr>
          <w:trHeight w:val="304"/>
        </w:trPr>
        <w:tc>
          <w:tcPr>
            <w:tcW w:w="1550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5" w:type="dxa"/>
            <w:vAlign w:val="top"/>
          </w:tcPr>
          <w:p>
            <w:pPr>
              <w:pStyle w:val="TableText"/>
              <w:spacing w:before="71" w:line="222" w:lineRule="auto"/>
              <w:ind w:left="115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6"/>
              </w:rPr>
              <w:t>≥</w:t>
            </w:r>
            <w:r>
              <w:rPr>
                <w:spacing w:val="-6"/>
              </w:rPr>
              <w:t>64</w:t>
            </w:r>
            <w:r>
              <w:rPr>
                <w:spacing w:val="9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</w:rPr>
              <w:t>排</w:t>
            </w:r>
          </w:p>
        </w:tc>
        <w:tc>
          <w:tcPr>
            <w:tcW w:w="2699" w:type="dxa"/>
            <w:vAlign w:val="top"/>
          </w:tcPr>
          <w:p>
            <w:pPr>
              <w:pStyle w:val="TableText"/>
              <w:spacing w:before="99" w:line="190" w:lineRule="auto"/>
              <w:ind w:left="105"/>
            </w:pPr>
            <w:r>
              <w:rPr>
                <w:spacing w:val="-1"/>
              </w:rPr>
              <w:t>0.35s/r</w:t>
            </w:r>
          </w:p>
        </w:tc>
        <w:tc>
          <w:tcPr>
            <w:tcW w:w="2063" w:type="dxa"/>
            <w:vMerge/>
            <w:tcBorders>
              <w:top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87" w:type="dxa"/>
          <w:tblInd w:w="24" w:type="dxa"/>
          <w:tblLayout w:type="fixed"/>
        </w:tblPrEx>
        <w:trPr>
          <w:trHeight w:val="302"/>
        </w:trPr>
        <w:tc>
          <w:tcPr>
            <w:tcW w:w="1550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spacing w:before="232" w:line="220" w:lineRule="auto"/>
              <w:ind w:left="1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高真空</w:t>
            </w:r>
          </w:p>
        </w:tc>
        <w:tc>
          <w:tcPr>
            <w:tcW w:w="1975" w:type="dxa"/>
            <w:vAlign w:val="top"/>
          </w:tcPr>
          <w:p>
            <w:pPr>
              <w:pStyle w:val="TableText"/>
              <w:spacing w:before="74" w:line="222" w:lineRule="auto"/>
              <w:ind w:left="93"/>
              <w:rPr>
                <w:rFonts w:ascii="SimSun" w:eastAsia="SimSun" w:hAnsi="SimSun" w:cs="SimSun"/>
              </w:rPr>
            </w:pPr>
            <w:r>
              <w:rPr>
                <w:spacing w:val="-1"/>
              </w:rPr>
              <w:t>&lt;16</w:t>
            </w:r>
            <w:r>
              <w:rPr>
                <w:spacing w:val="9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</w:rPr>
              <w:t>排</w:t>
            </w:r>
          </w:p>
        </w:tc>
        <w:tc>
          <w:tcPr>
            <w:tcW w:w="2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3" w:type="dxa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spacing w:before="266" w:line="206" w:lineRule="auto"/>
              <w:ind w:left="136"/>
              <w:rPr>
                <w:rFonts w:ascii="Segoe UI Emoji" w:eastAsia="Segoe UI Emoji" w:hAnsi="Segoe UI Emoji" w:cs="Segoe UI Emoji"/>
                <w:sz w:val="18"/>
                <w:szCs w:val="18"/>
              </w:rPr>
            </w:pPr>
            <w:r>
              <w:rPr>
                <w:rFonts w:ascii="Segoe UI Emoji" w:eastAsia="Segoe UI Emoji" w:hAnsi="Segoe UI Emoji" w:cs="Segoe UI Emoji"/>
                <w:sz w:val="18"/>
                <w:szCs w:val="18"/>
              </w:rPr>
              <w:t>✔</w:t>
            </w:r>
          </w:p>
        </w:tc>
      </w:tr>
      <w:tr>
        <w:tblPrEx>
          <w:tblW w:w="8287" w:type="dxa"/>
          <w:tblInd w:w="24" w:type="dxa"/>
          <w:tblLayout w:type="fixed"/>
        </w:tblPrEx>
        <w:trPr>
          <w:trHeight w:val="324"/>
        </w:trPr>
        <w:tc>
          <w:tcPr>
            <w:tcW w:w="1550" w:type="dxa"/>
            <w:vMerge/>
            <w:tcBorders>
              <w:top w:val="nil"/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5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77" w:line="222" w:lineRule="auto"/>
              <w:ind w:left="115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6"/>
              </w:rPr>
              <w:t>≥</w:t>
            </w:r>
            <w:r>
              <w:rPr>
                <w:spacing w:val="-6"/>
              </w:rPr>
              <w:t>64</w:t>
            </w:r>
            <w:r>
              <w:rPr>
                <w:spacing w:val="9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</w:rPr>
              <w:t>排</w:t>
            </w:r>
          </w:p>
        </w:tc>
        <w:tc>
          <w:tcPr>
            <w:tcW w:w="2699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77" w:line="220" w:lineRule="auto"/>
              <w:ind w:left="105"/>
            </w:pPr>
            <w:r>
              <w:rPr>
                <w:rFonts w:ascii="SimSun" w:eastAsia="SimSun" w:hAnsi="SimSun" w:cs="SimSun"/>
                <w:spacing w:val="-2"/>
              </w:rPr>
              <w:t>漏率</w:t>
            </w:r>
            <w:r>
              <w:rPr>
                <w:spacing w:val="-2"/>
              </w:rPr>
              <w:t>&lt;1.3e -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10 Pa.m3/s</w:t>
            </w:r>
          </w:p>
        </w:tc>
        <w:tc>
          <w:tcPr>
            <w:tcW w:w="2063" w:type="dxa"/>
            <w:vMerge/>
            <w:tcBorders>
              <w:top w:val="nil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33" w:line="466" w:lineRule="exact"/>
        <w:ind w:right="2"/>
        <w:jc w:val="right"/>
      </w:pPr>
      <w:r>
        <w:rPr>
          <w:spacing w:val="-12"/>
          <w:position w:val="17"/>
        </w:rPr>
        <w:t>项目实施后，</w:t>
      </w:r>
      <w:r>
        <w:rPr>
          <w:spacing w:val="36"/>
          <w:position w:val="17"/>
        </w:rPr>
        <w:t xml:space="preserve"> </w:t>
      </w:r>
      <w:r>
        <w:rPr>
          <w:spacing w:val="-12"/>
          <w:position w:val="17"/>
        </w:rPr>
        <w:t>公司将大幅提升球管零组件向国内外批量供货的能力，</w:t>
      </w:r>
      <w:r>
        <w:rPr>
          <w:spacing w:val="25"/>
          <w:position w:val="17"/>
        </w:rPr>
        <w:t xml:space="preserve"> </w:t>
      </w:r>
      <w:r>
        <w:rPr>
          <w:spacing w:val="-12"/>
          <w:position w:val="17"/>
        </w:rPr>
        <w:t>实现产</w:t>
      </w:r>
    </w:p>
    <w:p>
      <w:pPr>
        <w:pStyle w:val="BodyText"/>
        <w:spacing w:before="1" w:line="218" w:lineRule="auto"/>
        <w:ind w:left="41"/>
      </w:pPr>
      <w:r>
        <w:rPr>
          <w:spacing w:val="-3"/>
        </w:rPr>
        <w:t>品的下游延伸，提高产品附加值，提升公司核心竞争力。</w:t>
      </w:r>
    </w:p>
    <w:p>
      <w:pPr>
        <w:pStyle w:val="BodyText"/>
        <w:spacing w:before="182" w:line="220" w:lineRule="auto"/>
        <w:ind w:left="498"/>
        <w:outlineLvl w:val="1"/>
      </w:pPr>
      <w:r>
        <w:rPr>
          <w:rFonts w:ascii="Times New Roman" w:eastAsia="Times New Roman" w:hAnsi="Times New Roman" w:cs="Times New Roman"/>
          <w:b/>
          <w:bCs/>
          <w:spacing w:val="-4"/>
        </w:rPr>
        <w:t>3</w:t>
      </w:r>
      <w:r>
        <w:rPr>
          <w:spacing w:val="-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、项目建设有利于实现公司产能扩充，</w:t>
      </w:r>
      <w:r>
        <w:rPr>
          <w:spacing w:val="-4"/>
        </w:rPr>
        <w:t xml:space="preserve"> </w:t>
      </w:r>
      <w:r>
        <w:rPr>
          <w:spacing w:val="-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满足市场持续增长的需求</w:t>
      </w:r>
    </w:p>
    <w:p>
      <w:pPr>
        <w:pStyle w:val="BodyText"/>
        <w:spacing w:before="181" w:line="359" w:lineRule="auto"/>
        <w:ind w:left="17" w:right="7" w:firstLine="483"/>
        <w:jc w:val="both"/>
      </w:pPr>
      <w:r>
        <w:rPr>
          <w:spacing w:val="-10"/>
        </w:rPr>
        <w:t>据华泰证券数据，</w:t>
      </w:r>
      <w:r>
        <w:rPr>
          <w:spacing w:val="78"/>
        </w:rPr>
        <w:t xml:space="preserve"> </w:t>
      </w:r>
      <w:r>
        <w:rPr>
          <w:spacing w:val="-10"/>
        </w:rPr>
        <w:t>国内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 xml:space="preserve">2030 </w:t>
      </w:r>
      <w:r>
        <w:rPr>
          <w:spacing w:val="-10"/>
        </w:rPr>
        <w:t>年</w:t>
      </w:r>
      <w:r>
        <w:rPr>
          <w:spacing w:val="-52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 xml:space="preserve">CT </w:t>
      </w:r>
      <w:r>
        <w:rPr>
          <w:spacing w:val="-10"/>
        </w:rPr>
        <w:t>球管总需求量将达到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>6.31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-10"/>
        </w:rPr>
        <w:t xml:space="preserve">万只， </w:t>
      </w:r>
      <w:r>
        <w:rPr>
          <w:rFonts w:ascii="Times New Roman" w:eastAsia="Times New Roman" w:hAnsi="Times New Roman" w:cs="Times New Roman"/>
          <w:spacing w:val="-10"/>
        </w:rPr>
        <w:t>2023</w:t>
      </w:r>
      <w:r>
        <w:rPr>
          <w:rFonts w:ascii="Times New Roman" w:eastAsia="Times New Roman" w:hAnsi="Times New Roman" w:cs="Times New Roman"/>
          <w:spacing w:val="11"/>
        </w:rPr>
        <w:t xml:space="preserve"> </w:t>
      </w:r>
      <w:r>
        <w:rPr>
          <w:spacing w:val="-10"/>
        </w:rPr>
        <w:t>至</w:t>
      </w:r>
      <w: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2030 </w:t>
      </w:r>
      <w:r>
        <w:rPr>
          <w:spacing w:val="-5"/>
        </w:rPr>
        <w:t>年复合增速为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9.24</w:t>
      </w:r>
      <w:r>
        <w:rPr>
          <w:spacing w:val="-44"/>
        </w:rPr>
        <w:t>％，</w:t>
      </w:r>
      <w:r>
        <w:rPr>
          <w:spacing w:val="-68"/>
        </w:rPr>
        <w:t xml:space="preserve"> </w:t>
      </w:r>
      <w:r>
        <w:rPr>
          <w:spacing w:val="-5"/>
        </w:rPr>
        <w:t>未来随着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CT </w:t>
      </w:r>
      <w:r>
        <w:rPr>
          <w:spacing w:val="-5"/>
        </w:rPr>
        <w:t>球管国内产能供给释放， 相关</w:t>
      </w:r>
      <w:r>
        <w:rPr>
          <w:spacing w:val="-6"/>
        </w:rPr>
        <w:t>医疗装备</w:t>
      </w:r>
    </w:p>
    <w:p>
      <w:pPr>
        <w:pStyle w:val="BodyText"/>
        <w:spacing w:line="219" w:lineRule="auto"/>
        <w:ind w:left="22"/>
      </w:pPr>
      <w:r>
        <w:rPr>
          <w:spacing w:val="-4"/>
        </w:rPr>
        <w:t>零组件国产替代规模可观。</w:t>
      </w:r>
    </w:p>
    <w:p>
      <w:pPr>
        <w:spacing w:before="183" w:line="212" w:lineRule="auto"/>
        <w:ind w:left="1972"/>
        <w:rPr>
          <w:rFonts w:ascii="KaiTi" w:eastAsia="KaiTi" w:hAnsi="KaiTi" w:cs="KaiTi"/>
          <w:sz w:val="24"/>
          <w:szCs w:val="24"/>
        </w:rPr>
      </w:pPr>
      <w:r>
        <w:rPr>
          <w:rFonts w:ascii="KaiTi" w:eastAsia="KaiTi" w:hAnsi="KaiTi" w:cs="KaiTi"/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rFonts w:ascii="KaiTi" w:eastAsia="KaiTi" w:hAnsi="KaiTi" w:cs="KaiTi"/>
          <w:spacing w:val="-2"/>
          <w:sz w:val="24"/>
          <w:szCs w:val="24"/>
        </w:rPr>
        <w:t xml:space="preserve"> </w:t>
      </w:r>
      <w:r>
        <w:rPr>
          <w:rFonts w:ascii="KaiTi" w:eastAsia="KaiTi" w:hAnsi="KaiTi" w:cs="KaiTi"/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4：国内</w:t>
      </w:r>
      <w:r>
        <w:rPr>
          <w:rFonts w:ascii="KaiTi" w:eastAsia="KaiTi" w:hAnsi="KaiTi" w:cs="KaiTi"/>
          <w:spacing w:val="-37"/>
          <w:sz w:val="24"/>
          <w:szCs w:val="24"/>
        </w:rPr>
        <w:t xml:space="preserve"> </w:t>
      </w:r>
      <w:r>
        <w:rPr>
          <w:rFonts w:ascii="KaiTi" w:eastAsia="KaiTi" w:hAnsi="KaiTi" w:cs="KaiTi"/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CT</w:t>
      </w:r>
      <w:r>
        <w:rPr>
          <w:rFonts w:ascii="KaiTi" w:eastAsia="KaiTi" w:hAnsi="KaiTi" w:cs="KaiTi"/>
          <w:spacing w:val="-48"/>
          <w:sz w:val="24"/>
          <w:szCs w:val="24"/>
        </w:rPr>
        <w:t xml:space="preserve"> </w:t>
      </w:r>
      <w:r>
        <w:rPr>
          <w:rFonts w:ascii="KaiTi" w:eastAsia="KaiTi" w:hAnsi="KaiTi" w:cs="KaiTi"/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球管总需求，2021-2030E</w:t>
      </w:r>
    </w:p>
    <w:p>
      <w:pPr>
        <w:pStyle w:val="BodyText"/>
        <w:spacing w:before="33" w:line="210" w:lineRule="auto"/>
        <w:ind w:right="1"/>
        <w:jc w:val="right"/>
        <w:rPr>
          <w:sz w:val="21"/>
          <w:szCs w:val="21"/>
        </w:rPr>
      </w:pPr>
      <w:r>
        <w:rPr>
          <w:spacing w:val="-23"/>
          <w:sz w:val="21"/>
          <w:szCs w:val="21"/>
        </w:rPr>
        <w:t>单位：</w:t>
      </w:r>
      <w:r>
        <w:rPr>
          <w:spacing w:val="8"/>
          <w:sz w:val="21"/>
          <w:szCs w:val="21"/>
        </w:rPr>
        <w:t xml:space="preserve"> </w:t>
      </w:r>
      <w:r>
        <w:rPr>
          <w:spacing w:val="-23"/>
          <w:sz w:val="21"/>
          <w:szCs w:val="21"/>
        </w:rPr>
        <w:t>万只</w:t>
      </w:r>
    </w:p>
    <w:p>
      <w:pPr>
        <w:spacing w:line="12" w:lineRule="exact"/>
        <w:ind w:left="12"/>
      </w:pPr>
      <w:r>
        <w:drawing>
          <wp:inline distT="0" distB="0" distL="0" distR="0">
            <wp:extent cx="3047" cy="761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7" cy="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3146" w:lineRule="exact"/>
        <w:ind w:left="11"/>
      </w:pPr>
      <w:r>
        <w:rPr>
          <w:position w:val="-63"/>
        </w:rPr>
        <w:drawing>
          <wp:inline distT="0" distB="0" distL="0" distR="0">
            <wp:extent cx="5283377" cy="1997964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83377" cy="1997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2" w:line="213" w:lineRule="auto"/>
        <w:ind w:left="29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pacing w:val="-4"/>
          <w:sz w:val="21"/>
          <w:szCs w:val="21"/>
        </w:rPr>
        <w:t>资料来源：</w:t>
      </w:r>
      <w:r>
        <w:rPr>
          <w:rFonts w:ascii="KaiTi" w:eastAsia="KaiTi" w:hAnsi="KaiTi" w:cs="KaiTi"/>
          <w:spacing w:val="-4"/>
          <w:sz w:val="21"/>
          <w:szCs w:val="21"/>
        </w:rPr>
        <w:t xml:space="preserve"> </w:t>
      </w:r>
      <w:r>
        <w:rPr>
          <w:rFonts w:ascii="KaiTi" w:eastAsia="KaiTi" w:hAnsi="KaiTi" w:cs="KaiTi"/>
          <w:spacing w:val="-4"/>
          <w:sz w:val="21"/>
          <w:szCs w:val="21"/>
        </w:rPr>
        <w:t>华泰证券，《铜基材料平台型龙头，多领域持续突破》</w:t>
      </w:r>
    </w:p>
    <w:p>
      <w:pPr>
        <w:pStyle w:val="BodyText"/>
        <w:spacing w:before="35" w:line="359" w:lineRule="auto"/>
        <w:ind w:left="21" w:right="5" w:firstLine="487"/>
        <w:jc w:val="both"/>
        <w:sectPr>
          <w:pgSz w:w="11907" w:h="16839"/>
          <w:pgMar w:top="1425" w:right="1785" w:bottom="0" w:left="1785" w:header="0" w:footer="0" w:gutter="0"/>
          <w:pgNumType w:start="9"/>
          <w:cols w:space="708"/>
        </w:sectPr>
      </w:pPr>
      <w:r>
        <w:rPr>
          <w:spacing w:val="-7"/>
        </w:rPr>
        <w:t>公司现有产能难以满足持续增长的市场需求， 亟需通过新建生产线来提高产</w:t>
      </w:r>
      <w:r>
        <w:rPr>
          <w:spacing w:val="13"/>
        </w:rPr>
        <w:t xml:space="preserve"> </w:t>
      </w:r>
      <w:r>
        <w:rPr>
          <w:spacing w:val="-7"/>
        </w:rPr>
        <w:t>品产能。过去三年，</w:t>
      </w:r>
      <w:r>
        <w:rPr>
          <w:spacing w:val="53"/>
        </w:rPr>
        <w:t xml:space="preserve"> </w:t>
      </w:r>
      <w:r>
        <w:rPr>
          <w:spacing w:val="-7"/>
        </w:rPr>
        <w:t>公司整个医疗板块业务的产能利用率超过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80%</w:t>
      </w:r>
      <w:r>
        <w:rPr>
          <w:spacing w:val="-7"/>
        </w:rPr>
        <w:t>，其中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 xml:space="preserve">CT </w:t>
      </w:r>
      <w:r>
        <w:rPr>
          <w:spacing w:val="-7"/>
        </w:rPr>
        <w:t>球</w:t>
      </w:r>
      <w:r>
        <w:t xml:space="preserve"> </w:t>
      </w:r>
      <w:r>
        <w:t xml:space="preserve">管零组件产品产能利用率均值为 </w:t>
      </w:r>
      <w:r>
        <w:rPr>
          <w:rFonts w:ascii="Times New Roman" w:eastAsia="Times New Roman" w:hAnsi="Times New Roman" w:cs="Times New Roman"/>
        </w:rPr>
        <w:t>84.41%</w:t>
      </w:r>
      <w:r>
        <w:rPr>
          <w:rFonts w:ascii="Times New Roman" w:eastAsia="Times New Roman" w:hAnsi="Times New Roman" w:cs="Times New Roman"/>
          <w:spacing w:val="-31"/>
        </w:rPr>
        <w:t xml:space="preserve"> </w:t>
      </w:r>
      <w:r>
        <w:t>，</w:t>
      </w:r>
      <w:r>
        <w:rPr>
          <w:rFonts w:ascii="Times New Roman" w:eastAsia="Times New Roman" w:hAnsi="Times New Roman" w:cs="Times New Roman"/>
        </w:rPr>
        <w:t xml:space="preserve">DR  </w:t>
      </w:r>
      <w:r>
        <w:t xml:space="preserve">射线管零组件产能利用率均值为 </w:t>
      </w:r>
    </w:p>
    <w:p>
      <w:pPr>
        <w:pStyle w:val="BodyText"/>
        <w:spacing w:before="35" w:line="359" w:lineRule="auto"/>
        <w:ind w:left="21" w:right="5" w:firstLine="487"/>
        <w:jc w:val="both"/>
      </w:pPr>
      <w:r>
        <w:rPr>
          <w:rFonts w:ascii="Times New Roman" w:eastAsia="Times New Roman" w:hAnsi="Times New Roman" w:cs="Times New Roman"/>
          <w:spacing w:val="-10"/>
        </w:rPr>
        <w:t>81.66</w:t>
      </w:r>
      <w:r>
        <w:rPr>
          <w:rFonts w:ascii="Times New Roman" w:eastAsia="Times New Roman" w:hAnsi="Times New Roman" w:cs="Times New Roman"/>
          <w:spacing w:val="-9"/>
        </w:rPr>
        <w:t>%</w:t>
      </w:r>
      <w:r>
        <w:rPr>
          <w:spacing w:val="-9"/>
        </w:rPr>
        <w:t>。项目实施后，</w:t>
      </w:r>
      <w:r>
        <w:rPr>
          <w:spacing w:val="73"/>
        </w:rPr>
        <w:t xml:space="preserve"> </w:t>
      </w:r>
      <w:r>
        <w:rPr>
          <w:spacing w:val="-9"/>
        </w:rPr>
        <w:t>公司将实现年产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 xml:space="preserve">30,000 </w:t>
      </w:r>
      <w:r>
        <w:rPr>
          <w:spacing w:val="-9"/>
        </w:rPr>
        <w:t>套</w:t>
      </w:r>
      <w:r>
        <w:rPr>
          <w:spacing w:val="-52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 xml:space="preserve">CT </w:t>
      </w:r>
      <w:r>
        <w:rPr>
          <w:spacing w:val="-9"/>
        </w:rPr>
        <w:t>球管零组件、</w:t>
      </w:r>
      <w:r>
        <w:rPr>
          <w:spacing w:val="54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 xml:space="preserve">15,000 </w:t>
      </w:r>
      <w:r>
        <w:rPr>
          <w:spacing w:val="-9"/>
        </w:rPr>
        <w:t>套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D</w:t>
      </w:r>
      <w:r>
        <w:rPr>
          <w:rFonts w:ascii="Times New Roman" w:eastAsia="Times New Roman" w:hAnsi="Times New Roman" w:cs="Times New Roman"/>
          <w:spacing w:val="-4"/>
        </w:rPr>
        <w:t>R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6"/>
        </w:rPr>
        <w:t>射线管零组件的生产能力。项目实施有利于实现公司产能扩充， 满足持续增长的</w:t>
      </w:r>
    </w:p>
    <w:p>
      <w:pPr>
        <w:pStyle w:val="BodyText"/>
        <w:spacing w:line="219" w:lineRule="auto"/>
        <w:ind w:left="27"/>
      </w:pPr>
      <w:r>
        <w:rPr>
          <w:spacing w:val="-9"/>
        </w:rPr>
        <w:t>市场需求。</w:t>
      </w:r>
    </w:p>
    <w:p>
      <w:pPr>
        <w:spacing w:line="219" w:lineRule="auto"/>
        <w:sectPr>
          <w:type w:val="nextPage"/>
          <w:pgSz w:w="11907" w:h="16839"/>
          <w:pgMar w:top="1425" w:right="1785" w:bottom="0" w:left="1785" w:header="0" w:footer="0" w:gutter="0"/>
          <w:pgNumType w:start="10"/>
          <w:cols w:space="708"/>
          <w:titlePg w:val="0"/>
        </w:sectPr>
      </w:pPr>
    </w:p>
    <w:p>
      <w:pPr>
        <w:pStyle w:val="BodyText"/>
        <w:spacing w:before="47" w:line="220" w:lineRule="auto"/>
        <w:ind w:left="500"/>
        <w:outlineLvl w:val="1"/>
      </w:pPr>
      <w:r>
        <w:rPr>
          <w:rFonts w:ascii="Times New Roman" w:eastAsia="Times New Roman" w:hAnsi="Times New Roman" w:cs="Times New Roman"/>
          <w:b/>
          <w:bCs/>
          <w:spacing w:val="1"/>
        </w:rPr>
        <w:t>4</w:t>
      </w:r>
      <w:r>
        <w:rPr>
          <w:spacing w:val="1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、项目建设有利于丰富公司产品矩阵，增强公司盈利能力</w:t>
      </w:r>
    </w:p>
    <w:p>
      <w:pPr>
        <w:pStyle w:val="BodyText"/>
        <w:spacing w:before="183" w:line="359" w:lineRule="auto"/>
        <w:ind w:left="23" w:right="78" w:firstLine="477"/>
        <w:jc w:val="both"/>
      </w:pPr>
      <w:r>
        <w:rPr>
          <w:spacing w:val="-12"/>
        </w:rPr>
        <w:t>在国家双碳政策下，</w:t>
      </w:r>
      <w:r>
        <w:rPr>
          <w:spacing w:val="37"/>
        </w:rPr>
        <w:t xml:space="preserve"> </w:t>
      </w:r>
      <w:r>
        <w:rPr>
          <w:spacing w:val="-12"/>
        </w:rPr>
        <w:t>真空灭弧室行业有了新</w:t>
      </w:r>
      <w:r>
        <w:rPr>
          <w:spacing w:val="-13"/>
        </w:rPr>
        <w:t>的机遇。在电力开关领域，</w:t>
      </w:r>
      <w:r>
        <w:rPr>
          <w:spacing w:val="37"/>
        </w:rPr>
        <w:t xml:space="preserve"> </w:t>
      </w:r>
      <w:r>
        <w:rPr>
          <w:spacing w:val="-13"/>
        </w:rPr>
        <w:t>真空</w:t>
      </w:r>
      <w:r>
        <w:t xml:space="preserve"> </w:t>
      </w:r>
      <w:r>
        <w:rPr>
          <w:spacing w:val="-4"/>
        </w:rPr>
        <w:t>灭弧室主要应用于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12kV~40.5kV</w:t>
      </w:r>
      <w:r>
        <w:rPr>
          <w:rFonts w:ascii="Times New Roman" w:eastAsia="Times New Roman" w:hAnsi="Times New Roman" w:cs="Times New Roman"/>
          <w:spacing w:val="38"/>
        </w:rPr>
        <w:t xml:space="preserve"> </w:t>
      </w:r>
      <w:r>
        <w:rPr>
          <w:spacing w:val="-4"/>
        </w:rPr>
        <w:t>电压等级范围，</w:t>
      </w:r>
      <w:r>
        <w:rPr>
          <w:spacing w:val="-41"/>
        </w:rPr>
        <w:t xml:space="preserve"> </w:t>
      </w:r>
      <w:r>
        <w:rPr>
          <w:spacing w:val="-4"/>
        </w:rPr>
        <w:t>在电压等级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72</w:t>
      </w:r>
      <w:r>
        <w:rPr>
          <w:rFonts w:ascii="Times New Roman" w:eastAsia="Times New Roman" w:hAnsi="Times New Roman" w:cs="Times New Roman"/>
          <w:spacing w:val="-5"/>
        </w:rPr>
        <w:t xml:space="preserve">.5kV </w:t>
      </w:r>
      <w:r>
        <w:rPr>
          <w:spacing w:val="-5"/>
        </w:rPr>
        <w:t>及以上电压</w:t>
      </w:r>
      <w:r>
        <w:t xml:space="preserve"> </w:t>
      </w:r>
      <w:r>
        <w:rPr>
          <w:spacing w:val="-6"/>
        </w:rPr>
        <w:t>等级主要应用的是六氟化硫开关产品， 每年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7.2kV~252kV </w:t>
      </w:r>
      <w:r>
        <w:rPr>
          <w:spacing w:val="-6"/>
        </w:rPr>
        <w:t>六氟化硫开关销售约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3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6"/>
        </w:rPr>
        <w:t>万面， 而六氟化硫气体是《京都议定书》中被禁止排放的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6 </w:t>
      </w:r>
      <w:r>
        <w:rPr>
          <w:spacing w:val="-6"/>
        </w:rPr>
        <w:t>种</w:t>
      </w:r>
      <w:r>
        <w:rPr>
          <w:spacing w:val="-7"/>
        </w:rPr>
        <w:t>温室气体之一，其</w:t>
      </w:r>
      <w:r>
        <w:t xml:space="preserve"> </w:t>
      </w:r>
      <w:r>
        <w:rPr>
          <w:spacing w:val="-6"/>
        </w:rPr>
        <w:t>温室效应是二氧化碳的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2.3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-6"/>
        </w:rPr>
        <w:t>万倍。对此，</w:t>
      </w:r>
      <w:r>
        <w:rPr>
          <w:spacing w:val="51"/>
        </w:rPr>
        <w:t xml:space="preserve"> </w:t>
      </w:r>
      <w:r>
        <w:rPr>
          <w:spacing w:val="-7"/>
        </w:rPr>
        <w:t>真空开关替代六氟化硫开关是解决方案</w:t>
      </w:r>
      <w:r>
        <w:t xml:space="preserve"> </w:t>
      </w:r>
      <w:r>
        <w:rPr>
          <w:spacing w:val="-2"/>
        </w:rPr>
        <w:t>之一，而真空灭弧室是真空开关的核心元件。在此背景下，公司高电压用</w:t>
      </w:r>
      <w:r>
        <w:rPr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VI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</w:t>
      </w:r>
      <w:r>
        <w:rPr>
          <w:spacing w:val="-3"/>
        </w:rPr>
        <w:t>导</w:t>
      </w:r>
      <w:r>
        <w:t xml:space="preserve"> </w:t>
      </w:r>
      <w:r>
        <w:rPr>
          <w:spacing w:val="-6"/>
        </w:rPr>
        <w:t>电系统组件产品（即真空灭弧室） 未来有望受益。公司将持续加大研发创</w:t>
      </w:r>
      <w:r>
        <w:rPr>
          <w:spacing w:val="-7"/>
        </w:rPr>
        <w:t>新和产</w:t>
      </w:r>
    </w:p>
    <w:p>
      <w:pPr>
        <w:pStyle w:val="BodyText"/>
        <w:spacing w:line="219" w:lineRule="auto"/>
        <w:ind w:left="30"/>
      </w:pPr>
      <w:r>
        <w:rPr>
          <w:spacing w:val="-2"/>
        </w:rPr>
        <w:t>能扩大，以支持全球中高压开关行业的升级和更新</w:t>
      </w:r>
      <w:r>
        <w:rPr>
          <w:spacing w:val="-3"/>
        </w:rPr>
        <w:t>换代。</w:t>
      </w:r>
    </w:p>
    <w:p>
      <w:pPr>
        <w:pStyle w:val="BodyText"/>
        <w:spacing w:before="181" w:line="359" w:lineRule="auto"/>
        <w:ind w:left="21" w:right="78" w:firstLine="483"/>
        <w:jc w:val="both"/>
      </w:pPr>
      <w:r>
        <w:rPr>
          <w:spacing w:val="-6"/>
        </w:rPr>
        <w:t>半导体组件方面，</w:t>
      </w:r>
      <w:r>
        <w:rPr>
          <w:spacing w:val="66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2021 </w:t>
      </w:r>
      <w:r>
        <w:rPr>
          <w:spacing w:val="-6"/>
        </w:rPr>
        <w:t>年，我国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31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spacing w:val="-6"/>
        </w:rPr>
        <w:t>省市相继提出</w:t>
      </w:r>
      <w:r>
        <w:rPr>
          <w:rFonts w:ascii="Times New Roman" w:eastAsia="Times New Roman" w:hAnsi="Times New Roman" w:cs="Times New Roman"/>
          <w:spacing w:val="-6"/>
        </w:rPr>
        <w:t>“</w:t>
      </w:r>
      <w:r>
        <w:rPr>
          <w:spacing w:val="-6"/>
        </w:rPr>
        <w:t>十四五</w:t>
      </w:r>
      <w:r>
        <w:rPr>
          <w:rFonts w:ascii="Times New Roman" w:eastAsia="Times New Roman" w:hAnsi="Times New Roman" w:cs="Times New Roman"/>
          <w:spacing w:val="-6"/>
        </w:rPr>
        <w:t>”</w:t>
      </w:r>
      <w:r>
        <w:rPr>
          <w:spacing w:val="-6"/>
        </w:rPr>
        <w:t>期间靶材行业发</w:t>
      </w:r>
      <w:r>
        <w:t xml:space="preserve"> </w:t>
      </w:r>
      <w:r>
        <w:rPr>
          <w:spacing w:val="-3"/>
        </w:rPr>
        <w:t xml:space="preserve">展规划，规划内容主要集中于以下几点： </w:t>
      </w:r>
      <w:r>
        <w:rPr>
          <w:rFonts w:ascii="Times New Roman" w:eastAsia="Times New Roman" w:hAnsi="Times New Roman" w:cs="Times New Roman"/>
          <w:spacing w:val="-3"/>
        </w:rPr>
        <w:t>1</w:t>
      </w:r>
      <w:r>
        <w:rPr>
          <w:spacing w:val="-3"/>
        </w:rPr>
        <w:t>）将半导体、新材料列为战略新兴型</w:t>
      </w:r>
      <w:r>
        <w:rPr>
          <w:spacing w:val="7"/>
        </w:rPr>
        <w:t xml:space="preserve"> </w:t>
      </w:r>
      <w:r>
        <w:rPr>
          <w:spacing w:val="-15"/>
        </w:rPr>
        <w:t xml:space="preserve">产业； </w:t>
      </w:r>
      <w:r>
        <w:rPr>
          <w:rFonts w:ascii="Times New Roman" w:eastAsia="Times New Roman" w:hAnsi="Times New Roman" w:cs="Times New Roman"/>
          <w:spacing w:val="-15"/>
        </w:rPr>
        <w:t>2</w:t>
      </w:r>
      <w:r>
        <w:rPr>
          <w:spacing w:val="-15"/>
        </w:rPr>
        <w:t>）重点发展新材料行业，</w:t>
      </w:r>
      <w:r>
        <w:rPr>
          <w:spacing w:val="46"/>
        </w:rPr>
        <w:t xml:space="preserve"> </w:t>
      </w:r>
      <w:r>
        <w:rPr>
          <w:spacing w:val="-15"/>
        </w:rPr>
        <w:t>加快实现新材料技术突破；</w:t>
      </w:r>
      <w:r>
        <w:rPr>
          <w:spacing w:val="51"/>
        </w:rPr>
        <w:t xml:space="preserve"> </w:t>
      </w:r>
      <w:r>
        <w:rPr>
          <w:rFonts w:ascii="Times New Roman" w:eastAsia="Times New Roman" w:hAnsi="Times New Roman" w:cs="Times New Roman"/>
          <w:spacing w:val="-15"/>
        </w:rPr>
        <w:t>3</w:t>
      </w:r>
      <w:r>
        <w:rPr>
          <w:spacing w:val="-15"/>
        </w:rPr>
        <w:t>）构件有色金属与</w:t>
      </w:r>
    </w:p>
    <w:p>
      <w:pPr>
        <w:pStyle w:val="BodyText"/>
        <w:spacing w:before="1" w:line="218" w:lineRule="auto"/>
        <w:ind w:left="22"/>
      </w:pPr>
      <w:r>
        <w:rPr>
          <w:spacing w:val="-7"/>
        </w:rPr>
        <w:t>新材料产业集群；</w:t>
      </w:r>
      <w:r>
        <w:rPr>
          <w:spacing w:val="60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4</w:t>
      </w:r>
      <w:r>
        <w:rPr>
          <w:spacing w:val="-7"/>
        </w:rPr>
        <w:t>）对电子制造、先进金属材料实行固链强链。</w:t>
      </w:r>
    </w:p>
    <w:p>
      <w:pPr>
        <w:pStyle w:val="BodyText"/>
        <w:spacing w:before="184" w:line="359" w:lineRule="auto"/>
        <w:ind w:left="22" w:right="14" w:firstLine="480"/>
        <w:jc w:val="both"/>
      </w:pPr>
      <w:r>
        <w:rPr>
          <w:spacing w:val="-6"/>
        </w:rPr>
        <w:t>直线加速器方面， 受恶性肿瘤患者数量不</w:t>
      </w:r>
      <w:r>
        <w:rPr>
          <w:spacing w:val="-7"/>
        </w:rPr>
        <w:t>断增加、医保政策覆盖及居民支付</w:t>
      </w:r>
      <w:r>
        <w:t xml:space="preserve"> </w:t>
      </w:r>
      <w:r>
        <w:rPr>
          <w:spacing w:val="-4"/>
        </w:rPr>
        <w:t>能力提升等因素影响， 接受放疗的癌症患者逐渐增多，医疗</w:t>
      </w:r>
      <w:r>
        <w:rPr>
          <w:spacing w:val="-5"/>
        </w:rPr>
        <w:t>资源需求随之上升，</w:t>
      </w:r>
      <w:r>
        <w:t xml:space="preserve"> </w:t>
      </w:r>
      <w:r>
        <w:rPr>
          <w:spacing w:val="-1"/>
        </w:rPr>
        <w:t>从而推动我国医用直线加速器市场规模不断扩大。据相关数据显示，自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2015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</w:t>
      </w:r>
      <w:r>
        <w:rPr>
          <w:spacing w:val="-1"/>
        </w:rPr>
        <w:t>年</w:t>
      </w:r>
      <w:r>
        <w:t xml:space="preserve"> </w:t>
      </w:r>
      <w:r>
        <w:rPr>
          <w:spacing w:val="-6"/>
        </w:rPr>
        <w:t>来我国医用直线加速器市场规模呈稳定增长趋势，</w:t>
      </w:r>
      <w:r>
        <w:rPr>
          <w:spacing w:val="77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2022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</w:t>
      </w:r>
      <w:r>
        <w:rPr>
          <w:spacing w:val="-6"/>
        </w:rPr>
        <w:t>年市场规模达到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59.8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spacing w:val="-6"/>
        </w:rPr>
        <w:t>亿</w:t>
      </w:r>
    </w:p>
    <w:p>
      <w:pPr>
        <w:pStyle w:val="BodyText"/>
        <w:spacing w:line="219" w:lineRule="auto"/>
        <w:ind w:left="23"/>
      </w:pPr>
      <w:r>
        <w:rPr>
          <w:spacing w:val="-3"/>
        </w:rPr>
        <w:t>元，期间复合增长率为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12.2%</w:t>
      </w:r>
      <w:r>
        <w:rPr>
          <w:spacing w:val="-3"/>
        </w:rPr>
        <w:t>，市场空间</w:t>
      </w:r>
      <w:r>
        <w:rPr>
          <w:spacing w:val="-4"/>
        </w:rPr>
        <w:t>广阔。</w:t>
      </w:r>
    </w:p>
    <w:p>
      <w:pPr>
        <w:pStyle w:val="BodyText"/>
        <w:spacing w:before="183" w:line="359" w:lineRule="auto"/>
        <w:ind w:left="49" w:right="80" w:firstLine="459"/>
        <w:jc w:val="both"/>
      </w:pPr>
      <w:r>
        <w:rPr>
          <w:spacing w:val="-6"/>
        </w:rPr>
        <w:t>公司将通过本项目的建设，</w:t>
      </w:r>
      <w:r>
        <w:rPr>
          <w:spacing w:val="64"/>
        </w:rPr>
        <w:t xml:space="preserve"> </w:t>
      </w:r>
      <w:r>
        <w:rPr>
          <w:spacing w:val="-6"/>
        </w:rPr>
        <w:t>实现年产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3,500 </w:t>
      </w:r>
      <w:r>
        <w:rPr>
          <w:spacing w:val="-6"/>
        </w:rPr>
        <w:t>套半导体产品组件、</w:t>
      </w:r>
      <w:r>
        <w:rPr>
          <w:rFonts w:ascii="Times New Roman" w:eastAsia="Times New Roman" w:hAnsi="Times New Roman" w:cs="Times New Roman"/>
          <w:spacing w:val="-6"/>
        </w:rPr>
        <w:t xml:space="preserve">30,000 </w:t>
      </w:r>
      <w:r>
        <w:rPr>
          <w:spacing w:val="-6"/>
        </w:rPr>
        <w:t>套高</w:t>
      </w:r>
      <w:r>
        <w:t xml:space="preserve"> </w:t>
      </w:r>
      <w:r>
        <w:rPr>
          <w:spacing w:val="-3"/>
        </w:rPr>
        <w:t>电压用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VI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-3"/>
        </w:rPr>
        <w:t>导电系统组件、和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500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-3"/>
        </w:rPr>
        <w:t>套直线加速器零组件的生产能力，丰富公司产</w:t>
      </w:r>
    </w:p>
    <w:p>
      <w:pPr>
        <w:pStyle w:val="BodyText"/>
        <w:spacing w:before="1" w:line="219" w:lineRule="auto"/>
        <w:ind w:left="41"/>
      </w:pPr>
      <w:r>
        <w:rPr>
          <w:spacing w:val="-4"/>
        </w:rPr>
        <w:t>品矩阵，从而进一步增强公司盈利能力。</w:t>
      </w:r>
    </w:p>
    <w:p>
      <w:pPr>
        <w:pStyle w:val="BodyText"/>
        <w:spacing w:before="180" w:line="468" w:lineRule="exact"/>
        <w:ind w:left="510"/>
      </w:pPr>
      <w:r>
        <w:rPr>
          <w:position w:val="17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（二）年产</w:t>
      </w:r>
      <w:r>
        <w:rPr>
          <w:spacing w:val="-48"/>
          <w:position w:val="17"/>
        </w:rPr>
        <w:t xml:space="preserve"> </w:t>
      </w:r>
      <w:r>
        <w:rPr>
          <w:position w:val="17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2,000</w:t>
      </w:r>
      <w:r>
        <w:rPr>
          <w:spacing w:val="-43"/>
          <w:position w:val="17"/>
        </w:rPr>
        <w:t xml:space="preserve"> </w:t>
      </w:r>
      <w:r>
        <w:rPr>
          <w:position w:val="17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万套光模块芯片基座/</w:t>
      </w:r>
      <w:r>
        <w:rPr>
          <w:spacing w:val="-1"/>
          <w:position w:val="17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壳体材料及零组件项目及钨铜合金</w:t>
      </w:r>
    </w:p>
    <w:p>
      <w:pPr>
        <w:pStyle w:val="BodyText"/>
        <w:spacing w:before="1" w:line="218" w:lineRule="auto"/>
        <w:ind w:left="21"/>
      </w:pPr>
      <w:r>
        <w:rPr>
          <w:spacing w:val="-1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材料、零件项目</w:t>
      </w:r>
    </w:p>
    <w:p>
      <w:pPr>
        <w:pStyle w:val="BodyText"/>
        <w:spacing w:before="181" w:line="219" w:lineRule="auto"/>
        <w:ind w:left="510"/>
        <w:outlineLvl w:val="1"/>
      </w:pPr>
      <w:r>
        <w:rPr>
          <w:rFonts w:ascii="Times New Roman" w:eastAsia="Times New Roman" w:hAnsi="Times New Roman" w:cs="Times New Roman"/>
          <w:b/>
          <w:bCs/>
          <w:spacing w:val="-5"/>
        </w:rPr>
        <w:t>1</w:t>
      </w:r>
      <w:r>
        <w:rPr>
          <w:spacing w:val="-5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、项目建设有利于顺应产业发展趋势，</w:t>
      </w:r>
      <w:r>
        <w:rPr>
          <w:spacing w:val="-5"/>
        </w:rPr>
        <w:t xml:space="preserve"> </w:t>
      </w:r>
      <w:r>
        <w:rPr>
          <w:spacing w:val="-5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打造铜合金新材料产品</w:t>
      </w:r>
    </w:p>
    <w:p>
      <w:pPr>
        <w:pStyle w:val="BodyText"/>
        <w:spacing w:before="184" w:line="359" w:lineRule="auto"/>
        <w:ind w:left="22" w:firstLine="478"/>
        <w:jc w:val="both"/>
      </w:pPr>
      <w:r>
        <w:rPr>
          <w:spacing w:val="-2"/>
        </w:rPr>
        <w:t xml:space="preserve">近年来人工智能相关产业呈现出爆发式的增长态势，以 </w:t>
      </w:r>
      <w:r>
        <w:rPr>
          <w:rFonts w:ascii="Times New Roman" w:eastAsia="Times New Roman" w:hAnsi="Times New Roman" w:cs="Times New Roman"/>
          <w:spacing w:val="-2"/>
        </w:rPr>
        <w:t>ChatGPT</w:t>
      </w:r>
      <w:r>
        <w:rPr>
          <w:rFonts w:ascii="Times New Roman" w:eastAsia="Times New Roman" w:hAnsi="Times New Roman" w:cs="Times New Roman"/>
          <w:spacing w:val="71"/>
        </w:rPr>
        <w:t xml:space="preserve"> </w:t>
      </w:r>
      <w:r>
        <w:rPr>
          <w:spacing w:val="-2"/>
        </w:rPr>
        <w:t xml:space="preserve">为代表的 </w:t>
      </w:r>
      <w:r>
        <w:rPr>
          <w:spacing w:val="-3"/>
        </w:rPr>
        <w:t>生成类大模型已经成为了人工智能的新热点，大模型的技</w:t>
      </w:r>
      <w:r>
        <w:rPr>
          <w:spacing w:val="-4"/>
        </w:rPr>
        <w:t xml:space="preserve">术发展催生了算力需求 </w:t>
      </w:r>
      <w:r>
        <w:rPr>
          <w:spacing w:val="-1"/>
        </w:rPr>
        <w:t>快速增长和大容量数据中心基建数量激增，从而带动数据传输流量的大幅提升。</w:t>
      </w:r>
      <w:r>
        <w:rPr>
          <w:spacing w:val="16"/>
        </w:rPr>
        <w:t xml:space="preserve"> </w:t>
      </w:r>
      <w:r>
        <w:rPr>
          <w:spacing w:val="-6"/>
        </w:rPr>
        <w:t>光模块作为数据中心核心部件之一，其需求量</w:t>
      </w:r>
      <w:r>
        <w:rPr>
          <w:spacing w:val="-7"/>
        </w:rPr>
        <w:t xml:space="preserve">有望大幅增长， 且更高的算力需求 </w:t>
      </w:r>
      <w:r>
        <w:rPr>
          <w:spacing w:val="-3"/>
        </w:rPr>
        <w:t>和更大的数据流量将直接驱动光模块向更高速率发展。光模块往高速率发展的同</w:t>
      </w:r>
    </w:p>
    <w:p>
      <w:pPr>
        <w:pStyle w:val="BodyText"/>
        <w:spacing w:line="219" w:lineRule="auto"/>
        <w:ind w:left="32"/>
      </w:pPr>
      <w:r>
        <w:rPr>
          <w:spacing w:val="-6"/>
        </w:rPr>
        <w:t>时，</w:t>
      </w:r>
      <w:r>
        <w:rPr>
          <w:spacing w:val="-47"/>
        </w:rPr>
        <w:t xml:space="preserve"> </w:t>
      </w:r>
      <w:r>
        <w:rPr>
          <w:spacing w:val="-6"/>
        </w:rPr>
        <w:t>其微小面积内的自身功耗也在随之上升，据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Cisco </w:t>
      </w:r>
      <w:r>
        <w:rPr>
          <w:spacing w:val="-6"/>
        </w:rPr>
        <w:t>数</w:t>
      </w:r>
      <w:r>
        <w:rPr>
          <w:spacing w:val="-7"/>
        </w:rPr>
        <w:t xml:space="preserve">据， </w:t>
      </w:r>
      <w:r>
        <w:rPr>
          <w:rFonts w:ascii="Arial" w:eastAsia="Arial" w:hAnsi="Arial" w:cs="Arial"/>
          <w:spacing w:val="-7"/>
        </w:rPr>
        <w:t xml:space="preserve">2010-2022 </w:t>
      </w:r>
      <w:r>
        <w:rPr>
          <w:spacing w:val="-7"/>
        </w:rPr>
        <w:t>年全球</w:t>
      </w:r>
    </w:p>
    <w:p>
      <w:pPr>
        <w:spacing w:line="219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https://d.book118.com/317001150006006044</w:t>
        </w:r>
      </w:hyperlink>
    </w:p>
    <w:p>
      <w:pPr>
        <w:spacing w:line="219" w:lineRule="auto"/>
      </w:pPr>
    </w:p>
    <w:sectPr>
      <w:pgSz w:w="11907" w:h="16839"/>
      <w:pgMar w:top="1425" w:right="1715" w:bottom="0" w:left="1785" w:header="0" w:footer="0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317001150006006044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Irene</dc:creator>
  <cp:revision>0</cp:revision>
  <dcterms:created xsi:type="dcterms:W3CDTF">2024-02-07T16:08:38Z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2024-02-08T11:20:55Z</vt:filetime>
  </property>
  <property fmtid="{D5CDD505-2E9C-101B-9397-08002B2CF9AE}" pid="3" name="CRO">
    <vt:lpwstr>wqlLaW5nc29mdCBQREYgdG8gV1BTIDkw</vt:lpwstr>
  </property>
</Properties>
</file>