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40" w:lineRule="exact"/>
        <w:ind w:firstLine="5987"/>
      </w:pPr>
      <w:r>
        <w:rPr>
          <w:position w:val="-22"/>
        </w:rPr>
        <w:drawing>
          <wp:inline distT="0" distB="0" distL="0" distR="0">
            <wp:extent cx="1838325" cy="7239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223" w:line="194" w:lineRule="auto"/>
        <w:ind w:left="110"/>
        <w:rPr>
          <w:rFonts w:ascii="Microsoft YaHei" w:eastAsia="Microsoft YaHei" w:hAnsi="Microsoft YaHei" w:cs="Microsoft YaHei"/>
          <w:sz w:val="52"/>
          <w:szCs w:val="52"/>
        </w:rPr>
      </w:pP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北 京</w:t>
      </w:r>
      <w:r>
        <w:rPr>
          <w:rFonts w:ascii="Microsoft YaHei" w:eastAsia="Microsoft YaHei" w:hAnsi="Microsoft YaHei" w:cs="Microsoft YaHei"/>
          <w:spacing w:val="87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市</w:t>
      </w:r>
      <w:r>
        <w:rPr>
          <w:rFonts w:ascii="Microsoft YaHei" w:eastAsia="Microsoft YaHei" w:hAnsi="Microsoft YaHei" w:cs="Microsoft YaHei"/>
          <w:spacing w:val="65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地</w:t>
      </w:r>
      <w:r>
        <w:rPr>
          <w:rFonts w:ascii="Microsoft YaHei" w:eastAsia="Microsoft YaHei" w:hAnsi="Microsoft YaHei" w:cs="Microsoft YaHei"/>
          <w:spacing w:val="69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方</w:t>
      </w:r>
      <w:r>
        <w:rPr>
          <w:rFonts w:ascii="Microsoft YaHei" w:eastAsia="Microsoft YaHei" w:hAnsi="Microsoft YaHei" w:cs="Microsoft YaHei"/>
          <w:spacing w:val="74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计</w:t>
      </w:r>
      <w:r>
        <w:rPr>
          <w:rFonts w:ascii="Microsoft YaHei" w:eastAsia="Microsoft YaHei" w:hAnsi="Microsoft YaHei" w:cs="Microsoft YaHei"/>
          <w:spacing w:val="74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量</w:t>
      </w:r>
      <w:r>
        <w:rPr>
          <w:rFonts w:ascii="Microsoft YaHei" w:eastAsia="Microsoft YaHei" w:hAnsi="Microsoft YaHei" w:cs="Microsoft YaHei"/>
          <w:spacing w:val="68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技</w:t>
      </w:r>
      <w:r>
        <w:rPr>
          <w:rFonts w:ascii="Microsoft YaHei" w:eastAsia="Microsoft YaHei" w:hAnsi="Microsoft YaHei" w:cs="Microsoft YaHei"/>
          <w:spacing w:val="67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术</w:t>
      </w:r>
      <w:r>
        <w:rPr>
          <w:rFonts w:ascii="Microsoft YaHei" w:eastAsia="Microsoft YaHei" w:hAnsi="Microsoft YaHei" w:cs="Microsoft YaHei"/>
          <w:spacing w:val="70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规</w:t>
      </w:r>
      <w:r>
        <w:rPr>
          <w:rFonts w:ascii="Microsoft YaHei" w:eastAsia="Microsoft YaHei" w:hAnsi="Microsoft YaHei" w:cs="Microsoft YaHei"/>
          <w:spacing w:val="71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93"/>
          <w:sz w:val="52"/>
          <w:szCs w:val="52"/>
        </w:rPr>
        <w:t>范</w:t>
      </w:r>
    </w:p>
    <w:p>
      <w:pPr>
        <w:pStyle w:val="BodyText"/>
        <w:spacing w:line="456" w:lineRule="auto"/>
      </w:pPr>
    </w:p>
    <w:p>
      <w:pPr>
        <w:spacing w:before="91" w:line="220" w:lineRule="auto"/>
        <w:ind w:left="584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JJF（京）94－2022</w:t>
      </w:r>
    </w:p>
    <w:p>
      <w:pPr>
        <w:spacing w:before="115" w:line="20" w:lineRule="exact"/>
      </w:pPr>
      <w:r>
        <w:pict>
          <v:shape id="_x0000_i1025" style="width:468.65pt;height:1pt;mso-position-horizontal-relative:char;mso-position-vertical-relative:line" coordorigin="0,0" coordsize="9372,20" path="m,10l9372,10e" filled="f" strokecolor="black" strokeweight="1pt">
            <w10:wrap type="none"/>
          </v:shape>
        </w:pic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69" w:line="218" w:lineRule="auto"/>
        <w:ind w:left="2013"/>
        <w:outlineLvl w:val="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4"/>
          <w:sz w:val="52"/>
          <w:szCs w:val="52"/>
        </w:rPr>
        <w:t>烷基汞分析仪校准规范</w:t>
      </w:r>
    </w:p>
    <w:p>
      <w:pPr>
        <w:spacing w:before="284" w:line="216" w:lineRule="auto"/>
        <w:ind w:left="93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for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Alkyl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Mercur</w:t>
      </w:r>
      <w:r>
        <w:rPr>
          <w:rFonts w:ascii="SimHei" w:eastAsia="SimHei" w:hAnsi="SimHei" w:cs="SimHei"/>
          <w:spacing w:val="-1"/>
          <w:sz w:val="28"/>
          <w:szCs w:val="28"/>
        </w:rPr>
        <w:t>y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Analyzers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11907" w:h="16839"/>
          <w:pgMar w:top="1260" w:right="1217" w:bottom="0" w:left="1317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2" w:line="219" w:lineRule="auto"/>
        <w:ind w:left="66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2022-04-08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发布</w:t>
      </w:r>
      <w:r>
        <w:rPr>
          <w:rFonts w:ascii="SimHei" w:eastAsia="SimHei" w:hAnsi="SimHei" w:cs="SimHei"/>
          <w:sz w:val="28"/>
          <w:szCs w:val="28"/>
        </w:rPr>
        <w:t xml:space="preserve">                            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2022-05-08</w:t>
      </w:r>
      <w:r>
        <w:rPr>
          <w:rFonts w:ascii="SimHei" w:eastAsia="SimHei" w:hAnsi="SimHei" w:cs="SimHei"/>
          <w:spacing w:val="19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实施</w:t>
      </w:r>
    </w:p>
    <w:p>
      <w:pPr>
        <w:pStyle w:val="BodyText"/>
        <w:spacing w:line="259" w:lineRule="auto"/>
      </w:pPr>
    </w:p>
    <w:p>
      <w:pPr>
        <w:spacing w:line="20" w:lineRule="exact"/>
      </w:pPr>
      <w:r>
        <w:pict>
          <v:shape id="_x0000_i1026" style="width:468.65pt;height:1pt;mso-position-horizontal-relative:char;mso-position-vertical-relative:line" coordorigin="0,0" coordsize="9372,20" path="m,10l9372,10e" filled="f" strokecolor="black" strokeweight="1pt">
            <w10:wrap type="none"/>
          </v:shape>
        </w:pict>
      </w:r>
    </w:p>
    <w:p>
      <w:pPr>
        <w:spacing w:before="224" w:line="222" w:lineRule="auto"/>
        <w:ind w:left="128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72"/>
          <w:sz w:val="43"/>
          <w:szCs w:val="43"/>
        </w:rPr>
        <w:t>北京市市场监督管理总局</w:t>
      </w:r>
      <w:r>
        <w:rPr>
          <w:rFonts w:ascii="SimHei" w:eastAsia="SimHei" w:hAnsi="SimHei" w:cs="SimHei"/>
          <w:spacing w:val="72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72"/>
          <w:sz w:val="28"/>
          <w:szCs w:val="28"/>
        </w:rPr>
        <w:t>发</w:t>
      </w:r>
      <w:r>
        <w:rPr>
          <w:rFonts w:ascii="SimHei" w:eastAsia="SimHei" w:hAnsi="SimHei" w:cs="SimHei"/>
          <w:spacing w:val="7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72"/>
          <w:sz w:val="28"/>
          <w:szCs w:val="28"/>
        </w:rPr>
        <w:t>布</w:t>
      </w:r>
    </w:p>
    <w:p>
      <w:pPr>
        <w:spacing w:line="222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7" w:h="16839"/>
          <w:pgMar w:top="1260" w:right="1217" w:bottom="0" w:left="1317" w:header="0" w:footer="0" w:gutter="0"/>
          <w:pgNumType w:start="2"/>
          <w:cols w:space="708"/>
          <w:titlePg w:val="0"/>
        </w:sectPr>
      </w:pPr>
    </w:p>
    <w:p>
      <w:pPr>
        <w:pStyle w:val="BodyText"/>
      </w:pPr>
    </w:p>
    <w:p>
      <w:pPr>
        <w:sectPr>
          <w:headerReference w:type="default" r:id="rId5"/>
          <w:footerReference w:type="default" r:id="rId6"/>
          <w:pgSz w:w="11907" w:h="16839"/>
          <w:pgMar w:top="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91" w:line="396" w:lineRule="auto"/>
        <w:ind w:left="1238" w:right="3529" w:hanging="413"/>
        <w:rPr>
          <w:rFonts w:ascii="SimHei" w:eastAsia="SimHei" w:hAnsi="SimHei" w:cs="SimHei"/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38.05pt;height:59.25pt;margin-top:-62.77pt;margin-left:73.08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250" w:lineRule="auto"/>
                    <w:ind w:left="475" w:right="20" w:hanging="456"/>
                    <w:rPr>
                      <w:rFonts w:ascii="SimHei" w:eastAsia="SimHei" w:hAnsi="SimHei" w:cs="SimHei"/>
                      <w:sz w:val="43"/>
                      <w:szCs w:val="43"/>
                    </w:rPr>
                  </w:pPr>
                  <w:r>
                    <w:rPr>
                      <w:rFonts w:ascii="SimHei" w:eastAsia="SimHei" w:hAnsi="SimHei" w:cs="SimHei"/>
                      <w:spacing w:val="23"/>
                      <w:sz w:val="43"/>
                      <w:szCs w:val="43"/>
                    </w:rPr>
                    <w:t>烷基汞分析仪</w:t>
                  </w:r>
                  <w:r>
                    <w:rPr>
                      <w:rFonts w:ascii="SimHei" w:eastAsia="SimHei" w:hAnsi="SimHei" w:cs="SimHei"/>
                      <w:spacing w:val="1"/>
                      <w:sz w:val="43"/>
                      <w:szCs w:val="43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21"/>
                      <w:sz w:val="43"/>
                      <w:szCs w:val="43"/>
                    </w:rPr>
                    <w:t>校准规范</w:t>
                  </w:r>
                </w:p>
              </w:txbxContent>
            </v:textbox>
          </v:shape>
        </w:pict>
      </w:r>
      <w:r>
        <w:pict>
          <v:roundrect id="_x0000_s1028" style="width:129.6pt;height:64.4pt;margin-top:-49pt;margin-left:291.49pt;position:absolute;z-index:251658240" arcsize="11572f" filled="f" strokecolor="black" strokeweight="0.75pt">
            <v:stroke joinstyle="miter"/>
            <o:lock v:ext="edit" aspectratio="f"/>
            <v:textbox inset="0,0,0,0">
              <w:txbxContent>
                <w:p>
                  <w:pPr>
                    <w:pStyle w:val="BodyText"/>
                    <w:spacing w:line="284" w:lineRule="auto"/>
                  </w:pPr>
                </w:p>
                <w:p>
                  <w:pPr>
                    <w:spacing w:before="91" w:line="220" w:lineRule="auto"/>
                    <w:ind w:left="190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JJF(京)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94-2022</w:t>
                  </w:r>
                </w:p>
              </w:txbxContent>
            </v:textbox>
          </v:roundrect>
        </w:pict>
      </w: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</w:t>
      </w:r>
      <w:r>
        <w:rPr>
          <w:rFonts w:ascii="SimHei" w:eastAsia="SimHei" w:hAnsi="SimHei" w:cs="SimHei"/>
          <w:spacing w:val="-1"/>
          <w:sz w:val="28"/>
          <w:szCs w:val="28"/>
        </w:rPr>
        <w:t>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for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Alkyl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Mercury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Analyze</w:t>
      </w:r>
      <w:r>
        <w:rPr>
          <w:rFonts w:ascii="SimHei" w:eastAsia="SimHei" w:hAnsi="SimHei" w:cs="SimHei"/>
          <w:spacing w:val="-1"/>
          <w:sz w:val="28"/>
          <w:szCs w:val="28"/>
        </w:rPr>
        <w:t>rs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1" w:line="219" w:lineRule="auto"/>
        <w:ind w:left="103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归</w:t>
      </w:r>
      <w:r>
        <w:rPr>
          <w:rFonts w:ascii="SimHei" w:eastAsia="SimHei" w:hAnsi="SimHei" w:cs="SimHei"/>
          <w:spacing w:val="5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口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单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位：北京市市场监督管理局</w:t>
      </w:r>
    </w:p>
    <w:p>
      <w:pPr>
        <w:spacing w:before="291" w:line="398" w:lineRule="auto"/>
        <w:ind w:left="1018" w:right="2079" w:firstLine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主要起草单位：北京市计量检测科学研究院</w:t>
      </w:r>
      <w:r>
        <w:rPr>
          <w:rFonts w:ascii="SimHei" w:eastAsia="SimHei" w:hAnsi="SimHei" w:cs="SimHei"/>
          <w:spacing w:val="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参加起草单位：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北京市生态环境监测中心</w:t>
      </w:r>
    </w:p>
    <w:p>
      <w:pPr>
        <w:spacing w:before="42" w:line="219" w:lineRule="auto"/>
        <w:ind w:left="311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北京普立泰科仪器有限公司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  <w:sectPr>
          <w:headerReference w:type="default" r:id="rId7"/>
          <w:footerReference w:type="default" r:id="rId8"/>
          <w:pgSz w:w="11907" w:h="16839"/>
          <w:pgMar w:top="1627" w:right="1728" w:bottom="400" w:left="1769" w:header="1313" w:footer="0" w:gutter="0"/>
          <w:pgNumType w:start="4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91" w:line="219" w:lineRule="auto"/>
        <w:ind w:left="195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本规范由北京市市场监督管理局负责解释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9"/>
          <w:footerReference w:type="default" r:id="rId10"/>
          <w:type w:val="nextPage"/>
          <w:pgSz w:w="11907" w:h="16839"/>
          <w:pgMar w:top="1627" w:right="1728" w:bottom="400" w:left="1769" w:header="1313" w:footer="0" w:gutter="0"/>
          <w:pgNumType w:start="5"/>
          <w:cols w:space="708"/>
          <w:titlePg w:val="0"/>
        </w:sectPr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91" w:line="220" w:lineRule="auto"/>
        <w:ind w:left="59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</w:t>
      </w:r>
    </w:p>
    <w:p>
      <w:pPr>
        <w:spacing w:before="291" w:line="397" w:lineRule="auto"/>
        <w:ind w:left="2142" w:right="150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蔡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玮（北京市计量检测科学研究院）</w:t>
      </w:r>
      <w:r>
        <w:rPr>
          <w:rFonts w:ascii="SimHei" w:eastAsia="SimHei" w:hAnsi="SimHei" w:cs="SimHei"/>
          <w:spacing w:val="1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林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青（北京市计量检测科学研究院）</w:t>
      </w:r>
    </w:p>
    <w:p>
      <w:pPr>
        <w:spacing w:before="44" w:line="398" w:lineRule="auto"/>
        <w:ind w:left="1580" w:right="1507" w:firstLine="56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王冰玥（北京市计量检测科学研究院）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8"/>
          <w:sz w:val="28"/>
          <w:szCs w:val="28"/>
        </w:rPr>
        <w:t>参加起草人：</w:t>
      </w:r>
    </w:p>
    <w:p>
      <w:pPr>
        <w:spacing w:before="38" w:line="398" w:lineRule="auto"/>
        <w:ind w:left="2140" w:right="1510" w:firstLine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吴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红（北京市计量检测科学研究院）</w:t>
      </w:r>
      <w:r>
        <w:rPr>
          <w:rFonts w:ascii="SimHei" w:eastAsia="SimHei" w:hAnsi="SimHei" w:cs="SimHei"/>
          <w:spacing w:val="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宋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程（北京市生态环境监测中心）</w:t>
      </w:r>
    </w:p>
    <w:p>
      <w:pPr>
        <w:spacing w:before="42" w:line="219" w:lineRule="auto"/>
        <w:ind w:left="214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刘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辉（北京普立泰科仪器有限公司）</w:t>
      </w:r>
    </w:p>
    <w:p>
      <w:pPr>
        <w:spacing w:line="219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1"/>
          <w:footerReference w:type="default" r:id="rId12"/>
          <w:pgSz w:w="11907" w:h="16839"/>
          <w:pgMar w:top="1627" w:right="1766" w:bottom="400" w:left="1769" w:header="1313" w:footer="0" w:gutter="0"/>
          <w:pgNumType w:start="6"/>
          <w:cols w:space="708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sdt>
      <w:sdtPr>
        <w:rPr>
          <w:rFonts w:ascii="SimHei" w:eastAsia="SimHei" w:hAnsi="SimHei" w:cs="SimHei"/>
          <w:sz w:val="43"/>
          <w:szCs w:val="43"/>
        </w:rPr>
        <w:id w:val="133842940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position w:val="2"/>
          <w:sz w:val="24"/>
          <w:szCs w:val="24"/>
        </w:rPr>
      </w:sdtEndPr>
      <w:sdtContent>
        <w:p>
          <w:pPr>
            <w:spacing w:before="140" w:line="204" w:lineRule="auto"/>
            <w:ind w:left="4450"/>
            <w:rPr>
              <w:rFonts w:ascii="SimHei" w:eastAsia="SimHei" w:hAnsi="SimHei" w:cs="SimHei"/>
              <w:sz w:val="43"/>
              <w:szCs w:val="43"/>
            </w:rPr>
          </w:pPr>
          <w:r>
            <w:rPr>
              <w:rFonts w:ascii="SimHei" w:eastAsia="SimHei" w:hAnsi="SimHei" w:cs="SimHei"/>
              <w:spacing w:val="-14"/>
              <w:sz w:val="43"/>
              <w:szCs w:val="43"/>
            </w:rPr>
            <w:t>目录</w:t>
          </w:r>
        </w:p>
        <w:p>
          <w:pPr>
            <w:tabs>
              <w:tab w:val="right" w:leader="dot" w:pos="9254"/>
            </w:tabs>
            <w:spacing w:before="114" w:line="185" w:lineRule="auto"/>
            <w:ind w:left="55"/>
            <w:rPr>
              <w:rFonts w:ascii="SimSun" w:eastAsia="SimSun" w:hAnsi="SimSun" w:cs="SimSun"/>
              <w:sz w:val="24"/>
              <w:szCs w:val="24"/>
            </w:rPr>
          </w:pPr>
          <w:bookmarkStart w:id="0" w:name="bookmark1"/>
          <w:bookmarkEnd w:id="0"/>
          <w:hyperlink w:anchor="bookmark2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引言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(Ⅱ)</w:t>
            </w:r>
          </w:hyperlink>
        </w:p>
        <w:p>
          <w:pPr>
            <w:tabs>
              <w:tab w:val="right" w:leader="dot" w:pos="9254"/>
            </w:tabs>
            <w:spacing w:before="112" w:line="468" w:lineRule="exact"/>
            <w:ind w:left="56"/>
            <w:rPr>
              <w:rFonts w:ascii="SimSun" w:eastAsia="SimSun" w:hAnsi="SimSun" w:cs="SimSun"/>
              <w:sz w:val="24"/>
              <w:szCs w:val="24"/>
            </w:rPr>
          </w:pPr>
          <w:bookmarkStart w:id="1" w:name="bookmark3"/>
          <w:bookmarkEnd w:id="1"/>
          <w:r>
            <w:rPr>
              <w:rFonts w:ascii="Times New Roman" w:eastAsia="Times New Roman" w:hAnsi="Times New Roman" w:cs="Times New Roman"/>
              <w:spacing w:val="-15"/>
              <w:position w:val="5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7"/>
              <w:position w:val="5"/>
              <w:sz w:val="24"/>
              <w:szCs w:val="24"/>
            </w:rPr>
            <w:t xml:space="preserve">  </w:t>
          </w:r>
          <w:hyperlink w:anchor="bookmark4" w:history="1">
            <w:r>
              <w:rPr>
                <w:rFonts w:ascii="SimSun" w:eastAsia="SimSun" w:hAnsi="SimSun" w:cs="SimSun"/>
                <w:spacing w:val="-15"/>
                <w:position w:val="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3"/>
            <w:rPr>
              <w:rFonts w:ascii="SimSun" w:eastAsia="SimSun" w:hAnsi="SimSun" w:cs="SimSun"/>
              <w:sz w:val="24"/>
              <w:szCs w:val="24"/>
            </w:rPr>
          </w:pPr>
          <w:bookmarkStart w:id="2" w:name="bookmark5"/>
          <w:bookmarkEnd w:id="2"/>
          <w:r>
            <w:rPr>
              <w:rFonts w:ascii="Times New Roman" w:eastAsia="Times New Roman" w:hAnsi="Times New Roman" w:cs="Times New Roman"/>
              <w:spacing w:val="-7"/>
              <w:position w:val="5"/>
              <w:sz w:val="24"/>
              <w:szCs w:val="24"/>
            </w:rPr>
            <w:t>2</w:t>
          </w:r>
          <w:r>
            <w:rPr>
              <w:rFonts w:ascii="Times New Roman" w:eastAsia="Times New Roman" w:hAnsi="Times New Roman" w:cs="Times New Roman"/>
              <w:spacing w:val="14"/>
              <w:position w:val="5"/>
              <w:sz w:val="24"/>
              <w:szCs w:val="24"/>
            </w:rPr>
            <w:t xml:space="preserve">  </w:t>
          </w:r>
          <w:hyperlink w:anchor="bookmark6" w:history="1">
            <w:r>
              <w:rPr>
                <w:rFonts w:ascii="SimSun" w:eastAsia="SimSun" w:hAnsi="SimSun" w:cs="SimSun"/>
                <w:spacing w:val="-7"/>
                <w:position w:val="5"/>
                <w:sz w:val="24"/>
                <w:szCs w:val="24"/>
              </w:rPr>
              <w:t>引用文件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8"/>
            <w:rPr>
              <w:rFonts w:ascii="SimSun" w:eastAsia="SimSun" w:hAnsi="SimSun" w:cs="SimSun"/>
              <w:sz w:val="24"/>
              <w:szCs w:val="24"/>
            </w:rPr>
          </w:pPr>
          <w:bookmarkStart w:id="3" w:name="bookmark7"/>
          <w:bookmarkEnd w:id="3"/>
          <w:r>
            <w:rPr>
              <w:rFonts w:ascii="Times New Roman" w:eastAsia="Times New Roman" w:hAnsi="Times New Roman" w:cs="Times New Roman"/>
              <w:spacing w:val="-7"/>
              <w:position w:val="5"/>
              <w:sz w:val="24"/>
              <w:szCs w:val="24"/>
            </w:rPr>
            <w:t>3</w:t>
          </w:r>
          <w:r>
            <w:rPr>
              <w:rFonts w:ascii="Times New Roman" w:eastAsia="Times New Roman" w:hAnsi="Times New Roman" w:cs="Times New Roman"/>
              <w:spacing w:val="5"/>
              <w:position w:val="5"/>
              <w:sz w:val="24"/>
              <w:szCs w:val="24"/>
            </w:rPr>
            <w:t xml:space="preserve">  </w:t>
          </w:r>
          <w:hyperlink w:anchor="bookmark8" w:history="1">
            <w:r>
              <w:rPr>
                <w:rFonts w:ascii="SimSun" w:eastAsia="SimSun" w:hAnsi="SimSun" w:cs="SimSun"/>
                <w:spacing w:val="-7"/>
                <w:position w:val="5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2"/>
            <w:rPr>
              <w:rFonts w:ascii="SimSun" w:eastAsia="SimSun" w:hAnsi="SimSun" w:cs="SimSun"/>
              <w:sz w:val="24"/>
              <w:szCs w:val="24"/>
            </w:rPr>
          </w:pPr>
          <w:bookmarkStart w:id="4" w:name="bookmark9"/>
          <w:bookmarkEnd w:id="4"/>
          <w:r>
            <w:rPr>
              <w:rFonts w:ascii="Times New Roman" w:eastAsia="Times New Roman" w:hAnsi="Times New Roman" w:cs="Times New Roman"/>
              <w:spacing w:val="-3"/>
              <w:position w:val="5"/>
              <w:sz w:val="24"/>
              <w:szCs w:val="24"/>
            </w:rPr>
            <w:t>4</w:t>
          </w:r>
          <w:r>
            <w:rPr>
              <w:rFonts w:ascii="Times New Roman" w:eastAsia="Times New Roman" w:hAnsi="Times New Roman" w:cs="Times New Roman"/>
              <w:spacing w:val="5"/>
              <w:position w:val="5"/>
              <w:sz w:val="24"/>
              <w:szCs w:val="24"/>
            </w:rPr>
            <w:t xml:space="preserve">  </w:t>
          </w:r>
          <w:hyperlink w:anchor="bookmark10" w:history="1">
            <w:r>
              <w:rPr>
                <w:rFonts w:ascii="SimSun" w:eastAsia="SimSun" w:hAnsi="SimSun" w:cs="SimSun"/>
                <w:spacing w:val="-3"/>
                <w:position w:val="5"/>
                <w:sz w:val="24"/>
                <w:szCs w:val="24"/>
              </w:rPr>
              <w:t>计量特性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40"/>
            <w:rPr>
              <w:rFonts w:ascii="SimSun" w:eastAsia="SimSun" w:hAnsi="SimSun" w:cs="SimSun"/>
              <w:sz w:val="24"/>
              <w:szCs w:val="24"/>
            </w:rPr>
          </w:pPr>
          <w:bookmarkStart w:id="5" w:name="bookmark11"/>
          <w:bookmarkEnd w:id="5"/>
          <w:r>
            <w:rPr>
              <w:rFonts w:ascii="Times New Roman" w:eastAsia="Times New Roman" w:hAnsi="Times New Roman" w:cs="Times New Roman"/>
              <w:spacing w:val="-5"/>
              <w:position w:val="5"/>
              <w:sz w:val="24"/>
              <w:szCs w:val="24"/>
            </w:rPr>
            <w:t>5</w:t>
          </w:r>
          <w:r>
            <w:rPr>
              <w:rFonts w:ascii="Times New Roman" w:eastAsia="Times New Roman" w:hAnsi="Times New Roman" w:cs="Times New Roman"/>
              <w:spacing w:val="6"/>
              <w:position w:val="5"/>
              <w:sz w:val="24"/>
              <w:szCs w:val="24"/>
            </w:rPr>
            <w:t xml:space="preserve">  </w:t>
          </w:r>
          <w:hyperlink w:anchor="bookmark12" w:history="1">
            <w:r>
              <w:rPr>
                <w:rFonts w:ascii="SimSun" w:eastAsia="SimSun" w:hAnsi="SimSun" w:cs="SimSun"/>
                <w:spacing w:val="-5"/>
                <w:position w:val="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40"/>
            <w:rPr>
              <w:rFonts w:ascii="SimSun" w:eastAsia="SimSun" w:hAnsi="SimSun" w:cs="SimSun"/>
              <w:sz w:val="24"/>
              <w:szCs w:val="24"/>
            </w:rPr>
          </w:pPr>
          <w:bookmarkStart w:id="6" w:name="bookmark13"/>
          <w:bookmarkEnd w:id="6"/>
          <w:r>
            <w:rPr>
              <w:rFonts w:ascii="Times New Roman" w:eastAsia="Times New Roman" w:hAnsi="Times New Roman" w:cs="Times New Roman"/>
              <w:spacing w:val="-2"/>
              <w:position w:val="5"/>
              <w:sz w:val="24"/>
              <w:szCs w:val="24"/>
            </w:rPr>
            <w:t xml:space="preserve">5.1  </w:t>
          </w:r>
          <w:hyperlink w:anchor="bookmark14" w:history="1">
            <w:r>
              <w:rPr>
                <w:rFonts w:ascii="SimSun" w:eastAsia="SimSun" w:hAnsi="SimSun" w:cs="SimSun"/>
                <w:spacing w:val="-2"/>
                <w:position w:val="5"/>
                <w:sz w:val="24"/>
                <w:szCs w:val="24"/>
              </w:rPr>
              <w:t>环境条件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40"/>
            <w:rPr>
              <w:rFonts w:ascii="SimSun" w:eastAsia="SimSun" w:hAnsi="SimSun" w:cs="SimSun"/>
              <w:sz w:val="24"/>
              <w:szCs w:val="24"/>
            </w:rPr>
          </w:pPr>
          <w:bookmarkStart w:id="7" w:name="bookmark15"/>
          <w:bookmarkEnd w:id="7"/>
          <w:r>
            <w:rPr>
              <w:rFonts w:ascii="Times New Roman" w:eastAsia="Times New Roman" w:hAnsi="Times New Roman" w:cs="Times New Roman"/>
              <w:spacing w:val="-1"/>
              <w:position w:val="5"/>
              <w:sz w:val="24"/>
              <w:szCs w:val="24"/>
            </w:rPr>
            <w:t xml:space="preserve">5.2  </w:t>
          </w:r>
          <w:hyperlink w:anchor="bookmark16" w:history="1">
            <w:r>
              <w:rPr>
                <w:rFonts w:ascii="SimSun" w:eastAsia="SimSun" w:hAnsi="SimSun" w:cs="SimSun"/>
                <w:spacing w:val="-1"/>
                <w:position w:val="5"/>
                <w:sz w:val="24"/>
                <w:szCs w:val="24"/>
              </w:rPr>
              <w:t>标准物质及设备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8" w:name="bookmark17"/>
          <w:bookmarkEnd w:id="8"/>
          <w:r>
            <w:rPr>
              <w:rFonts w:ascii="Times New Roman" w:eastAsia="Times New Roman" w:hAnsi="Times New Roman" w:cs="Times New Roman"/>
              <w:spacing w:val="-1"/>
              <w:position w:val="5"/>
              <w:sz w:val="24"/>
              <w:szCs w:val="24"/>
            </w:rPr>
            <w:t xml:space="preserve">6  </w:t>
          </w:r>
          <w:hyperlink w:anchor="bookmark18" w:history="1">
            <w:r>
              <w:rPr>
                <w:rFonts w:ascii="SimSun" w:eastAsia="SimSun" w:hAnsi="SimSun" w:cs="SimSun"/>
                <w:spacing w:val="-1"/>
                <w:position w:val="5"/>
                <w:sz w:val="24"/>
                <w:szCs w:val="24"/>
              </w:rPr>
              <w:t>校准项目和校准方法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9" w:name="bookmark19"/>
          <w:bookmarkEnd w:id="9"/>
          <w:r>
            <w:rPr>
              <w:rFonts w:ascii="Times New Roman" w:eastAsia="Times New Roman" w:hAnsi="Times New Roman" w:cs="Times New Roman"/>
              <w:spacing w:val="-8"/>
              <w:position w:val="5"/>
              <w:sz w:val="24"/>
              <w:szCs w:val="24"/>
            </w:rPr>
            <w:t>6.</w:t>
          </w:r>
          <w:r>
            <w:rPr>
              <w:rFonts w:ascii="Times New Roman" w:eastAsia="Times New Roman" w:hAnsi="Times New Roman" w:cs="Times New Roman"/>
              <w:spacing w:val="-28"/>
              <w:position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position w:val="5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6"/>
              <w:position w:val="5"/>
              <w:sz w:val="24"/>
              <w:szCs w:val="24"/>
            </w:rPr>
            <w:t xml:space="preserve">  </w:t>
          </w:r>
          <w:hyperlink w:anchor="bookmark20" w:history="1">
            <w:r>
              <w:rPr>
                <w:rFonts w:ascii="SimSun" w:eastAsia="SimSun" w:hAnsi="SimSun" w:cs="SimSun"/>
                <w:spacing w:val="-8"/>
                <w:position w:val="5"/>
                <w:sz w:val="24"/>
                <w:szCs w:val="24"/>
              </w:rPr>
              <w:t>线性误差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10" w:name="bookmark21"/>
          <w:bookmarkEnd w:id="10"/>
          <w:r>
            <w:rPr>
              <w:rFonts w:ascii="Times New Roman" w:eastAsia="Times New Roman" w:hAnsi="Times New Roman" w:cs="Times New Roman"/>
              <w:spacing w:val="-4"/>
              <w:position w:val="5"/>
              <w:sz w:val="24"/>
              <w:szCs w:val="24"/>
            </w:rPr>
            <w:t>6.2</w:t>
          </w:r>
          <w:r>
            <w:rPr>
              <w:rFonts w:ascii="Times New Roman" w:eastAsia="Times New Roman" w:hAnsi="Times New Roman" w:cs="Times New Roman"/>
              <w:spacing w:val="6"/>
              <w:position w:val="5"/>
              <w:sz w:val="24"/>
              <w:szCs w:val="24"/>
            </w:rPr>
            <w:t xml:space="preserve">  </w:t>
          </w:r>
          <w:hyperlink w:anchor="bookmark22" w:history="1">
            <w:r>
              <w:rPr>
                <w:rFonts w:ascii="SimSun" w:eastAsia="SimSun" w:hAnsi="SimSun" w:cs="SimSun"/>
                <w:spacing w:val="-4"/>
                <w:position w:val="5"/>
                <w:sz w:val="24"/>
                <w:szCs w:val="24"/>
              </w:rPr>
              <w:t>检出限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11" w:name="bookmark23"/>
          <w:bookmarkEnd w:id="11"/>
          <w:r>
            <w:rPr>
              <w:rFonts w:ascii="Times New Roman" w:eastAsia="Times New Roman" w:hAnsi="Times New Roman" w:cs="Times New Roman"/>
              <w:spacing w:val="-4"/>
              <w:position w:val="5"/>
              <w:sz w:val="24"/>
              <w:szCs w:val="24"/>
            </w:rPr>
            <w:t>6.3</w:t>
          </w:r>
          <w:r>
            <w:rPr>
              <w:rFonts w:ascii="Times New Roman" w:eastAsia="Times New Roman" w:hAnsi="Times New Roman" w:cs="Times New Roman"/>
              <w:spacing w:val="6"/>
              <w:position w:val="5"/>
              <w:sz w:val="24"/>
              <w:szCs w:val="24"/>
            </w:rPr>
            <w:t xml:space="preserve">  </w:t>
          </w:r>
          <w:hyperlink w:anchor="bookmark24" w:history="1">
            <w:r>
              <w:rPr>
                <w:rFonts w:ascii="SimSun" w:eastAsia="SimSun" w:hAnsi="SimSun" w:cs="SimSun"/>
                <w:spacing w:val="-4"/>
                <w:position w:val="5"/>
                <w:sz w:val="24"/>
                <w:szCs w:val="24"/>
              </w:rPr>
              <w:t>重复性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37"/>
            <w:rPr>
              <w:rFonts w:ascii="SimSun" w:eastAsia="SimSun" w:hAnsi="SimSun" w:cs="SimSun"/>
              <w:sz w:val="24"/>
              <w:szCs w:val="24"/>
            </w:rPr>
          </w:pPr>
          <w:bookmarkStart w:id="12" w:name="bookmark25"/>
          <w:bookmarkEnd w:id="12"/>
          <w:r>
            <w:rPr>
              <w:rFonts w:ascii="Times New Roman" w:eastAsia="Times New Roman" w:hAnsi="Times New Roman" w:cs="Times New Roman"/>
              <w:spacing w:val="-1"/>
              <w:position w:val="5"/>
              <w:sz w:val="24"/>
              <w:szCs w:val="24"/>
            </w:rPr>
            <w:t xml:space="preserve">7  </w:t>
          </w:r>
          <w:hyperlink w:anchor="bookmark26" w:history="1">
            <w:r>
              <w:rPr>
                <w:rFonts w:ascii="SimSun" w:eastAsia="SimSun" w:hAnsi="SimSun" w:cs="SimSun"/>
                <w:spacing w:val="-1"/>
                <w:position w:val="5"/>
                <w:sz w:val="24"/>
                <w:szCs w:val="24"/>
              </w:rPr>
              <w:t>校准结果表达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43"/>
            <w:rPr>
              <w:rFonts w:ascii="SimSun" w:eastAsia="SimSun" w:hAnsi="SimSun" w:cs="SimSun"/>
              <w:sz w:val="24"/>
              <w:szCs w:val="24"/>
            </w:rPr>
          </w:pPr>
          <w:bookmarkStart w:id="13" w:name="bookmark27"/>
          <w:bookmarkEnd w:id="13"/>
          <w:r>
            <w:rPr>
              <w:rFonts w:ascii="Times New Roman" w:eastAsia="Times New Roman" w:hAnsi="Times New Roman" w:cs="Times New Roman"/>
              <w:spacing w:val="-5"/>
              <w:position w:val="5"/>
              <w:sz w:val="24"/>
              <w:szCs w:val="24"/>
            </w:rPr>
            <w:t>8</w:t>
          </w:r>
          <w:r>
            <w:rPr>
              <w:rFonts w:ascii="Times New Roman" w:eastAsia="Times New Roman" w:hAnsi="Times New Roman" w:cs="Times New Roman"/>
              <w:spacing w:val="9"/>
              <w:position w:val="5"/>
              <w:sz w:val="24"/>
              <w:szCs w:val="24"/>
            </w:rPr>
            <w:t xml:space="preserve">  </w:t>
          </w:r>
          <w:hyperlink w:anchor="bookmark28" w:history="1">
            <w:r>
              <w:rPr>
                <w:rFonts w:ascii="SimSun" w:eastAsia="SimSun" w:hAnsi="SimSun" w:cs="SimSun"/>
                <w:spacing w:val="-5"/>
                <w:position w:val="5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before="115" w:line="185" w:lineRule="auto"/>
            <w:ind w:left="56"/>
            <w:rPr>
              <w:rFonts w:ascii="SimSun" w:eastAsia="SimSun" w:hAnsi="SimSun" w:cs="SimSun"/>
              <w:sz w:val="24"/>
              <w:szCs w:val="24"/>
            </w:rPr>
          </w:pPr>
          <w:bookmarkStart w:id="14" w:name="bookmark29"/>
          <w:bookmarkEnd w:id="14"/>
          <w:r>
            <w:rPr>
              <w:rFonts w:ascii="SimSun" w:eastAsia="SimSun" w:hAnsi="SimSun" w:cs="SimSun"/>
              <w:spacing w:val="-3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5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4"/>
              <w:szCs w:val="24"/>
            </w:rPr>
            <w:t>A</w:t>
          </w:r>
          <w:r>
            <w:rPr>
              <w:rFonts w:ascii="Times New Roman" w:eastAsia="Times New Roman" w:hAnsi="Times New Roman" w:cs="Times New Roman"/>
              <w:spacing w:val="57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4"/>
              <w:szCs w:val="24"/>
            </w:rPr>
            <w:t>试剂和</w:t>
          </w:r>
          <w:hyperlink w:anchor="bookmark30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标准溶液的配制方法</w:t>
            </w:r>
            <w:r>
              <w:rPr>
                <w:rFonts w:ascii="SimSun" w:eastAsia="SimSun" w:hAnsi="SimSun" w:cs="SimSun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before="112" w:line="468" w:lineRule="exact"/>
            <w:ind w:left="56"/>
            <w:rPr>
              <w:rFonts w:ascii="SimSun" w:eastAsia="SimSun" w:hAnsi="SimSun" w:cs="SimSun"/>
              <w:sz w:val="24"/>
              <w:szCs w:val="24"/>
            </w:rPr>
          </w:pPr>
          <w:bookmarkStart w:id="15" w:name="bookmark31"/>
          <w:bookmarkEnd w:id="15"/>
          <w:r>
            <w:rPr>
              <w:rFonts w:ascii="SimSun" w:eastAsia="SimSun" w:hAnsi="SimSun" w:cs="SimSun"/>
              <w:spacing w:val="-2"/>
              <w:position w:val="5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53"/>
              <w:position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position w:val="5"/>
              <w:sz w:val="24"/>
              <w:szCs w:val="24"/>
            </w:rPr>
            <w:t xml:space="preserve">B  </w:t>
          </w:r>
          <w:hyperlink w:anchor="bookmark32" w:history="1">
            <w:r>
              <w:rPr>
                <w:rFonts w:ascii="SimSun" w:eastAsia="SimSun" w:hAnsi="SimSun" w:cs="SimSun"/>
                <w:spacing w:val="-2"/>
                <w:position w:val="5"/>
                <w:sz w:val="24"/>
                <w:szCs w:val="24"/>
              </w:rPr>
              <w:t>线性误差的不确定度评定示例</w:t>
            </w:r>
            <w:r>
              <w:rPr>
                <w:rFonts w:ascii="SimSun" w:eastAsia="SimSun" w:hAnsi="SimSun" w:cs="SimSun"/>
                <w:spacing w:val="-6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5"/>
                <w:sz w:val="24"/>
                <w:szCs w:val="24"/>
              </w:rPr>
              <w:t>9</w:t>
            </w:r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56"/>
            <w:rPr>
              <w:rFonts w:ascii="SimSun" w:eastAsia="SimSun" w:hAnsi="SimSun" w:cs="SimSun"/>
              <w:sz w:val="24"/>
              <w:szCs w:val="24"/>
            </w:rPr>
          </w:pPr>
          <w:bookmarkStart w:id="16" w:name="bookmark33"/>
          <w:bookmarkEnd w:id="16"/>
          <w:r>
            <w:rPr>
              <w:rFonts w:ascii="SimSun" w:eastAsia="SimSun" w:hAnsi="SimSun" w:cs="SimSun"/>
              <w:spacing w:val="-6"/>
              <w:position w:val="5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46"/>
              <w:position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6"/>
              <w:position w:val="5"/>
              <w:sz w:val="24"/>
              <w:szCs w:val="24"/>
            </w:rPr>
            <w:t xml:space="preserve">C  </w:t>
          </w:r>
          <w:r>
            <w:rPr>
              <w:rFonts w:ascii="SimSun" w:eastAsia="SimSun" w:hAnsi="SimSun" w:cs="SimSun"/>
              <w:spacing w:val="-6"/>
              <w:position w:val="5"/>
              <w:sz w:val="24"/>
              <w:szCs w:val="24"/>
            </w:rPr>
            <w:t>校准记录格式（推荐）</w:t>
          </w:r>
          <w:hyperlink w:anchor="bookmark34" w:history="1"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4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4"/>
                <w:szCs w:val="24"/>
              </w:rPr>
              <w:t>18</w:t>
            </w:r>
            <w:r>
              <w:rPr>
                <w:rFonts w:ascii="SimSun" w:eastAsia="SimSun" w:hAnsi="SimSun" w:cs="SimSun"/>
                <w:spacing w:val="11"/>
                <w:position w:val="5"/>
                <w:sz w:val="24"/>
                <w:szCs w:val="24"/>
              </w:rPr>
              <w:t>）</w:t>
            </w:r>
          </w:hyperlink>
        </w:p>
        <w:p>
          <w:pPr>
            <w:tabs>
              <w:tab w:val="right" w:leader="dot" w:pos="9254"/>
            </w:tabs>
            <w:spacing w:line="468" w:lineRule="exact"/>
            <w:ind w:left="56"/>
            <w:rPr>
              <w:rFonts w:ascii="SimSun" w:eastAsia="SimSun" w:hAnsi="SimSun" w:cs="SimSun"/>
              <w:sz w:val="24"/>
              <w:szCs w:val="24"/>
            </w:rPr>
          </w:pPr>
          <w:bookmarkStart w:id="17" w:name="bookmark35"/>
          <w:bookmarkEnd w:id="17"/>
          <w:r>
            <w:rPr>
              <w:rFonts w:ascii="SimSun" w:eastAsia="SimSun" w:hAnsi="SimSun" w:cs="SimSun"/>
              <w:spacing w:val="-5"/>
              <w:position w:val="5"/>
              <w:sz w:val="24"/>
              <w:szCs w:val="24"/>
            </w:rPr>
            <w:t>附录</w:t>
          </w:r>
          <w:r>
            <w:rPr>
              <w:rFonts w:ascii="SimSun" w:eastAsia="SimSun" w:hAnsi="SimSun" w:cs="SimSun"/>
              <w:spacing w:val="-50"/>
              <w:position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position w:val="5"/>
              <w:sz w:val="24"/>
              <w:szCs w:val="24"/>
            </w:rPr>
            <w:t xml:space="preserve">D  </w:t>
          </w:r>
          <w:r>
            <w:rPr>
              <w:rFonts w:ascii="SimSun" w:eastAsia="SimSun" w:hAnsi="SimSun" w:cs="SimSun"/>
              <w:spacing w:val="-5"/>
              <w:position w:val="5"/>
              <w:sz w:val="24"/>
              <w:szCs w:val="24"/>
            </w:rPr>
            <w:t>校准证书内页格式（推荐）</w:t>
          </w:r>
          <w:hyperlink w:anchor="bookmark36" w:history="1">
            <w:r>
              <w:rPr>
                <w:rFonts w:ascii="SimSun" w:eastAsia="SimSun" w:hAnsi="SimSun" w:cs="SimSun"/>
                <w:position w:val="5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1"/>
                <w:position w:val="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4"/>
                <w:position w:val="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1"/>
                <w:position w:val="5"/>
                <w:sz w:val="24"/>
                <w:szCs w:val="24"/>
              </w:rPr>
              <w:t>20</w:t>
            </w:r>
            <w:r>
              <w:rPr>
                <w:rFonts w:ascii="SimSun" w:eastAsia="SimSun" w:hAnsi="SimSun" w:cs="SimSun"/>
                <w:spacing w:val="11"/>
                <w:position w:val="5"/>
                <w:sz w:val="24"/>
                <w:szCs w:val="24"/>
              </w:rPr>
              <w:t>）</w:t>
            </w:r>
          </w:hyperlink>
        </w:p>
      </w:sdtContent>
    </w:sdt>
    <w:p>
      <w:pPr>
        <w:spacing w:line="468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13"/>
          <w:footerReference w:type="default" r:id="rId14"/>
          <w:pgSz w:w="11907" w:h="16839"/>
          <w:pgMar w:top="1627" w:right="1097" w:bottom="1180" w:left="1390" w:header="1313" w:footer="943" w:gutter="0"/>
          <w:pgNumType w:start="7"/>
          <w:cols w:space="708"/>
        </w:sectPr>
      </w:pPr>
    </w:p>
    <w:p>
      <w:pPr>
        <w:pStyle w:val="BodyText"/>
        <w:spacing w:line="295" w:lineRule="auto"/>
      </w:pPr>
    </w:p>
    <w:p>
      <w:pPr>
        <w:pStyle w:val="BodyText"/>
        <w:spacing w:line="296" w:lineRule="auto"/>
      </w:pPr>
    </w:p>
    <w:p>
      <w:pPr>
        <w:spacing w:before="140" w:line="224" w:lineRule="auto"/>
        <w:ind w:left="4322"/>
        <w:outlineLvl w:val="0"/>
        <w:rPr>
          <w:rFonts w:ascii="SimHei" w:eastAsia="SimHei" w:hAnsi="SimHei" w:cs="SimHei"/>
          <w:sz w:val="43"/>
          <w:szCs w:val="43"/>
        </w:rPr>
      </w:pPr>
      <w:bookmarkStart w:id="18" w:name="bookmark2"/>
      <w:bookmarkEnd w:id="18"/>
      <w:bookmarkStart w:id="19" w:name="bookmark4"/>
      <w:bookmarkEnd w:id="19"/>
      <w:bookmarkStart w:id="20" w:name="bookmark6"/>
      <w:bookmarkEnd w:id="20"/>
      <w:bookmarkStart w:id="21" w:name="bookmark8"/>
      <w:bookmarkEnd w:id="21"/>
      <w:bookmarkStart w:id="22" w:name="bookmark10"/>
      <w:bookmarkEnd w:id="22"/>
      <w:bookmarkStart w:id="23" w:name="bookmark12"/>
      <w:bookmarkEnd w:id="23"/>
      <w:bookmarkStart w:id="24" w:name="bookmark14"/>
      <w:bookmarkEnd w:id="24"/>
      <w:bookmarkStart w:id="25" w:name="bookmark16"/>
      <w:bookmarkEnd w:id="25"/>
      <w:bookmarkStart w:id="26" w:name="bookmark18"/>
      <w:bookmarkEnd w:id="26"/>
      <w:bookmarkStart w:id="27" w:name="bookmark20"/>
      <w:bookmarkEnd w:id="27"/>
      <w:bookmarkStart w:id="28" w:name="bookmark22"/>
      <w:bookmarkEnd w:id="28"/>
      <w:bookmarkStart w:id="29" w:name="bookmark24"/>
      <w:bookmarkEnd w:id="29"/>
      <w:bookmarkStart w:id="30" w:name="bookmark26"/>
      <w:bookmarkEnd w:id="30"/>
      <w:bookmarkStart w:id="31" w:name="bookmark28"/>
      <w:bookmarkEnd w:id="31"/>
      <w:bookmarkStart w:id="32" w:name="bookmark30"/>
      <w:bookmarkEnd w:id="32"/>
      <w:bookmarkStart w:id="33" w:name="bookmark32"/>
      <w:bookmarkEnd w:id="33"/>
      <w:bookmarkStart w:id="34" w:name="bookmark34"/>
      <w:bookmarkEnd w:id="34"/>
      <w:bookmarkStart w:id="35" w:name="bookmark36"/>
      <w:bookmarkEnd w:id="35"/>
      <w:r>
        <w:rPr>
          <w:rFonts w:ascii="SimHei" w:eastAsia="SimHei" w:hAnsi="SimHei" w:cs="SimHei"/>
          <w:spacing w:val="-10"/>
          <w:sz w:val="43"/>
          <w:szCs w:val="43"/>
        </w:rPr>
        <w:t>引言</w:t>
      </w:r>
    </w:p>
    <w:p>
      <w:pPr>
        <w:spacing w:before="245" w:line="351" w:lineRule="auto"/>
        <w:ind w:left="40" w:right="35" w:firstLine="4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本规范以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JJF</w:t>
      </w:r>
      <w:r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1071—2010</w:t>
      </w:r>
      <w:r>
        <w:rPr>
          <w:rFonts w:ascii="SimSun" w:eastAsia="SimSun" w:hAnsi="SimSun" w:cs="SimSun"/>
          <w:spacing w:val="-4"/>
          <w:sz w:val="24"/>
          <w:szCs w:val="24"/>
        </w:rPr>
        <w:t>《国家计量校准规范编写规则》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JJF</w:t>
      </w:r>
      <w:r>
        <w:rPr>
          <w:rFonts w:ascii="Times New Roman" w:eastAsia="Times New Roman" w:hAnsi="Times New Roman" w:cs="Times New Roman"/>
          <w:spacing w:val="43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1001—2011</w:t>
      </w:r>
      <w:r>
        <w:rPr>
          <w:rFonts w:ascii="SimSun" w:eastAsia="SimSun" w:hAnsi="SimSun" w:cs="SimSun"/>
          <w:spacing w:val="-5"/>
          <w:sz w:val="24"/>
          <w:szCs w:val="24"/>
        </w:rPr>
        <w:t>《通用计量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术语及定义》和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JJF  1059.1—2012</w:t>
      </w:r>
      <w:r>
        <w:rPr>
          <w:rFonts w:ascii="SimSun" w:eastAsia="SimSun" w:hAnsi="SimSun" w:cs="SimSun"/>
          <w:spacing w:val="-1"/>
          <w:sz w:val="24"/>
          <w:szCs w:val="24"/>
        </w:rPr>
        <w:t>《测量不确定度评定与表示》为基础性系列规范进行制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定。</w:t>
      </w:r>
    </w:p>
    <w:p>
      <w:pPr>
        <w:spacing w:before="32" w:line="348" w:lineRule="auto"/>
        <w:ind w:left="38" w:right="28" w:firstLine="60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本规范的制定参考了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HJ 977—2018</w:t>
      </w:r>
      <w:r>
        <w:rPr>
          <w:rFonts w:ascii="SimSun" w:eastAsia="SimSun" w:hAnsi="SimSun" w:cs="SimSun"/>
          <w:spacing w:val="-3"/>
          <w:sz w:val="24"/>
          <w:szCs w:val="24"/>
        </w:rPr>
        <w:t>《水质</w:t>
      </w:r>
      <w:r>
        <w:rPr>
          <w:rFonts w:ascii="SimSun" w:eastAsia="SimSun" w:hAnsi="SimSun" w:cs="SimSun"/>
          <w:spacing w:val="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烷基汞</w:t>
      </w:r>
      <w:r>
        <w:rPr>
          <w:rFonts w:ascii="SimSun" w:eastAsia="SimSun" w:hAnsi="SimSun" w:cs="SimSun"/>
          <w:spacing w:val="-4"/>
          <w:sz w:val="24"/>
          <w:szCs w:val="24"/>
        </w:rPr>
        <w:t>的测定 吹扫捕集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/</w:t>
      </w:r>
      <w:r>
        <w:rPr>
          <w:rFonts w:ascii="SimSun" w:eastAsia="SimSun" w:hAnsi="SimSun" w:cs="SimSun"/>
          <w:spacing w:val="-4"/>
          <w:sz w:val="24"/>
          <w:szCs w:val="24"/>
        </w:rPr>
        <w:t>气相色谱-冷原子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荧光光谱法》、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GB/T 6682</w:t>
      </w:r>
      <w:r>
        <w:rPr>
          <w:rFonts w:ascii="Times New Roman" w:eastAsia="Times New Roman" w:hAnsi="Times New Roman" w:cs="Times New Roman"/>
          <w:spacing w:val="48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《分析实验室用水规格和试验方法》和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JJF 1507—2015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《标准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物质的选择与应用》。</w:t>
      </w:r>
    </w:p>
    <w:p>
      <w:pPr>
        <w:spacing w:before="48" w:line="219" w:lineRule="auto"/>
        <w:ind w:left="6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本规范为首次发布。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5"/>
          <w:footerReference w:type="default" r:id="rId16"/>
          <w:pgSz w:w="11907" w:h="16839"/>
          <w:pgMar w:top="1627" w:right="1097" w:bottom="1154" w:left="1390" w:header="1313" w:footer="951" w:gutter="0"/>
          <w:pgNumType w:start="8"/>
          <w:cols w:space="708"/>
        </w:sectPr>
      </w:pPr>
    </w:p>
    <w:p>
      <w:pPr>
        <w:pStyle w:val="BodyText"/>
        <w:spacing w:line="273" w:lineRule="auto"/>
      </w:pPr>
    </w:p>
    <w:p>
      <w:pPr>
        <w:spacing w:before="101" w:line="224" w:lineRule="auto"/>
        <w:ind w:left="325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烷基汞分析仪校准规范</w:t>
      </w:r>
    </w:p>
    <w:p>
      <w:pPr>
        <w:pStyle w:val="BodyText"/>
        <w:spacing w:line="371" w:lineRule="auto"/>
      </w:pPr>
    </w:p>
    <w:p>
      <w:pPr>
        <w:spacing w:before="78" w:line="220" w:lineRule="auto"/>
        <w:ind w:left="50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0"/>
          <w:sz w:val="24"/>
          <w:szCs w:val="24"/>
        </w:rPr>
        <w:t>1</w:t>
      </w:r>
      <w:r>
        <w:rPr>
          <w:rFonts w:ascii="SimHei" w:eastAsia="SimHei" w:hAnsi="SimHei" w:cs="SimHei"/>
          <w:spacing w:val="7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0"/>
          <w:sz w:val="24"/>
          <w:szCs w:val="24"/>
        </w:rPr>
        <w:t>范围</w:t>
      </w:r>
    </w:p>
    <w:p>
      <w:pPr>
        <w:pStyle w:val="BodyText"/>
        <w:spacing w:line="257" w:lineRule="auto"/>
      </w:pPr>
    </w:p>
    <w:p>
      <w:pPr>
        <w:spacing w:before="78" w:line="233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本规范适用于原理为吹扫补集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SimSun" w:eastAsia="SimSun" w:hAnsi="SimSun" w:cs="SimSun"/>
          <w:sz w:val="24"/>
          <w:szCs w:val="24"/>
        </w:rPr>
        <w:t>气相色谱-冷原子荧光光谱法</w:t>
      </w:r>
      <w:r>
        <w:rPr>
          <w:rFonts w:ascii="SimSun" w:eastAsia="SimSun" w:hAnsi="SimSun" w:cs="SimSun"/>
          <w:spacing w:val="-1"/>
          <w:sz w:val="24"/>
          <w:szCs w:val="24"/>
        </w:rPr>
        <w:t>的烷基汞分析仪的校准。</w:t>
      </w:r>
    </w:p>
    <w:p>
      <w:pPr>
        <w:pStyle w:val="BodyText"/>
        <w:spacing w:line="241" w:lineRule="auto"/>
      </w:pPr>
    </w:p>
    <w:p>
      <w:pPr>
        <w:spacing w:before="78" w:line="219" w:lineRule="auto"/>
        <w:ind w:left="36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6"/>
          <w:sz w:val="24"/>
          <w:szCs w:val="24"/>
        </w:rPr>
        <w:t>2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6"/>
          <w:sz w:val="24"/>
          <w:szCs w:val="24"/>
        </w:rPr>
        <w:t>引用文件</w:t>
      </w:r>
    </w:p>
    <w:p>
      <w:pPr>
        <w:pStyle w:val="BodyText"/>
        <w:spacing w:line="260" w:lineRule="auto"/>
      </w:pPr>
    </w:p>
    <w:p>
      <w:pPr>
        <w:spacing w:before="78" w:line="219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本规范引用了下列文件：</w:t>
      </w:r>
    </w:p>
    <w:p>
      <w:pPr>
        <w:spacing w:before="182" w:line="336" w:lineRule="auto"/>
        <w:ind w:left="513" w:right="174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HJ 977</w:t>
      </w:r>
      <w:r>
        <w:rPr>
          <w:rFonts w:ascii="SimSun" w:eastAsia="SimSun" w:hAnsi="SimSun" w:cs="SimSun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2018    </w:t>
      </w:r>
      <w:r>
        <w:rPr>
          <w:rFonts w:ascii="SimSun" w:eastAsia="SimSun" w:hAnsi="SimSun" w:cs="SimSun"/>
          <w:sz w:val="24"/>
          <w:szCs w:val="24"/>
        </w:rPr>
        <w:t>水质 烷基汞的测定 吹扫捕集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SimSun" w:eastAsia="SimSun" w:hAnsi="SimSun" w:cs="SimSun"/>
          <w:sz w:val="24"/>
          <w:szCs w:val="24"/>
        </w:rPr>
        <w:t>气相色谱-冷原子荧</w:t>
      </w:r>
      <w:r>
        <w:rPr>
          <w:rFonts w:ascii="SimSun" w:eastAsia="SimSun" w:hAnsi="SimSun" w:cs="SimSun"/>
          <w:spacing w:val="-1"/>
          <w:sz w:val="24"/>
          <w:szCs w:val="24"/>
        </w:rPr>
        <w:t>光光谱法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1507</w:t>
      </w:r>
      <w:r>
        <w:rPr>
          <w:rFonts w:ascii="SimSun" w:eastAsia="SimSun" w:hAnsi="SimSun" w:cs="SimSun"/>
          <w:spacing w:val="-2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2015  </w:t>
      </w:r>
      <w:r>
        <w:rPr>
          <w:rFonts w:ascii="SimSun" w:eastAsia="SimSun" w:hAnsi="SimSun" w:cs="SimSun"/>
          <w:spacing w:val="-2"/>
          <w:sz w:val="24"/>
          <w:szCs w:val="24"/>
        </w:rPr>
        <w:t>标准物质的选择与应用</w:t>
      </w:r>
    </w:p>
    <w:p>
      <w:pPr>
        <w:spacing w:before="63" w:line="220" w:lineRule="auto"/>
        <w:ind w:left="51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GB/T 6682    </w:t>
      </w:r>
      <w:r>
        <w:rPr>
          <w:rFonts w:ascii="SimSun" w:eastAsia="SimSun" w:hAnsi="SimSun" w:cs="SimSun"/>
          <w:spacing w:val="-1"/>
          <w:sz w:val="24"/>
          <w:szCs w:val="24"/>
        </w:rPr>
        <w:t>分析实验室用水规格和试验方法</w:t>
      </w:r>
    </w:p>
    <w:p>
      <w:pPr>
        <w:spacing w:before="183" w:line="346" w:lineRule="auto"/>
        <w:ind w:left="41" w:right="428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凡是注日期的引用文件，仅注日期的版本适用于本规范；凡是不注日期的引用文件，其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最新版本（包括所有的修改单）适用于本规范。</w:t>
      </w:r>
    </w:p>
    <w:p>
      <w:pPr>
        <w:spacing w:before="192" w:line="218" w:lineRule="auto"/>
        <w:ind w:left="38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5"/>
          <w:sz w:val="24"/>
          <w:szCs w:val="24"/>
        </w:rPr>
        <w:t>3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5"/>
          <w:sz w:val="24"/>
          <w:szCs w:val="24"/>
        </w:rPr>
        <w:t>概述</w:t>
      </w:r>
    </w:p>
    <w:p>
      <w:pPr>
        <w:pStyle w:val="BodyText"/>
        <w:spacing w:line="260" w:lineRule="auto"/>
      </w:pPr>
    </w:p>
    <w:p>
      <w:pPr>
        <w:spacing w:before="79" w:line="347" w:lineRule="auto"/>
        <w:ind w:left="38" w:right="428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烷基汞分析仪（以下简称仪器）主要用于水质、土壤、矿物、食品等样品中甲基汞和乙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基汞含量的测定。</w:t>
      </w:r>
    </w:p>
    <w:p>
      <w:pPr>
        <w:spacing w:before="35" w:line="352" w:lineRule="auto"/>
        <w:ind w:left="40" w:right="426" w:firstLine="4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仪器主要由气路单元、进样单元、吹扫捕集单元、分离裂解单元、检测单元和数据处理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单元组成，其结构示意图见图</w:t>
      </w:r>
      <w:r>
        <w:rPr>
          <w:rFonts w:ascii="SimSun" w:eastAsia="SimSun" w:hAnsi="SimSun" w:cs="SimSu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SimSun" w:eastAsia="SimSun" w:hAnsi="SimSun" w:cs="SimSun"/>
          <w:spacing w:val="-5"/>
          <w:sz w:val="24"/>
          <w:szCs w:val="24"/>
        </w:rPr>
        <w:t>。通过衍生化的方式将样品中的甲基汞、乙基汞转化成具有挥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发性的物质，进而通过吹扫捕集技术，烷基汞</w:t>
      </w:r>
      <w:r>
        <w:rPr>
          <w:rFonts w:ascii="SimSun" w:eastAsia="SimSun" w:hAnsi="SimSun" w:cs="SimSun"/>
          <w:sz w:val="24"/>
          <w:szCs w:val="24"/>
        </w:rPr>
        <w:t xml:space="preserve">衍生物被解析并随载气进入色谱柱进行分离和 </w:t>
      </w:r>
      <w:r>
        <w:rPr>
          <w:rFonts w:ascii="SimSun" w:eastAsia="SimSun" w:hAnsi="SimSun" w:cs="SimSun"/>
          <w:spacing w:val="-1"/>
          <w:sz w:val="24"/>
          <w:szCs w:val="24"/>
        </w:rPr>
        <w:t>高温裂解还原，最后通过冷原子荧光检测器</w:t>
      </w:r>
      <w:r>
        <w:rPr>
          <w:rFonts w:ascii="SimSun" w:eastAsia="SimSun" w:hAnsi="SimSun" w:cs="SimSun"/>
          <w:spacing w:val="-2"/>
          <w:sz w:val="24"/>
          <w:szCs w:val="24"/>
        </w:rPr>
        <w:t>检测烷基汞含量。</w:t>
      </w:r>
    </w:p>
    <w:p>
      <w:pPr>
        <w:spacing w:line="1404" w:lineRule="exact"/>
        <w:ind w:firstLine="449"/>
      </w:pPr>
      <w:r>
        <w:rPr>
          <w:position w:val="-28"/>
        </w:rPr>
        <w:drawing>
          <wp:inline distT="0" distB="0" distL="0" distR="0">
            <wp:extent cx="6120129" cy="8915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29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0" w:line="221" w:lineRule="auto"/>
        <w:ind w:left="34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  </w:t>
      </w:r>
      <w:r>
        <w:rPr>
          <w:rFonts w:ascii="SimSun" w:eastAsia="SimSun" w:hAnsi="SimSun" w:cs="SimSun"/>
          <w:spacing w:val="-3"/>
          <w:sz w:val="21"/>
          <w:szCs w:val="21"/>
        </w:rPr>
        <w:t>烷基汞分析仪主要结构示意图</w:t>
      </w:r>
    </w:p>
    <w:p>
      <w:pPr>
        <w:spacing w:before="204" w:line="219" w:lineRule="auto"/>
        <w:ind w:left="31"/>
        <w:outlineLvl w:val="0"/>
        <w:rPr>
          <w:rFonts w:ascii="SimHei" w:eastAsia="SimHei" w:hAnsi="SimHei" w:cs="SimHei"/>
          <w:sz w:val="24"/>
          <w:szCs w:val="24"/>
        </w:rPr>
        <w:sectPr>
          <w:headerReference w:type="default" r:id="rId18"/>
          <w:footerReference w:type="default" r:id="rId19"/>
          <w:pgSz w:w="11907" w:h="16839"/>
          <w:pgMar w:top="1627" w:right="714" w:bottom="1151" w:left="1104" w:header="1313" w:footer="990" w:gutter="0"/>
          <w:pgNumType w:start="9"/>
          <w:cols w:space="708"/>
        </w:sectPr>
      </w:pPr>
      <w:r>
        <w:rPr>
          <w:rFonts w:ascii="SimHei" w:eastAsia="SimHei" w:hAnsi="SimHei" w:cs="SimHei"/>
          <w:spacing w:val="-3"/>
          <w:sz w:val="24"/>
          <w:szCs w:val="24"/>
        </w:rPr>
        <w:t>4</w:t>
      </w:r>
      <w:r>
        <w:rPr>
          <w:rFonts w:ascii="SimHei" w:eastAsia="SimHei" w:hAnsi="SimHei" w:cs="SimHei"/>
          <w:spacing w:val="7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spacing w:before="183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仪器各项计量性能指标见表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0"/>
          <w:footerReference w:type="default" r:id="rId21"/>
          <w:type w:val="nextPage"/>
          <w:pgSz w:w="11907" w:h="16839"/>
          <w:pgMar w:top="1627" w:right="714" w:bottom="1151" w:left="1104" w:header="1313" w:footer="990" w:gutter="0"/>
          <w:pgNumType w:start="10"/>
          <w:cols w:space="708"/>
          <w:titlePg w:val="0"/>
        </w:sectPr>
      </w:pPr>
    </w:p>
    <w:p>
      <w:pPr>
        <w:spacing w:before="112" w:line="219" w:lineRule="auto"/>
        <w:ind w:left="33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表</w:t>
      </w:r>
      <w:r>
        <w:rPr>
          <w:rFonts w:ascii="SimHei" w:eastAsia="SimHei" w:hAnsi="SimHei" w:cs="SimHei"/>
          <w:spacing w:val="-3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烷基汞分析仪计量性能指标</w:t>
      </w:r>
    </w:p>
    <w:p>
      <w:pPr>
        <w:spacing w:line="90" w:lineRule="exact"/>
      </w:pPr>
    </w:p>
    <w:tbl>
      <w:tblPr>
        <w:tblStyle w:val="TableNormal0"/>
        <w:tblW w:w="9635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91"/>
        <w:gridCol w:w="3287"/>
        <w:gridCol w:w="3157"/>
      </w:tblGrid>
      <w:tr>
        <w:tblPrEx>
          <w:tblW w:w="9635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5"/>
        </w:trPr>
        <w:tc>
          <w:tcPr>
            <w:tcW w:w="3191" w:type="dxa"/>
            <w:vAlign w:val="top"/>
          </w:tcPr>
          <w:p>
            <w:pPr>
              <w:spacing w:before="43" w:line="222" w:lineRule="auto"/>
              <w:ind w:left="97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计量性能要求</w:t>
            </w:r>
          </w:p>
        </w:tc>
        <w:tc>
          <w:tcPr>
            <w:tcW w:w="6444" w:type="dxa"/>
            <w:gridSpan w:val="2"/>
            <w:vAlign w:val="top"/>
          </w:tcPr>
          <w:p>
            <w:pPr>
              <w:spacing w:before="43" w:line="221" w:lineRule="auto"/>
              <w:ind w:left="280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技术指标</w:t>
            </w:r>
          </w:p>
        </w:tc>
      </w:tr>
      <w:tr>
        <w:tblPrEx>
          <w:tblW w:w="9635" w:type="dxa"/>
          <w:tblInd w:w="31" w:type="dxa"/>
          <w:tblLayout w:type="fixed"/>
        </w:tblPrEx>
        <w:trPr>
          <w:trHeight w:val="412"/>
        </w:trPr>
        <w:tc>
          <w:tcPr>
            <w:tcW w:w="3191" w:type="dxa"/>
            <w:vAlign w:val="top"/>
          </w:tcPr>
          <w:p>
            <w:pPr>
              <w:spacing w:before="31" w:line="221" w:lineRule="auto"/>
              <w:ind w:left="118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线性误差</w:t>
            </w:r>
          </w:p>
        </w:tc>
        <w:tc>
          <w:tcPr>
            <w:tcW w:w="6444" w:type="dxa"/>
            <w:gridSpan w:val="2"/>
            <w:vAlign w:val="top"/>
          </w:tcPr>
          <w:p>
            <w:pPr>
              <w:spacing w:before="31" w:line="234" w:lineRule="auto"/>
              <w:ind w:left="295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15%</w:t>
            </w:r>
          </w:p>
        </w:tc>
      </w:tr>
      <w:tr>
        <w:tblPrEx>
          <w:tblW w:w="9635" w:type="dxa"/>
          <w:tblInd w:w="31" w:type="dxa"/>
          <w:tblLayout w:type="fixed"/>
        </w:tblPrEx>
        <w:trPr>
          <w:trHeight w:val="412"/>
        </w:trPr>
        <w:tc>
          <w:tcPr>
            <w:tcW w:w="3191" w:type="dxa"/>
            <w:vAlign w:val="top"/>
          </w:tcPr>
          <w:p>
            <w:pPr>
              <w:spacing w:before="32" w:line="221" w:lineRule="auto"/>
              <w:ind w:left="12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重复性</w:t>
            </w:r>
          </w:p>
        </w:tc>
        <w:tc>
          <w:tcPr>
            <w:tcW w:w="6444" w:type="dxa"/>
            <w:gridSpan w:val="2"/>
            <w:vAlign w:val="top"/>
          </w:tcPr>
          <w:p>
            <w:pPr>
              <w:spacing w:before="32" w:line="234" w:lineRule="auto"/>
              <w:ind w:left="29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4%</w:t>
            </w:r>
          </w:p>
        </w:tc>
      </w:tr>
      <w:tr>
        <w:tblPrEx>
          <w:tblW w:w="9635" w:type="dxa"/>
          <w:tblInd w:w="31" w:type="dxa"/>
          <w:tblLayout w:type="fixed"/>
        </w:tblPrEx>
        <w:trPr>
          <w:trHeight w:val="414"/>
        </w:trPr>
        <w:tc>
          <w:tcPr>
            <w:tcW w:w="3191" w:type="dxa"/>
            <w:vMerge w:val="restart"/>
            <w:tcBorders>
              <w:bottom w:val="nil"/>
            </w:tcBorders>
            <w:vAlign w:val="top"/>
          </w:tcPr>
          <w:p>
            <w:pPr>
              <w:spacing w:before="243" w:line="221" w:lineRule="auto"/>
              <w:ind w:left="128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检出限</w:t>
            </w:r>
          </w:p>
        </w:tc>
        <w:tc>
          <w:tcPr>
            <w:tcW w:w="3287" w:type="dxa"/>
            <w:vAlign w:val="top"/>
          </w:tcPr>
          <w:p>
            <w:pPr>
              <w:spacing w:before="35" w:line="221" w:lineRule="auto"/>
              <w:ind w:left="136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甲基汞</w:t>
            </w:r>
          </w:p>
        </w:tc>
        <w:tc>
          <w:tcPr>
            <w:tcW w:w="3157" w:type="dxa"/>
            <w:vAlign w:val="top"/>
          </w:tcPr>
          <w:p>
            <w:pPr>
              <w:spacing w:before="35" w:line="213" w:lineRule="auto"/>
              <w:ind w:left="12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0.2 pg</w:t>
            </w:r>
          </w:p>
        </w:tc>
      </w:tr>
      <w:tr>
        <w:tblPrEx>
          <w:tblW w:w="9635" w:type="dxa"/>
          <w:tblInd w:w="31" w:type="dxa"/>
          <w:tblLayout w:type="fixed"/>
        </w:tblPrEx>
        <w:trPr>
          <w:trHeight w:val="416"/>
        </w:trPr>
        <w:tc>
          <w:tcPr>
            <w:tcW w:w="319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7" w:type="dxa"/>
            <w:vAlign w:val="top"/>
          </w:tcPr>
          <w:p>
            <w:pPr>
              <w:spacing w:before="33" w:line="221" w:lineRule="auto"/>
              <w:ind w:left="13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乙基汞</w:t>
            </w:r>
          </w:p>
        </w:tc>
        <w:tc>
          <w:tcPr>
            <w:tcW w:w="3157" w:type="dxa"/>
            <w:vAlign w:val="top"/>
          </w:tcPr>
          <w:p>
            <w:pPr>
              <w:spacing w:before="33" w:line="213" w:lineRule="auto"/>
              <w:ind w:left="123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0.3 pg</w:t>
            </w:r>
          </w:p>
        </w:tc>
      </w:tr>
    </w:tbl>
    <w:p>
      <w:pPr>
        <w:spacing w:before="128" w:line="217" w:lineRule="auto"/>
        <w:ind w:left="46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注：以上计量特性要求仅供参考，不作为判定依据</w:t>
      </w:r>
    </w:p>
    <w:p>
      <w:pPr>
        <w:pStyle w:val="BodyText"/>
        <w:spacing w:line="284" w:lineRule="auto"/>
      </w:pPr>
    </w:p>
    <w:p>
      <w:pPr>
        <w:spacing w:before="78" w:line="220" w:lineRule="auto"/>
        <w:ind w:left="3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5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校准条件</w:t>
      </w:r>
    </w:p>
    <w:p>
      <w:pPr>
        <w:pStyle w:val="BodyText"/>
        <w:spacing w:line="258" w:lineRule="auto"/>
      </w:pPr>
    </w:p>
    <w:p>
      <w:pPr>
        <w:spacing w:before="78" w:line="220" w:lineRule="auto"/>
        <w:ind w:left="40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5.1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3"/>
          <w:sz w:val="24"/>
          <w:szCs w:val="24"/>
        </w:rPr>
        <w:t>环境条件</w:t>
      </w:r>
    </w:p>
    <w:p>
      <w:pPr>
        <w:spacing w:before="182" w:line="217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5.1.1  </w:t>
      </w:r>
      <w:r>
        <w:rPr>
          <w:rFonts w:ascii="SimSun" w:eastAsia="SimSun" w:hAnsi="SimSun" w:cs="SimSun"/>
          <w:spacing w:val="4"/>
          <w:sz w:val="24"/>
          <w:szCs w:val="24"/>
        </w:rPr>
        <w:t>环境温度</w:t>
      </w:r>
      <w:r>
        <w:rPr>
          <w:rFonts w:ascii="SimSun" w:eastAsia="SimSun" w:hAnsi="SimSun" w:cs="SimSun"/>
          <w:spacing w:val="-53"/>
          <w:w w:val="83"/>
          <w:sz w:val="24"/>
          <w:szCs w:val="24"/>
        </w:rPr>
        <w:t>：（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10</w:t>
      </w:r>
      <w:r>
        <w:rPr>
          <w:rFonts w:ascii="SimSun" w:eastAsia="SimSun" w:hAnsi="SimSun" w:cs="SimSun"/>
          <w:spacing w:val="4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25</w:t>
      </w:r>
      <w:r>
        <w:rPr>
          <w:rFonts w:ascii="SimSun" w:eastAsia="SimSun" w:hAnsi="SimSun" w:cs="SimSun"/>
          <w:spacing w:val="4"/>
          <w:sz w:val="24"/>
          <w:szCs w:val="24"/>
        </w:rPr>
        <w:t>）</w:t>
      </w:r>
      <w:r>
        <w:rPr>
          <w:rFonts w:ascii="SimSun" w:eastAsia="SimSun" w:hAnsi="SimSun" w:cs="SimSun"/>
          <w:spacing w:val="-8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℃,校准期间温度波</w:t>
      </w:r>
      <w:r>
        <w:rPr>
          <w:rFonts w:ascii="SimSun" w:eastAsia="SimSun" w:hAnsi="SimSun" w:cs="SimSun"/>
          <w:spacing w:val="3"/>
          <w:sz w:val="24"/>
          <w:szCs w:val="24"/>
        </w:rPr>
        <w:t>动不超过±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2</w:t>
      </w:r>
      <w:r>
        <w:rPr>
          <w:rFonts w:ascii="SimSun" w:eastAsia="SimSun" w:hAnsi="SimSun" w:cs="SimSun"/>
          <w:spacing w:val="3"/>
          <w:sz w:val="24"/>
          <w:szCs w:val="24"/>
        </w:rPr>
        <w:t>℃。</w:t>
      </w:r>
    </w:p>
    <w:p>
      <w:pPr>
        <w:spacing w:before="186" w:line="234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5.1.2  </w:t>
      </w:r>
      <w:r>
        <w:rPr>
          <w:rFonts w:ascii="SimSun" w:eastAsia="SimSun" w:hAnsi="SimSun" w:cs="SimSun"/>
          <w:spacing w:val="-1"/>
          <w:sz w:val="24"/>
          <w:szCs w:val="24"/>
        </w:rPr>
        <w:t>相对湿度：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20%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80%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63" w:line="219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5.1.3  </w:t>
      </w:r>
      <w:r>
        <w:rPr>
          <w:rFonts w:ascii="SimSun" w:eastAsia="SimSun" w:hAnsi="SimSun" w:cs="SimSun"/>
          <w:sz w:val="24"/>
          <w:szCs w:val="24"/>
        </w:rPr>
        <w:t>供电电源：电压（</w:t>
      </w:r>
      <w:r>
        <w:rPr>
          <w:rFonts w:ascii="Times New Roman" w:eastAsia="Times New Roman" w:hAnsi="Times New Roman" w:cs="Times New Roman"/>
          <w:sz w:val="24"/>
          <w:szCs w:val="24"/>
        </w:rPr>
        <w:t>220</w:t>
      </w:r>
      <w:r>
        <w:rPr>
          <w:rFonts w:ascii="SimSun" w:eastAsia="SimSun" w:hAnsi="SimSun" w:cs="SimSun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>
        <w:rPr>
          <w:rFonts w:ascii="SimSun" w:eastAsia="SimSun" w:hAnsi="SimSun" w:cs="SimSun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SimSun" w:eastAsia="SimSun" w:hAnsi="SimSun" w:cs="SimSun"/>
          <w:spacing w:val="-1"/>
          <w:sz w:val="24"/>
          <w:szCs w:val="24"/>
        </w:rPr>
        <w:t>，频率（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50</w:t>
      </w:r>
      <w:r>
        <w:rPr>
          <w:rFonts w:ascii="SimSun" w:eastAsia="SimSun" w:hAnsi="SimSun" w:cs="SimSun"/>
          <w:spacing w:val="-1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Hz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83" w:line="290" w:lineRule="auto"/>
        <w:ind w:left="38" w:right="27" w:firstLine="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5.1.4  </w:t>
      </w:r>
      <w:r>
        <w:rPr>
          <w:rFonts w:ascii="SimSun" w:eastAsia="SimSun" w:hAnsi="SimSun" w:cs="SimSun"/>
          <w:spacing w:val="-2"/>
          <w:sz w:val="24"/>
          <w:szCs w:val="24"/>
        </w:rPr>
        <w:t>其他：仪器应安装在平稳无振动的工作台上，周围无强磁场和电场干扰，无直射光</w:t>
      </w:r>
      <w:r>
        <w:rPr>
          <w:rFonts w:ascii="SimSun" w:eastAsia="SimSun" w:hAnsi="SimSun" w:cs="SimSun"/>
          <w:spacing w:val="-3"/>
          <w:sz w:val="24"/>
          <w:szCs w:val="24"/>
        </w:rPr>
        <w:t>源照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射仪器，仪器上方应安装排风系统。</w:t>
      </w:r>
    </w:p>
    <w:p>
      <w:pPr>
        <w:spacing w:before="184" w:line="220" w:lineRule="auto"/>
        <w:ind w:left="40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5.2    </w:t>
      </w:r>
      <w:r>
        <w:rPr>
          <w:rFonts w:ascii="SimSun" w:eastAsia="SimSun" w:hAnsi="SimSun" w:cs="SimSun"/>
          <w:spacing w:val="-1"/>
          <w:sz w:val="24"/>
          <w:szCs w:val="24"/>
        </w:rPr>
        <w:t>标准物质及设备</w:t>
      </w:r>
    </w:p>
    <w:p>
      <w:pPr>
        <w:spacing w:before="182" w:line="296" w:lineRule="auto"/>
        <w:ind w:left="44" w:right="30" w:hanging="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5.2.1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甲基汞标准物质、乙基汞标准物质：均为国家有证标</w:t>
      </w:r>
      <w:r>
        <w:rPr>
          <w:rFonts w:ascii="SimSun" w:eastAsia="SimSun" w:hAnsi="SimSun" w:cs="SimSun"/>
          <w:spacing w:val="-7"/>
          <w:sz w:val="24"/>
          <w:szCs w:val="24"/>
        </w:rPr>
        <w:t>准物质，相对扩展不确定度优于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4%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=2</w:t>
      </w:r>
      <w:r>
        <w:rPr>
          <w:rFonts w:ascii="SimSun" w:eastAsia="SimSun" w:hAnsi="SimSun" w:cs="SimSun"/>
          <w:spacing w:val="-61"/>
          <w:sz w:val="24"/>
          <w:szCs w:val="24"/>
        </w:rPr>
        <w:t>），</w:t>
      </w:r>
      <w:r>
        <w:rPr>
          <w:rFonts w:ascii="SimSun" w:eastAsia="SimSun" w:hAnsi="SimSun" w:cs="SimSun"/>
          <w:spacing w:val="-1"/>
          <w:sz w:val="24"/>
          <w:szCs w:val="24"/>
        </w:rPr>
        <w:t>标准溶液的配制参考附录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66" w:line="220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5.2.2  </w:t>
      </w:r>
      <w:r>
        <w:rPr>
          <w:rFonts w:ascii="SimSun" w:eastAsia="SimSun" w:hAnsi="SimSun" w:cs="SimSun"/>
          <w:spacing w:val="-7"/>
          <w:sz w:val="24"/>
          <w:szCs w:val="24"/>
        </w:rPr>
        <w:t>单标线容量瓶</w:t>
      </w:r>
      <w:r>
        <w:rPr>
          <w:rFonts w:ascii="SimSun" w:eastAsia="SimSun" w:hAnsi="SimSun" w:cs="SimSun"/>
          <w:spacing w:val="-2"/>
          <w:sz w:val="24"/>
          <w:szCs w:val="24"/>
        </w:rPr>
        <w:t>：（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50</w:t>
      </w:r>
      <w:r>
        <w:rPr>
          <w:rFonts w:ascii="SimSun" w:eastAsia="SimSun" w:hAnsi="SimSun" w:cs="SimSun"/>
          <w:spacing w:val="-7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200</w:t>
      </w:r>
      <w:r>
        <w:rPr>
          <w:rFonts w:ascii="SimSun" w:eastAsia="SimSun" w:hAnsi="SimSun" w:cs="SimSun"/>
          <w:spacing w:val="-7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mL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级。</w:t>
      </w:r>
    </w:p>
    <w:p>
      <w:pPr>
        <w:spacing w:before="181" w:line="220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5.2.3  </w:t>
      </w:r>
      <w:r>
        <w:rPr>
          <w:rFonts w:ascii="SimSun" w:eastAsia="SimSun" w:hAnsi="SimSun" w:cs="SimSun"/>
          <w:spacing w:val="-8"/>
          <w:sz w:val="24"/>
          <w:szCs w:val="24"/>
        </w:rPr>
        <w:t>单标线吸量管</w:t>
      </w:r>
      <w:r>
        <w:rPr>
          <w:rFonts w:ascii="SimSun" w:eastAsia="SimSun" w:hAnsi="SimSun" w:cs="SimSun"/>
          <w:spacing w:val="-1"/>
          <w:sz w:val="24"/>
          <w:szCs w:val="24"/>
        </w:rPr>
        <w:t>：（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</w:t>
      </w:r>
      <w:r>
        <w:rPr>
          <w:rFonts w:ascii="SimSun" w:eastAsia="SimSun" w:hAnsi="SimSun" w:cs="SimSun"/>
          <w:spacing w:val="-8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5</w:t>
      </w:r>
      <w:r>
        <w:rPr>
          <w:rFonts w:ascii="SimSun" w:eastAsia="SimSun" w:hAnsi="SimSun" w:cs="SimSun"/>
          <w:spacing w:val="-8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mL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级。</w:t>
      </w:r>
    </w:p>
    <w:p>
      <w:pPr>
        <w:spacing w:before="182" w:line="220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5.2.4  </w:t>
      </w:r>
      <w:r>
        <w:rPr>
          <w:rFonts w:ascii="SimSun" w:eastAsia="SimSun" w:hAnsi="SimSun" w:cs="SimSun"/>
          <w:spacing w:val="-1"/>
          <w:sz w:val="24"/>
          <w:szCs w:val="24"/>
        </w:rPr>
        <w:t>移液器：标称容量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0.5 mL</w:t>
      </w:r>
      <w:r>
        <w:rPr>
          <w:rFonts w:ascii="SimSun" w:eastAsia="SimSun" w:hAnsi="SimSun" w:cs="SimSun"/>
          <w:spacing w:val="-1"/>
          <w:sz w:val="24"/>
          <w:szCs w:val="24"/>
        </w:rPr>
        <w:t>，容量最大允许误差±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0.6%</w:t>
      </w:r>
      <w:r>
        <w:rPr>
          <w:rFonts w:ascii="SimSun" w:eastAsia="SimSun" w:hAnsi="SimSun" w:cs="SimSun"/>
          <w:spacing w:val="-1"/>
          <w:sz w:val="24"/>
          <w:szCs w:val="24"/>
        </w:rPr>
        <w:t>，重复性不大于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0.2%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84" w:line="212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5.2.5  </w:t>
      </w:r>
      <w:r>
        <w:rPr>
          <w:rFonts w:ascii="SimSun" w:eastAsia="SimSun" w:hAnsi="SimSun" w:cs="SimSun"/>
          <w:spacing w:val="-1"/>
          <w:sz w:val="24"/>
          <w:szCs w:val="24"/>
        </w:rPr>
        <w:t>分析天平：检定合格，最小分度值不大于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0.1 mg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92" w:line="290" w:lineRule="auto"/>
        <w:ind w:left="60" w:right="65" w:hanging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5.2.6  </w:t>
      </w:r>
      <w:r>
        <w:rPr>
          <w:rFonts w:ascii="SimSun" w:eastAsia="SimSun" w:hAnsi="SimSun" w:cs="SimSun"/>
          <w:spacing w:val="-18"/>
          <w:sz w:val="24"/>
          <w:szCs w:val="24"/>
        </w:rPr>
        <w:t>试剂：甲醇（色谱级）、无水醋酸钠（优级纯）、冰醋酸（优级纯）、氢氧化钾（优级纯）、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四丙基硼化钠（纯度≥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98%</w:t>
      </w:r>
      <w:r>
        <w:rPr>
          <w:rFonts w:ascii="SimSun" w:eastAsia="SimSun" w:hAnsi="SimSun" w:cs="SimSun"/>
          <w:spacing w:val="-8"/>
          <w:sz w:val="24"/>
          <w:szCs w:val="24"/>
        </w:rPr>
        <w:t>）。</w:t>
      </w:r>
    </w:p>
    <w:p>
      <w:pPr>
        <w:spacing w:before="195" w:line="216" w:lineRule="auto"/>
        <w:ind w:left="46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注：烷基汞溶液及衍生化试剂均有剧毒，上述操作务必在通风橱进行。</w:t>
      </w:r>
    </w:p>
    <w:p>
      <w:pPr>
        <w:pStyle w:val="BodyText"/>
        <w:spacing w:line="285" w:lineRule="auto"/>
      </w:pPr>
    </w:p>
    <w:p>
      <w:pPr>
        <w:spacing w:before="78" w:line="218" w:lineRule="auto"/>
        <w:ind w:left="37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pStyle w:val="BodyText"/>
        <w:spacing w:line="261" w:lineRule="auto"/>
        <w:sectPr>
          <w:headerReference w:type="default" r:id="rId22"/>
          <w:footerReference w:type="default" r:id="rId23"/>
          <w:pgSz w:w="11907" w:h="16839"/>
          <w:pgMar w:top="1627" w:right="1104" w:bottom="1151" w:left="1104" w:header="1313" w:footer="990" w:gutter="0"/>
          <w:pgNumType w:start="11"/>
          <w:cols w:space="708"/>
        </w:sectPr>
      </w:pPr>
    </w:p>
    <w:p>
      <w:pPr>
        <w:spacing w:before="79" w:line="220" w:lineRule="auto"/>
        <w:ind w:left="39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8"/>
          <w:sz w:val="24"/>
          <w:szCs w:val="24"/>
        </w:rPr>
        <w:t>线性误差</w:t>
      </w:r>
    </w:p>
    <w:p>
      <w:pPr>
        <w:spacing w:before="102" w:line="346" w:lineRule="auto"/>
        <w:ind w:left="39" w:right="28" w:firstLine="48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按照仪器说明书，待仪器稳定后，根据仪器加样体积要求，宜选择甲基汞、乙基汞含量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分别为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 pg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5.0 pg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10.0 pg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20.0 pg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50.0 pg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100.0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pg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的混合标准溶液（也可根据仪器工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作需求范围，均匀选取包括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pg </w:t>
      </w:r>
      <w:r>
        <w:rPr>
          <w:rFonts w:ascii="SimSun" w:eastAsia="SimSun" w:hAnsi="SimSun" w:cs="SimSun"/>
          <w:spacing w:val="-3"/>
          <w:sz w:val="24"/>
          <w:szCs w:val="24"/>
        </w:rPr>
        <w:t>在内的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-3"/>
          <w:sz w:val="24"/>
          <w:szCs w:val="24"/>
        </w:rPr>
        <w:t>个测量点标准溶液</w:t>
      </w:r>
      <w:r>
        <w:rPr>
          <w:rFonts w:ascii="SimSun" w:eastAsia="SimSun" w:hAnsi="SimSun" w:cs="SimSun"/>
          <w:spacing w:val="-13"/>
          <w:sz w:val="24"/>
          <w:szCs w:val="24"/>
        </w:rPr>
        <w:t>），</w:t>
      </w:r>
      <w:r>
        <w:rPr>
          <w:rFonts w:ascii="SimSun" w:eastAsia="SimSun" w:hAnsi="SimSun" w:cs="SimSun"/>
          <w:spacing w:val="-3"/>
          <w:sz w:val="24"/>
          <w:szCs w:val="24"/>
        </w:rPr>
        <w:t>对每个浓度点分</w:t>
      </w:r>
      <w:r>
        <w:rPr>
          <w:rFonts w:ascii="SimSun" w:eastAsia="SimSun" w:hAnsi="SimSun" w:cs="SimSun"/>
          <w:spacing w:val="-4"/>
          <w:sz w:val="24"/>
          <w:szCs w:val="24"/>
        </w:rPr>
        <w:t>别重复测量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</w:t>
      </w:r>
    </w:p>
    <w:p>
      <w:pPr>
        <w:spacing w:line="346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24"/>
          <w:footerReference w:type="default" r:id="rId25"/>
          <w:type w:val="nextPage"/>
          <w:pgSz w:w="11907" w:h="16839"/>
          <w:pgMar w:top="1627" w:right="1104" w:bottom="1151" w:left="1104" w:header="1313" w:footer="990" w:gutter="0"/>
          <w:pgNumType w:start="12"/>
          <w:cols w:space="708"/>
          <w:titlePg w:val="0"/>
        </w:sectPr>
      </w:pPr>
    </w:p>
    <w:p>
      <w:pPr>
        <w:spacing w:before="19" w:line="347" w:lineRule="auto"/>
        <w:ind w:left="38" w:right="36" w:firstLine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次，取响应值（峰高或峰面积）的算术平均值，用最小二乘法拟合烷基汞含量标准值和响应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值的平均值，得到仪器的线性方程，见公式（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）。</w:t>
      </w:r>
    </w:p>
    <w:p>
      <w:pPr>
        <w:spacing w:before="111" w:line="321" w:lineRule="exact"/>
        <w:ind w:right="28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1"/>
          <w:position w:val="1"/>
          <w:sz w:val="24"/>
          <w:szCs w:val="24"/>
        </w:rPr>
        <w:t>A</w:t>
      </w:r>
      <w:r>
        <w:rPr>
          <w:rFonts w:ascii="Cambria Math" w:eastAsia="Cambria Math" w:hAnsi="Cambria Math" w:cs="Cambria Math"/>
          <w:spacing w:val="39"/>
          <w:w w:val="101"/>
          <w:position w:val="1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1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27"/>
          <w:position w:val="1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1"/>
          <w:sz w:val="24"/>
          <w:szCs w:val="24"/>
        </w:rPr>
        <w:t>a</w:t>
      </w:r>
      <w:r>
        <w:rPr>
          <w:rFonts w:ascii="Cambria Math" w:eastAsia="Cambria Math" w:hAnsi="Cambria Math" w:cs="Cambria Math"/>
          <w:spacing w:val="23"/>
          <w:position w:val="1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1"/>
          <w:sz w:val="24"/>
          <w:szCs w:val="24"/>
        </w:rPr>
        <w:t xml:space="preserve">+ bx                                                                   </w:t>
      </w:r>
      <w:r>
        <w:rPr>
          <w:rFonts w:ascii="SimSun" w:eastAsia="SimSun" w:hAnsi="SimSun" w:cs="SimSun"/>
          <w:spacing w:val="-1"/>
          <w:position w:val="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position w:val="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position w:val="1"/>
          <w:sz w:val="24"/>
          <w:szCs w:val="24"/>
        </w:rPr>
        <w:t>）</w:t>
      </w:r>
    </w:p>
    <w:p>
      <w:pPr>
        <w:spacing w:before="147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81" w:line="220" w:lineRule="auto"/>
        <w:ind w:left="1086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1"/>
          <w:sz w:val="24"/>
          <w:szCs w:val="24"/>
        </w:rPr>
        <w:t xml:space="preserve">A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——</w:t>
      </w:r>
      <w:r>
        <w:rPr>
          <w:rFonts w:ascii="SimSun" w:eastAsia="SimSun" w:hAnsi="SimSun" w:cs="SimSun"/>
          <w:spacing w:val="1"/>
          <w:sz w:val="24"/>
          <w:szCs w:val="24"/>
        </w:rPr>
        <w:t>仪器响应值；</w:t>
      </w:r>
    </w:p>
    <w:p>
      <w:pPr>
        <w:spacing w:before="181" w:line="345" w:lineRule="auto"/>
        <w:ind w:left="1083" w:right="3855" w:firstLine="8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2"/>
          <w:sz w:val="24"/>
          <w:szCs w:val="24"/>
        </w:rPr>
        <w:t xml:space="preserve">x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——</w:t>
      </w:r>
      <w:r>
        <w:rPr>
          <w:rFonts w:ascii="SimSun" w:eastAsia="SimSun" w:hAnsi="SimSun" w:cs="SimSun"/>
          <w:spacing w:val="-2"/>
          <w:sz w:val="24"/>
          <w:szCs w:val="24"/>
        </w:rPr>
        <w:t>标准溶液中甲基汞或乙基汞含量，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pg</w:t>
      </w:r>
      <w:r>
        <w:rPr>
          <w:rFonts w:ascii="SimSun" w:eastAsia="SimSun" w:hAnsi="SimSun" w:cs="SimSun"/>
          <w:spacing w:val="-2"/>
          <w:sz w:val="24"/>
          <w:szCs w:val="24"/>
        </w:rPr>
        <w:t>；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1"/>
          <w:sz w:val="24"/>
          <w:szCs w:val="24"/>
        </w:rPr>
        <w:t xml:space="preserve">a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——</w:t>
      </w:r>
      <w:r>
        <w:rPr>
          <w:rFonts w:ascii="SimSun" w:eastAsia="SimSun" w:hAnsi="SimSun" w:cs="SimSun"/>
          <w:spacing w:val="1"/>
          <w:sz w:val="24"/>
          <w:szCs w:val="24"/>
        </w:rPr>
        <w:t>线性方程的截距；</w:t>
      </w:r>
    </w:p>
    <w:p>
      <w:pPr>
        <w:spacing w:before="41" w:line="213" w:lineRule="auto"/>
        <w:ind w:left="1081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z w:val="24"/>
          <w:szCs w:val="24"/>
        </w:rPr>
        <w:t xml:space="preserve">b  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线性方程的斜率，</w:t>
      </w:r>
      <w:r>
        <w:rPr>
          <w:rFonts w:ascii="Times New Roman" w:eastAsia="Times New Roman" w:hAnsi="Times New Roman" w:cs="Times New Roman"/>
          <w:sz w:val="24"/>
          <w:szCs w:val="24"/>
        </w:rPr>
        <w:t>pg</w:t>
      </w:r>
      <w:r>
        <w:rPr>
          <w:rFonts w:ascii="Times New Roman" w:eastAsia="Times New Roman" w:hAnsi="Times New Roman" w:cs="Times New Roman"/>
          <w:position w:val="8"/>
          <w:sz w:val="16"/>
          <w:szCs w:val="16"/>
        </w:rPr>
        <w:t>-1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190" w:line="346" w:lineRule="auto"/>
        <w:ind w:left="39" w:right="45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按照公式（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SimSun" w:eastAsia="SimSun" w:hAnsi="SimSun" w:cs="SimSun"/>
          <w:sz w:val="24"/>
          <w:szCs w:val="24"/>
        </w:rPr>
        <w:t>）计算各测量点的线性方程计算值，按照公式（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SimSun" w:eastAsia="SimSun" w:hAnsi="SimSun" w:cs="SimSun"/>
          <w:sz w:val="24"/>
          <w:szCs w:val="24"/>
        </w:rPr>
        <w:t>）计算各点甲基汞和乙基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汞的线性误差（不包含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0 pg</w:t>
      </w:r>
      <w:r>
        <w:rPr>
          <w:rFonts w:ascii="SimSun" w:eastAsia="SimSun" w:hAnsi="SimSun" w:cs="SimSun"/>
          <w:spacing w:val="-7"/>
          <w:sz w:val="24"/>
          <w:szCs w:val="24"/>
        </w:rPr>
        <w:t>）。</w:t>
      </w:r>
    </w:p>
    <w:p>
      <w:pPr>
        <w:spacing w:before="26"/>
        <w:ind w:right="28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-20"/>
          <w:sz w:val="24"/>
          <w:szCs w:val="24"/>
        </w:rPr>
        <w:drawing>
          <wp:inline distT="0" distB="0" distL="0" distR="0">
            <wp:extent cx="581405" cy="2926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1405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4"/>
          <w:sz w:val="24"/>
          <w:szCs w:val="24"/>
        </w:rPr>
        <w:t xml:space="preserve">                                  （</w:t>
      </w:r>
      <w:r>
        <w:rPr>
          <w:rFonts w:ascii="Times New Roman" w:eastAsia="Times New Roman" w:hAnsi="Times New Roman" w:cs="Times New Roman"/>
          <w:position w:val="-4"/>
          <w:sz w:val="24"/>
          <w:szCs w:val="24"/>
        </w:rPr>
        <w:t>2</w:t>
      </w:r>
      <w:r>
        <w:rPr>
          <w:rFonts w:ascii="SimSun" w:eastAsia="SimSun" w:hAnsi="SimSun" w:cs="SimSun"/>
          <w:position w:val="-4"/>
          <w:sz w:val="24"/>
          <w:szCs w:val="24"/>
        </w:rPr>
        <w:t>）</w:t>
      </w:r>
    </w:p>
    <w:p>
      <w:pPr>
        <w:spacing w:before="149"/>
        <w:ind w:right="28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4"/>
          <w:sz w:val="24"/>
          <w:szCs w:val="24"/>
        </w:rPr>
        <w:t>∆x</w:t>
      </w:r>
      <w:r>
        <w:rPr>
          <w:rFonts w:ascii="Cambria Math" w:eastAsia="Cambria Math" w:hAnsi="Cambria Math" w:cs="Cambria Math"/>
          <w:spacing w:val="-4"/>
          <w:position w:val="-5"/>
          <w:sz w:val="17"/>
          <w:szCs w:val="17"/>
        </w:rPr>
        <w:t>i</w:t>
      </w:r>
      <w:r>
        <w:rPr>
          <w:rFonts w:ascii="Cambria Math" w:eastAsia="Cambria Math" w:hAnsi="Cambria Math" w:cs="Cambria Math"/>
          <w:spacing w:val="12"/>
          <w:w w:val="102"/>
          <w:position w:val="-5"/>
          <w:sz w:val="17"/>
          <w:szCs w:val="17"/>
        </w:rPr>
        <w:t xml:space="preserve">  </w:t>
      </w:r>
      <w:r>
        <w:rPr>
          <w:rFonts w:ascii="Cambria Math" w:eastAsia="Cambria Math" w:hAnsi="Cambria Math" w:cs="Cambria Math"/>
          <w:spacing w:val="-4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12"/>
          <w:sz w:val="24"/>
          <w:szCs w:val="24"/>
        </w:rPr>
        <w:t xml:space="preserve"> </w:t>
      </w:r>
      <w:r>
        <w:rPr>
          <w:position w:val="-19"/>
          <w:sz w:val="24"/>
          <w:szCs w:val="24"/>
        </w:rPr>
        <w:drawing>
          <wp:inline distT="0" distB="0" distL="0" distR="0">
            <wp:extent cx="326135" cy="2943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6135" cy="29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24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4"/>
          <w:sz w:val="24"/>
          <w:szCs w:val="24"/>
        </w:rPr>
        <w:t>×</w:t>
      </w:r>
      <w:r>
        <w:rPr>
          <w:rFonts w:ascii="Cambria Math" w:eastAsia="Cambria Math" w:hAnsi="Cambria Math" w:cs="Cambria Math"/>
          <w:spacing w:val="20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4"/>
          <w:sz w:val="24"/>
          <w:szCs w:val="24"/>
        </w:rPr>
        <w:t>100%</w:t>
      </w:r>
      <w:r>
        <w:rPr>
          <w:rFonts w:ascii="Cambria Math" w:eastAsia="Cambria Math" w:hAnsi="Cambria Math" w:cs="Cambria Math"/>
          <w:sz w:val="24"/>
          <w:szCs w:val="24"/>
        </w:rPr>
        <w:t xml:space="preserve">                                                             </w:t>
      </w:r>
      <w:r>
        <w:rPr>
          <w:rFonts w:ascii="SimSun" w:eastAsia="SimSun" w:hAnsi="SimSun" w:cs="SimSun"/>
          <w:spacing w:val="-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"/>
          <w:sz w:val="24"/>
          <w:szCs w:val="24"/>
        </w:rPr>
        <w:t>）</w:t>
      </w:r>
    </w:p>
    <w:p>
      <w:pPr>
        <w:spacing w:before="185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57" w:line="322" w:lineRule="auto"/>
        <w:ind w:left="1090" w:right="4782" w:hanging="4"/>
        <w:rPr>
          <w:rFonts w:ascii="SimSun" w:eastAsia="SimSun" w:hAnsi="SimSun" w:cs="SimSun"/>
          <w:sz w:val="24"/>
          <w:szCs w:val="24"/>
        </w:rPr>
      </w:pPr>
      <w:r>
        <w:ruby>
          <w:rubyPr>
            <w:rubyAlign w:val="left"/>
            <w:hps w:val="24"/>
            <w:hpsRaise w:val="4"/>
            <w:hpsBaseText w:val="21"/>
          </w:rubyPr>
          <w:rt>
            <w:r>
              <w:rPr>
                <w:rFonts w:ascii="Cambria Math" w:eastAsia="Cambria Math" w:hAnsi="Cambria Math" w:cs="Cambria Math"/>
                <w:spacing w:val="1"/>
                <w:w w:val="175"/>
                <w:sz w:val="24"/>
                <w:szCs w:val="24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̅</w:t>
            </w:r>
          </w:rt>
          <w:rubyBase>
            <w:r>
              <w:rPr>
                <w:rFonts w:ascii="Cambria Math" w:eastAsia="Cambria Math" w:hAnsi="Cambria Math" w:cs="Cambria Math"/>
                <w:w w:val="102"/>
                <w:sz w:val="24"/>
                <w:szCs w:val="24"/>
              </w:rPr>
              <w:t>A</w:t>
            </w:r>
          </w:rubyBase>
        </w:ruby>
      </w:r>
      <w:r>
        <w:rPr>
          <w:rFonts w:ascii="Cambria Math" w:eastAsia="Cambria Math" w:hAnsi="Cambria Math" w:cs="Cambria Math"/>
          <w:spacing w:val="-5"/>
          <w:position w:val="-4"/>
          <w:sz w:val="17"/>
          <w:szCs w:val="17"/>
        </w:rPr>
        <w:t xml:space="preserve">l  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——</w:t>
      </w:r>
      <w:r>
        <w:rPr>
          <w:rFonts w:ascii="SimSun" w:eastAsia="SimSun" w:hAnsi="SimSun" w:cs="SimSun"/>
          <w:spacing w:val="-5"/>
          <w:sz w:val="24"/>
          <w:szCs w:val="24"/>
        </w:rPr>
        <w:t>第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点仪器响应值的平均值；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3"/>
          <w:sz w:val="24"/>
          <w:szCs w:val="24"/>
        </w:rPr>
        <w:t>x</w:t>
      </w:r>
      <w:r>
        <w:rPr>
          <w:rFonts w:ascii="Cambria Math" w:eastAsia="Cambria Math" w:hAnsi="Cambria Math" w:cs="Cambria Math"/>
          <w:spacing w:val="-3"/>
          <w:position w:val="-4"/>
          <w:sz w:val="17"/>
          <w:szCs w:val="17"/>
        </w:rPr>
        <w:t xml:space="preserve">i  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——</w:t>
      </w:r>
      <w:r>
        <w:rPr>
          <w:rFonts w:ascii="SimSun" w:eastAsia="SimSun" w:hAnsi="SimSun" w:cs="SimSun"/>
          <w:spacing w:val="-3"/>
          <w:sz w:val="24"/>
          <w:szCs w:val="24"/>
        </w:rPr>
        <w:t>第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2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点线性方程计算值，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pg</w:t>
      </w:r>
      <w:r>
        <w:rPr>
          <w:rFonts w:ascii="SimSun" w:eastAsia="SimSun" w:hAnsi="SimSun" w:cs="SimSun"/>
          <w:spacing w:val="-3"/>
          <w:sz w:val="24"/>
          <w:szCs w:val="24"/>
        </w:rPr>
        <w:t>；</w:t>
      </w:r>
    </w:p>
    <w:p>
      <w:pPr>
        <w:spacing w:before="83" w:line="351" w:lineRule="auto"/>
        <w:ind w:left="1093" w:right="4062" w:hanging="2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3"/>
          <w:sz w:val="24"/>
          <w:szCs w:val="24"/>
        </w:rPr>
        <w:t>x</w:t>
      </w:r>
      <w:r>
        <w:rPr>
          <w:rFonts w:ascii="Cambria Math" w:eastAsia="Cambria Math" w:hAnsi="Cambria Math" w:cs="Cambria Math"/>
          <w:spacing w:val="-3"/>
          <w:position w:val="-4"/>
          <w:sz w:val="17"/>
          <w:szCs w:val="17"/>
        </w:rPr>
        <w:t>si</w:t>
      </w:r>
      <w:r>
        <w:rPr>
          <w:rFonts w:ascii="Cambria Math" w:eastAsia="Cambria Math" w:hAnsi="Cambria Math" w:cs="Cambria Math"/>
          <w:spacing w:val="36"/>
          <w:w w:val="101"/>
          <w:position w:val="-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——</w:t>
      </w:r>
      <w:r>
        <w:rPr>
          <w:rFonts w:ascii="SimSun" w:eastAsia="SimSun" w:hAnsi="SimSun" w:cs="SimSun"/>
          <w:spacing w:val="-3"/>
          <w:sz w:val="24"/>
          <w:szCs w:val="24"/>
        </w:rPr>
        <w:t>第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2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点甲基汞或乙基汞标准值，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pg</w:t>
      </w:r>
      <w:r>
        <w:rPr>
          <w:rFonts w:ascii="SimSun" w:eastAsia="SimSun" w:hAnsi="SimSun" w:cs="SimSun"/>
          <w:spacing w:val="-3"/>
          <w:sz w:val="24"/>
          <w:szCs w:val="24"/>
        </w:rPr>
        <w:t>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∆x</w:t>
      </w:r>
      <w:r>
        <w:rPr>
          <w:rFonts w:ascii="Cambria Math" w:eastAsia="Cambria Math" w:hAnsi="Cambria Math" w:cs="Cambria Math"/>
          <w:position w:val="-4"/>
          <w:sz w:val="17"/>
          <w:szCs w:val="17"/>
        </w:rPr>
        <w:t xml:space="preserve">i   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第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2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点的线性误差，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6" w:line="220" w:lineRule="auto"/>
        <w:ind w:left="39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6.2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检出限</w:t>
      </w:r>
    </w:p>
    <w:p>
      <w:pPr>
        <w:spacing w:before="183" w:line="345" w:lineRule="auto"/>
        <w:ind w:left="38" w:right="28" w:firstLine="482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按照仪器说明书对甲基汞、乙基汞含量均为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0.5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pg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的烷基汞混合溶液连续测量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spacing w:val="16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次，分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别计算甲基汞和乙基汞响应值的平均值</w:t>
      </w:r>
      <w:r>
        <w:ruby>
          <w:rubyPr>
            <w:rubyAlign w:val="left"/>
            <w:hps w:val="21"/>
            <w:hpsRaise w:val="2"/>
            <w:hpsBaseText w:val="21"/>
          </w:rubyPr>
          <w:rt>
            <w:r>
              <w:rPr>
                <w:rFonts w:ascii="Cambria Math" w:eastAsia="Cambria Math" w:hAnsi="Cambria Math" w:cs="Cambria Math"/>
                <w:spacing w:val="1"/>
                <w:w w:val="175"/>
                <w:sz w:val="21"/>
                <w:szCs w:val="21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1"/>
                <w:szCs w:val="21"/>
              </w:rPr>
              <w:t>̅̅</w:t>
            </w:r>
          </w:rt>
          <w:rubyBase>
            <w:r>
              <w:rPr>
                <w:rFonts w:ascii="Cambria Math" w:eastAsia="Cambria Math" w:hAnsi="Cambria Math" w:cs="Cambria Math"/>
                <w:w w:val="102"/>
                <w:sz w:val="21"/>
                <w:szCs w:val="21"/>
              </w:rPr>
              <w:t>A</w:t>
            </w:r>
          </w:rubyBase>
        </w:ruby>
      </w:r>
      <w:r>
        <w:rPr>
          <w:position w:val="-4"/>
          <w:sz w:val="21"/>
          <w:szCs w:val="21"/>
        </w:rPr>
        <w:drawing>
          <wp:inline distT="0" distB="0" distL="0" distR="0">
            <wp:extent cx="44195" cy="15854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195" cy="158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4"/>
          <w:szCs w:val="24"/>
        </w:rPr>
        <w:t>，按照公式（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4</w:t>
      </w:r>
      <w:r>
        <w:rPr>
          <w:rFonts w:ascii="SimSun" w:eastAsia="SimSun" w:hAnsi="SimSun" w:cs="SimSun"/>
          <w:spacing w:val="-5"/>
          <w:sz w:val="24"/>
          <w:szCs w:val="24"/>
        </w:rPr>
        <w:t>）计算其标准偏差，按公式（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</w:t>
      </w:r>
      <w:r>
        <w:rPr>
          <w:rFonts w:ascii="SimSun" w:eastAsia="SimSun" w:hAnsi="SimSun" w:cs="SimSun"/>
          <w:spacing w:val="-5"/>
          <w:sz w:val="24"/>
          <w:szCs w:val="24"/>
        </w:rPr>
        <w:t>）分别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计算仪器的检出限。</w:t>
      </w:r>
    </w:p>
    <w:p>
      <w:pPr>
        <w:spacing w:before="7" w:line="540" w:lineRule="exact"/>
        <w:ind w:right="74"/>
        <w:jc w:val="right"/>
        <w:rPr>
          <w:rFonts w:ascii="SimSun" w:eastAsia="SimSun" w:hAnsi="SimSun" w:cs="SimSun"/>
          <w:sz w:val="24"/>
          <w:szCs w:val="24"/>
        </w:rPr>
      </w:pPr>
      <w:r>
        <w:pict>
          <v:shape id="_x0000_s1029" style="width:58.75pt;height:0.85pt;margin-top:0.67pt;margin-left:223.61pt;position:absolute;z-index:-251656192" coordorigin="0,0" coordsize="1175,17" path="m,16l1174,16l1174,l,l,16xe" filled="t" fillcolor="black" stroked="f"/>
        </w:pict>
      </w:r>
      <w:r>
        <w:rPr>
          <w:rFonts w:ascii="Cambria Math" w:eastAsia="Cambria Math" w:hAnsi="Cambria Math" w:cs="Cambria Math"/>
          <w:spacing w:val="6"/>
          <w:position w:val="7"/>
          <w:sz w:val="24"/>
          <w:szCs w:val="24"/>
        </w:rPr>
        <w:t>S</w:t>
      </w:r>
      <w:r>
        <w:rPr>
          <w:rFonts w:ascii="Cambria Math" w:eastAsia="Cambria Math" w:hAnsi="Cambria Math" w:cs="Cambria Math"/>
          <w:spacing w:val="6"/>
          <w:position w:val="3"/>
          <w:sz w:val="17"/>
          <w:szCs w:val="17"/>
        </w:rPr>
        <w:t>0</w:t>
      </w:r>
      <w:r>
        <w:rPr>
          <w:rFonts w:ascii="Cambria Math" w:eastAsia="Cambria Math" w:hAnsi="Cambria Math" w:cs="Cambria Math"/>
          <w:spacing w:val="9"/>
          <w:position w:val="3"/>
          <w:sz w:val="17"/>
          <w:szCs w:val="17"/>
        </w:rPr>
        <w:t xml:space="preserve">  </w:t>
      </w:r>
      <w:r>
        <w:rPr>
          <w:rFonts w:ascii="Cambria Math" w:eastAsia="Cambria Math" w:hAnsi="Cambria Math" w:cs="Cambria Math"/>
          <w:spacing w:val="6"/>
          <w:position w:val="7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19"/>
          <w:w w:val="101"/>
          <w:position w:val="7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6"/>
          <w:position w:val="10"/>
          <w:sz w:val="24"/>
          <w:szCs w:val="24"/>
        </w:rPr>
        <w:t>√</w:t>
      </w:r>
      <w:r>
        <w:rPr>
          <w:position w:val="-8"/>
          <w:sz w:val="24"/>
          <w:szCs w:val="24"/>
        </w:rPr>
        <w:drawing>
          <wp:inline distT="0" distB="0" distL="0" distR="0">
            <wp:extent cx="739902" cy="30767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39902" cy="30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position w:val="10"/>
          <w:sz w:val="24"/>
          <w:szCs w:val="24"/>
        </w:rPr>
        <w:t xml:space="preserve">                                                               </w:t>
      </w:r>
      <w:r>
        <w:rPr>
          <w:rFonts w:ascii="SimSun" w:eastAsia="SimSun" w:hAnsi="SimSun" w:cs="SimSun"/>
          <w:spacing w:val="6"/>
          <w:position w:val="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6"/>
          <w:position w:val="7"/>
          <w:sz w:val="24"/>
          <w:szCs w:val="24"/>
        </w:rPr>
        <w:t>4</w:t>
      </w:r>
      <w:r>
        <w:rPr>
          <w:rFonts w:ascii="SimSun" w:eastAsia="SimSun" w:hAnsi="SimSun" w:cs="SimSun"/>
          <w:spacing w:val="6"/>
          <w:position w:val="7"/>
          <w:sz w:val="24"/>
          <w:szCs w:val="24"/>
        </w:rPr>
        <w:t>）</w:t>
      </w:r>
    </w:p>
    <w:p>
      <w:pPr>
        <w:spacing w:before="158"/>
        <w:ind w:left="44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-15"/>
          <w:sz w:val="24"/>
          <w:szCs w:val="24"/>
        </w:rPr>
        <w:drawing>
          <wp:inline distT="0" distB="0" distL="0" distR="0">
            <wp:extent cx="537362" cy="26436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37362" cy="26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4"/>
          <w:szCs w:val="24"/>
        </w:rPr>
        <w:t xml:space="preserve">                               </w:t>
      </w:r>
      <w:r>
        <w:rPr>
          <w:rFonts w:ascii="SimSun" w:eastAsia="SimSun" w:hAnsi="SimSun" w:cs="SimSun"/>
          <w:spacing w:val="-16"/>
          <w:sz w:val="24"/>
          <w:szCs w:val="24"/>
        </w:rPr>
        <w:t>（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>5</w:t>
      </w:r>
      <w:r>
        <w:rPr>
          <w:rFonts w:ascii="SimSun" w:eastAsia="SimSun" w:hAnsi="SimSun" w:cs="SimSun"/>
          <w:spacing w:val="-16"/>
          <w:sz w:val="24"/>
          <w:szCs w:val="24"/>
        </w:rPr>
        <w:t>）</w:t>
      </w:r>
    </w:p>
    <w:p>
      <w:pPr>
        <w:spacing w:before="186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81" w:line="329" w:lineRule="exact"/>
        <w:ind w:left="1086"/>
        <w:rPr>
          <w:rFonts w:ascii="SimSun" w:eastAsia="SimSun" w:hAnsi="SimSun" w:cs="SimSun"/>
          <w:sz w:val="24"/>
          <w:szCs w:val="24"/>
        </w:rPr>
        <w:sectPr>
          <w:headerReference w:type="default" r:id="rId31"/>
          <w:footerReference w:type="default" r:id="rId32"/>
          <w:pgSz w:w="11907" w:h="16839"/>
          <w:pgMar w:top="1627" w:right="1104" w:bottom="1151" w:left="1104" w:header="1313" w:footer="990" w:gutter="0"/>
          <w:pgNumType w:start="13"/>
          <w:cols w:space="708"/>
        </w:sectPr>
      </w:pPr>
      <w:r>
        <w:rPr>
          <w:rFonts w:ascii="Cambria Math" w:eastAsia="Cambria Math" w:hAnsi="Cambria Math" w:cs="Cambria Math"/>
          <w:spacing w:val="-3"/>
          <w:position w:val="2"/>
          <w:sz w:val="24"/>
          <w:szCs w:val="24"/>
        </w:rPr>
        <w:t>A</w:t>
      </w:r>
      <w:r>
        <w:rPr>
          <w:rFonts w:ascii="Cambria Math" w:eastAsia="Cambria Math" w:hAnsi="Cambria Math" w:cs="Cambria Math"/>
          <w:spacing w:val="-3"/>
          <w:position w:val="-2"/>
          <w:sz w:val="17"/>
          <w:szCs w:val="17"/>
        </w:rPr>
        <w:t>i0</w:t>
      </w:r>
      <w:r>
        <w:rPr>
          <w:rFonts w:ascii="Times New Roman" w:eastAsia="Times New Roman" w:hAnsi="Times New Roman" w:cs="Times New Roman"/>
          <w:spacing w:val="-3"/>
          <w:position w:val="2"/>
          <w:sz w:val="24"/>
          <w:szCs w:val="24"/>
        </w:rPr>
        <w:t>——</w:t>
      </w:r>
      <w:r>
        <w:rPr>
          <w:rFonts w:ascii="SimSun" w:eastAsia="SimSun" w:hAnsi="SimSun" w:cs="SimSun"/>
          <w:spacing w:val="-3"/>
          <w:position w:val="2"/>
          <w:sz w:val="24"/>
          <w:szCs w:val="24"/>
        </w:rPr>
        <w:t>仪器第</w:t>
      </w:r>
      <w:r>
        <w:rPr>
          <w:rFonts w:ascii="SimSun" w:eastAsia="SimSun" w:hAnsi="SimSun" w:cs="SimSun"/>
          <w:spacing w:val="-48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17"/>
          <w:w w:val="101"/>
          <w:position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position w:val="2"/>
          <w:sz w:val="24"/>
          <w:szCs w:val="24"/>
        </w:rPr>
        <w:t>次响应值；</w:t>
      </w:r>
    </w:p>
    <w:p>
      <w:pPr>
        <w:spacing w:before="112" w:line="349" w:lineRule="auto"/>
        <w:ind w:left="1073" w:right="5424" w:firstLine="12"/>
        <w:rPr>
          <w:rFonts w:ascii="SimSun" w:eastAsia="SimSun" w:hAnsi="SimSun" w:cs="SimSun"/>
          <w:sz w:val="24"/>
          <w:szCs w:val="24"/>
        </w:rPr>
      </w:pPr>
      <w:r>
        <w:ruby>
          <w:rubyPr>
            <w:rubyAlign w:val="left"/>
            <w:hps w:val="24"/>
            <w:hpsRaise w:val="2"/>
            <w:hpsBaseText w:val="21"/>
          </w:rubyPr>
          <w:rt>
            <w:r>
              <w:rPr>
                <w:rFonts w:ascii="Cambria Math" w:eastAsia="Cambria Math" w:hAnsi="Cambria Math" w:cs="Cambria Math"/>
                <w:spacing w:val="1"/>
                <w:w w:val="175"/>
                <w:sz w:val="24"/>
                <w:szCs w:val="24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̅̅</w:t>
            </w:r>
          </w:rt>
          <w:rubyBase>
            <w:r>
              <w:rPr>
                <w:rFonts w:ascii="Cambria Math" w:eastAsia="Cambria Math" w:hAnsi="Cambria Math" w:cs="Cambria Math"/>
                <w:w w:val="102"/>
                <w:sz w:val="24"/>
                <w:szCs w:val="24"/>
              </w:rPr>
              <w:t>A</w:t>
            </w:r>
          </w:rubyBase>
        </w:ruby>
      </w:r>
      <w:r>
        <w:rPr>
          <w:rFonts w:ascii="Times New Roman" w:eastAsia="Times New Roman" w:hAnsi="Times New Roman" w:cs="Times New Roman"/>
          <w:position w:val="-5"/>
          <w:sz w:val="24"/>
          <w:szCs w:val="24"/>
        </w:rPr>
        <w:drawing>
          <wp:inline distT="0" distB="0" distL="0" distR="0">
            <wp:extent cx="48768" cy="17897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178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——11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次响应值的平均值；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"/>
          <w:sz w:val="24"/>
          <w:szCs w:val="24"/>
        </w:rPr>
        <w:t xml:space="preserve">n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——</w:t>
      </w:r>
      <w:r>
        <w:rPr>
          <w:rFonts w:ascii="SimSun" w:eastAsia="SimSun" w:hAnsi="SimSun" w:cs="SimSun"/>
          <w:spacing w:val="-1"/>
          <w:sz w:val="24"/>
          <w:szCs w:val="24"/>
        </w:rPr>
        <w:t>测量次数，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=11</w:t>
      </w:r>
      <w:r>
        <w:rPr>
          <w:rFonts w:ascii="SimSun" w:eastAsia="SimSun" w:hAnsi="SimSun" w:cs="SimSun"/>
          <w:spacing w:val="-1"/>
          <w:sz w:val="24"/>
          <w:szCs w:val="24"/>
        </w:rPr>
        <w:t>；</w:t>
      </w:r>
    </w:p>
    <w:p>
      <w:pPr>
        <w:spacing w:before="50" w:line="219" w:lineRule="auto"/>
        <w:ind w:left="1089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4"/>
          <w:sz w:val="24"/>
          <w:szCs w:val="24"/>
        </w:rPr>
        <w:t>S</w:t>
      </w:r>
      <w:r>
        <w:rPr>
          <w:rFonts w:ascii="Cambria Math" w:eastAsia="Cambria Math" w:hAnsi="Cambria Math" w:cs="Cambria Math"/>
          <w:spacing w:val="-4"/>
          <w:position w:val="-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——11</w:t>
      </w:r>
      <w:r>
        <w:rPr>
          <w:rFonts w:ascii="Times New Roman" w:eastAsia="Times New Roman" w:hAnsi="Times New Roman" w:cs="Times New Roman"/>
          <w:spacing w:val="21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次响应值的实验标准偏差；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4"/>
          <w:footerReference w:type="default" r:id="rId35"/>
          <w:type w:val="nextPage"/>
          <w:pgSz w:w="11907" w:h="16839"/>
          <w:pgMar w:top="1627" w:right="1104" w:bottom="1151" w:left="1104" w:header="1313" w:footer="990" w:gutter="0"/>
          <w:pgNumType w:start="14"/>
          <w:cols w:space="708"/>
          <w:titlePg w:val="0"/>
        </w:sectPr>
      </w:pPr>
    </w:p>
    <w:p>
      <w:pPr>
        <w:spacing w:before="98" w:line="334" w:lineRule="auto"/>
        <w:ind w:left="1102" w:right="5418" w:hanging="21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3"/>
          <w:sz w:val="24"/>
          <w:szCs w:val="24"/>
        </w:rPr>
        <w:t xml:space="preserve">b 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——</w:t>
      </w:r>
      <w:r>
        <w:rPr>
          <w:rFonts w:ascii="SimSun" w:eastAsia="SimSun" w:hAnsi="SimSun" w:cs="SimSun"/>
          <w:spacing w:val="-3"/>
          <w:sz w:val="24"/>
          <w:szCs w:val="24"/>
        </w:rPr>
        <w:t>线性方程的斜率，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pg</w:t>
      </w:r>
      <w:r>
        <w:rPr>
          <w:rFonts w:ascii="Times New Roman" w:eastAsia="Times New Roman" w:hAnsi="Times New Roman" w:cs="Times New Roman"/>
          <w:spacing w:val="-3"/>
          <w:position w:val="8"/>
          <w:sz w:val="16"/>
          <w:szCs w:val="16"/>
        </w:rPr>
        <w:t>-1</w:t>
      </w:r>
      <w:r>
        <w:rPr>
          <w:rFonts w:ascii="SimSun" w:eastAsia="SimSun" w:hAnsi="SimSun" w:cs="SimSun"/>
          <w:spacing w:val="-3"/>
          <w:sz w:val="24"/>
          <w:szCs w:val="24"/>
        </w:rPr>
        <w:t>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Q</w:t>
      </w:r>
      <w:r>
        <w:rPr>
          <w:rFonts w:ascii="Cambria Math" w:eastAsia="Cambria Math" w:hAnsi="Cambria Math" w:cs="Cambria Math"/>
          <w:position w:val="-4"/>
          <w:sz w:val="17"/>
          <w:szCs w:val="17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仪器检出限，</w:t>
      </w:r>
      <w:r>
        <w:rPr>
          <w:rFonts w:ascii="Times New Roman" w:eastAsia="Times New Roman" w:hAnsi="Times New Roman" w:cs="Times New Roman"/>
          <w:sz w:val="24"/>
          <w:szCs w:val="24"/>
        </w:rPr>
        <w:t>pg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60" w:line="220" w:lineRule="auto"/>
        <w:ind w:left="39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6.3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重复性</w:t>
      </w:r>
    </w:p>
    <w:p>
      <w:pPr>
        <w:spacing w:before="101" w:line="347" w:lineRule="auto"/>
        <w:ind w:left="41" w:right="38" w:firstLine="4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选用线性误差考察范围的中间某一浓度的混合</w:t>
      </w:r>
      <w:r>
        <w:rPr>
          <w:rFonts w:ascii="SimSun" w:eastAsia="SimSun" w:hAnsi="SimSun" w:cs="SimSun"/>
          <w:sz w:val="24"/>
          <w:szCs w:val="24"/>
        </w:rPr>
        <w:t xml:space="preserve">标准溶液，按照仪器说明书操作方法，连 </w:t>
      </w:r>
      <w:r>
        <w:rPr>
          <w:rFonts w:ascii="SimSun" w:eastAsia="SimSun" w:hAnsi="SimSun" w:cs="SimSun"/>
          <w:spacing w:val="-4"/>
          <w:sz w:val="24"/>
          <w:szCs w:val="24"/>
        </w:rPr>
        <w:t>续测量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次，按公式（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>
        <w:rPr>
          <w:rFonts w:ascii="SimSun" w:eastAsia="SimSun" w:hAnsi="SimSun" w:cs="SimSun"/>
          <w:spacing w:val="-4"/>
          <w:sz w:val="24"/>
          <w:szCs w:val="24"/>
        </w:rPr>
        <w:t>）计算仪器重复性。</w:t>
      </w:r>
    </w:p>
    <w:p>
      <w:pPr>
        <w:spacing w:before="71"/>
        <w:ind w:right="74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position w:val="-20"/>
          <w:sz w:val="23"/>
          <w:szCs w:val="23"/>
        </w:rPr>
        <w:drawing>
          <wp:inline distT="0" distB="0" distL="0" distR="0">
            <wp:extent cx="1155691" cy="32933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55691" cy="3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35"/>
          <w:position w:val="-3"/>
          <w:sz w:val="23"/>
          <w:szCs w:val="23"/>
        </w:rPr>
        <w:t xml:space="preserve"> </w:t>
      </w:r>
      <w:r>
        <w:rPr>
          <w:rFonts w:ascii="Cambria Math" w:eastAsia="Cambria Math" w:hAnsi="Cambria Math" w:cs="Cambria Math"/>
          <w:spacing w:val="-4"/>
          <w:position w:val="-3"/>
          <w:sz w:val="23"/>
          <w:szCs w:val="23"/>
        </w:rPr>
        <w:t>×</w:t>
      </w:r>
      <w:r>
        <w:rPr>
          <w:rFonts w:ascii="Cambria Math" w:eastAsia="Cambria Math" w:hAnsi="Cambria Math" w:cs="Cambria Math"/>
          <w:spacing w:val="21"/>
          <w:position w:val="-3"/>
          <w:sz w:val="23"/>
          <w:szCs w:val="23"/>
        </w:rPr>
        <w:t xml:space="preserve"> </w:t>
      </w:r>
      <w:r>
        <w:rPr>
          <w:rFonts w:ascii="Cambria Math" w:eastAsia="Cambria Math" w:hAnsi="Cambria Math" w:cs="Cambria Math"/>
          <w:spacing w:val="-4"/>
          <w:position w:val="-3"/>
          <w:sz w:val="23"/>
          <w:szCs w:val="23"/>
        </w:rPr>
        <w:t xml:space="preserve">100%                                                                       </w:t>
      </w:r>
      <w:r>
        <w:rPr>
          <w:rFonts w:ascii="SimSun" w:eastAsia="SimSun" w:hAnsi="SimSun" w:cs="SimSun"/>
          <w:spacing w:val="-4"/>
          <w:position w:val="-3"/>
          <w:sz w:val="24"/>
          <w:szCs w:val="24"/>
        </w:rPr>
        <w:t>（</w:t>
      </w:r>
      <w:r>
        <w:rPr>
          <w:rFonts w:ascii="SimSun" w:eastAsia="SimSun" w:hAnsi="SimSun" w:cs="SimSun"/>
          <w:spacing w:val="-42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3"/>
          <w:sz w:val="24"/>
          <w:szCs w:val="24"/>
        </w:rPr>
        <w:t>6</w:t>
      </w:r>
      <w:r>
        <w:rPr>
          <w:rFonts w:ascii="SimSun" w:eastAsia="SimSun" w:hAnsi="SimSun" w:cs="SimSun"/>
          <w:spacing w:val="-4"/>
          <w:position w:val="-3"/>
          <w:sz w:val="24"/>
          <w:szCs w:val="24"/>
        </w:rPr>
        <w:t>）</w:t>
      </w:r>
    </w:p>
    <w:p>
      <w:pPr>
        <w:spacing w:before="146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82" w:line="329" w:lineRule="exact"/>
        <w:ind w:left="1086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2"/>
          <w:position w:val="2"/>
          <w:sz w:val="24"/>
          <w:szCs w:val="24"/>
        </w:rPr>
        <w:t>A</w:t>
      </w:r>
      <w:r>
        <w:rPr>
          <w:rFonts w:ascii="Cambria Math" w:eastAsia="Cambria Math" w:hAnsi="Cambria Math" w:cs="Cambria Math"/>
          <w:spacing w:val="-2"/>
          <w:position w:val="-2"/>
          <w:sz w:val="17"/>
          <w:szCs w:val="17"/>
        </w:rPr>
        <w:t xml:space="preserve">i   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——</w:t>
      </w:r>
      <w:r>
        <w:rPr>
          <w:rFonts w:ascii="SimSun" w:eastAsia="SimSun" w:hAnsi="SimSun" w:cs="SimSun"/>
          <w:spacing w:val="-2"/>
          <w:position w:val="2"/>
          <w:sz w:val="24"/>
          <w:szCs w:val="24"/>
        </w:rPr>
        <w:t>仪器第</w:t>
      </w:r>
      <w:r>
        <w:rPr>
          <w:rFonts w:ascii="SimSun" w:eastAsia="SimSun" w:hAnsi="SimSun" w:cs="SimSun"/>
          <w:spacing w:val="-47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17"/>
          <w:position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24"/>
          <w:szCs w:val="24"/>
        </w:rPr>
        <w:t>次响应值；</w:t>
      </w:r>
    </w:p>
    <w:p>
      <w:pPr>
        <w:spacing w:before="113" w:line="350" w:lineRule="auto"/>
        <w:ind w:left="1090" w:right="5054" w:hanging="4"/>
        <w:rPr>
          <w:rFonts w:ascii="SimSun" w:eastAsia="SimSun" w:hAnsi="SimSun" w:cs="SimSun"/>
          <w:sz w:val="24"/>
          <w:szCs w:val="24"/>
        </w:rPr>
      </w:pPr>
      <w:r>
        <w:ruby>
          <w:rubyPr>
            <w:rubyAlign w:val="left"/>
            <w:hps w:val="24"/>
            <w:hpsRaise w:val="4"/>
            <w:hpsBaseText w:val="21"/>
          </w:rubyPr>
          <w:rt>
            <w:r>
              <w:rPr>
                <w:rFonts w:ascii="Cambria Math" w:eastAsia="Cambria Math" w:hAnsi="Cambria Math" w:cs="Cambria Math"/>
                <w:spacing w:val="1"/>
                <w:w w:val="175"/>
                <w:sz w:val="24"/>
                <w:szCs w:val="24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̅</w:t>
            </w:r>
          </w:rt>
          <w:rubyBase>
            <w:r>
              <w:rPr>
                <w:rFonts w:ascii="Cambria Math" w:eastAsia="Cambria Math" w:hAnsi="Cambria Math" w:cs="Cambria Math"/>
                <w:w w:val="102"/>
                <w:sz w:val="24"/>
                <w:szCs w:val="24"/>
              </w:rPr>
              <w:t>A</w:t>
            </w:r>
          </w:rubyBase>
        </w:ruby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——7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次响应值的算术平均值；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 xml:space="preserve">n   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测量次数，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=7</w:t>
      </w:r>
      <w:r>
        <w:rPr>
          <w:rFonts w:ascii="SimSun" w:eastAsia="SimSun" w:hAnsi="SimSun" w:cs="SimSun"/>
          <w:sz w:val="24"/>
          <w:szCs w:val="24"/>
        </w:rPr>
        <w:t>；</w:t>
      </w:r>
    </w:p>
    <w:p>
      <w:pPr>
        <w:spacing w:before="26" w:line="330" w:lineRule="exact"/>
        <w:ind w:left="1089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position w:val="2"/>
          <w:sz w:val="24"/>
          <w:szCs w:val="24"/>
        </w:rPr>
        <w:t>s</w:t>
      </w:r>
      <w:r>
        <w:rPr>
          <w:rFonts w:ascii="Cambria Math" w:eastAsia="Cambria Math" w:hAnsi="Cambria Math" w:cs="Cambria Math"/>
          <w:position w:val="-2"/>
          <w:sz w:val="17"/>
          <w:szCs w:val="17"/>
        </w:rPr>
        <w:t>r</w:t>
      </w:r>
      <w:r>
        <w:rPr>
          <w:rFonts w:ascii="Cambria Math" w:eastAsia="Cambria Math" w:hAnsi="Cambria Math" w:cs="Cambria Math"/>
          <w:spacing w:val="1"/>
          <w:position w:val="-2"/>
          <w:sz w:val="17"/>
          <w:szCs w:val="17"/>
        </w:rPr>
        <w:t xml:space="preserve">   </w:t>
      </w:r>
      <w:r>
        <w:rPr>
          <w:rFonts w:ascii="Times New Roman" w:eastAsia="Times New Roman" w:hAnsi="Times New Roman" w:cs="Times New Roman"/>
          <w:spacing w:val="1"/>
          <w:position w:val="2"/>
          <w:sz w:val="24"/>
          <w:szCs w:val="24"/>
        </w:rPr>
        <w:t>——</w:t>
      </w:r>
      <w:r>
        <w:rPr>
          <w:rFonts w:ascii="SimSun" w:eastAsia="SimSun" w:hAnsi="SimSun" w:cs="SimSun"/>
          <w:spacing w:val="1"/>
          <w:position w:val="2"/>
          <w:sz w:val="24"/>
          <w:szCs w:val="24"/>
        </w:rPr>
        <w:t>以相对标准偏差表示的重复性，</w:t>
      </w:r>
      <w:r>
        <w:rPr>
          <w:rFonts w:ascii="Times New Roman" w:eastAsia="Times New Roman" w:hAnsi="Times New Roman" w:cs="Times New Roman"/>
          <w:spacing w:val="1"/>
          <w:position w:val="2"/>
          <w:sz w:val="24"/>
          <w:szCs w:val="24"/>
        </w:rPr>
        <w:t>%</w:t>
      </w:r>
      <w:r>
        <w:rPr>
          <w:rFonts w:ascii="SimSun" w:eastAsia="SimSun" w:hAnsi="SimSun" w:cs="SimSun"/>
          <w:spacing w:val="1"/>
          <w:position w:val="2"/>
          <w:sz w:val="24"/>
          <w:szCs w:val="24"/>
        </w:rPr>
        <w:t>。</w:t>
      </w:r>
    </w:p>
    <w:p>
      <w:pPr>
        <w:spacing w:before="293" w:line="220" w:lineRule="auto"/>
        <w:ind w:left="39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7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2"/>
          <w:sz w:val="24"/>
          <w:szCs w:val="24"/>
        </w:rPr>
        <w:t>校准结果表达</w:t>
      </w:r>
    </w:p>
    <w:p>
      <w:pPr>
        <w:pStyle w:val="BodyText"/>
        <w:spacing w:line="258" w:lineRule="auto"/>
      </w:pPr>
    </w:p>
    <w:p>
      <w:pPr>
        <w:spacing w:before="79" w:line="219" w:lineRule="auto"/>
        <w:ind w:left="5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校准结果应在校准证书上反映。校准证书应至</w:t>
      </w:r>
      <w:r>
        <w:rPr>
          <w:rFonts w:ascii="SimSun" w:eastAsia="SimSun" w:hAnsi="SimSun" w:cs="SimSun"/>
          <w:spacing w:val="-5"/>
          <w:sz w:val="24"/>
          <w:szCs w:val="24"/>
        </w:rPr>
        <w:t>少包括以下信息：</w:t>
      </w:r>
    </w:p>
    <w:p>
      <w:pPr>
        <w:spacing w:before="184" w:line="213" w:lineRule="auto"/>
        <w:ind w:left="53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17"/>
          <w:sz w:val="24"/>
          <w:szCs w:val="24"/>
        </w:rPr>
        <w:t>标题：“校准证书</w:t>
      </w:r>
      <w:r>
        <w:rPr>
          <w:rFonts w:ascii="SimSun" w:eastAsia="SimSun" w:hAnsi="SimSun" w:cs="SimSun"/>
          <w:spacing w:val="-9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7"/>
          <w:sz w:val="24"/>
          <w:szCs w:val="24"/>
        </w:rPr>
        <w:t>”；</w:t>
      </w:r>
    </w:p>
    <w:p>
      <w:pPr>
        <w:spacing w:before="191" w:line="213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b)    </w:t>
      </w:r>
      <w:r>
        <w:rPr>
          <w:rFonts w:ascii="SimSun" w:eastAsia="SimSun" w:hAnsi="SimSun" w:cs="SimSun"/>
          <w:spacing w:val="-4"/>
          <w:sz w:val="24"/>
          <w:szCs w:val="24"/>
        </w:rPr>
        <w:t>实验室名称和地址；</w:t>
      </w:r>
    </w:p>
    <w:p>
      <w:pPr>
        <w:spacing w:before="191" w:line="213" w:lineRule="auto"/>
        <w:ind w:left="53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c)    </w:t>
      </w:r>
      <w:r>
        <w:rPr>
          <w:rFonts w:ascii="SimSun" w:eastAsia="SimSun" w:hAnsi="SimSun" w:cs="SimSun"/>
          <w:spacing w:val="-4"/>
          <w:sz w:val="24"/>
          <w:szCs w:val="24"/>
        </w:rPr>
        <w:t>进行校准的地点（如果与实验室的地址不同</w:t>
      </w:r>
      <w:r>
        <w:rPr>
          <w:rFonts w:ascii="SimSun" w:eastAsia="SimSun" w:hAnsi="SimSun" w:cs="SimSun"/>
          <w:spacing w:val="-63"/>
          <w:w w:val="99"/>
          <w:sz w:val="24"/>
          <w:szCs w:val="24"/>
        </w:rPr>
        <w:t>）；</w:t>
      </w:r>
    </w:p>
    <w:p>
      <w:pPr>
        <w:spacing w:before="191" w:line="213" w:lineRule="auto"/>
        <w:ind w:left="53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d)</w:t>
      </w:r>
      <w:r>
        <w:rPr>
          <w:rFonts w:ascii="Times New Roman" w:eastAsia="Times New Roman" w:hAnsi="Times New Roman" w:cs="Times New Roman"/>
          <w:spacing w:val="17"/>
          <w:w w:val="10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5"/>
          <w:sz w:val="24"/>
          <w:szCs w:val="24"/>
        </w:rPr>
        <w:t>证书或报告的唯一性标识（如编号</w:t>
      </w:r>
      <w:r>
        <w:rPr>
          <w:rFonts w:ascii="SimSun" w:eastAsia="SimSun" w:hAnsi="SimSun" w:cs="SimSun"/>
          <w:spacing w:val="-54"/>
          <w:sz w:val="24"/>
          <w:szCs w:val="24"/>
        </w:rPr>
        <w:t>），</w:t>
      </w:r>
      <w:r>
        <w:rPr>
          <w:rFonts w:ascii="SimSun" w:eastAsia="SimSun" w:hAnsi="SimSun" w:cs="SimSun"/>
          <w:spacing w:val="-5"/>
          <w:sz w:val="24"/>
          <w:szCs w:val="24"/>
        </w:rPr>
        <w:t>每页及总页数的标识；</w:t>
      </w:r>
    </w:p>
    <w:p>
      <w:pPr>
        <w:spacing w:before="191" w:line="213" w:lineRule="auto"/>
        <w:ind w:left="53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e)    </w:t>
      </w:r>
      <w:r>
        <w:rPr>
          <w:rFonts w:ascii="SimSun" w:eastAsia="SimSun" w:hAnsi="SimSun" w:cs="SimSun"/>
          <w:spacing w:val="-3"/>
          <w:sz w:val="24"/>
          <w:szCs w:val="24"/>
        </w:rPr>
        <w:t>客户的名称和地址；</w:t>
      </w:r>
    </w:p>
    <w:p>
      <w:pPr>
        <w:spacing w:before="191" w:line="213" w:lineRule="auto"/>
        <w:ind w:left="53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f)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5"/>
          <w:sz w:val="24"/>
          <w:szCs w:val="24"/>
        </w:rPr>
        <w:t>被校对象的描述和明确标识；</w:t>
      </w:r>
    </w:p>
    <w:p>
      <w:pPr>
        <w:spacing w:before="193" w:line="290" w:lineRule="auto"/>
        <w:ind w:left="954" w:right="27" w:hanging="42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g)</w:t>
      </w:r>
      <w:r>
        <w:rPr>
          <w:rFonts w:ascii="Times New Roman" w:eastAsia="Times New Roman" w:hAnsi="Times New Roman" w:cs="Times New Roman"/>
          <w:spacing w:val="16"/>
          <w:w w:val="10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4"/>
          <w:sz w:val="24"/>
          <w:szCs w:val="24"/>
        </w:rPr>
        <w:t>进行校准的日期，如果与校准结果的有效性和应</w:t>
      </w:r>
      <w:r>
        <w:rPr>
          <w:rFonts w:ascii="SimSun" w:eastAsia="SimSun" w:hAnsi="SimSun" w:cs="SimSun"/>
          <w:spacing w:val="-5"/>
          <w:sz w:val="24"/>
          <w:szCs w:val="24"/>
        </w:rPr>
        <w:t>用有关时，应说明被校对象的接收日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期；</w:t>
      </w:r>
    </w:p>
    <w:p>
      <w:pPr>
        <w:spacing w:before="181" w:line="213" w:lineRule="auto"/>
        <w:ind w:left="52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h)</w:t>
      </w:r>
      <w:r>
        <w:rPr>
          <w:rFonts w:ascii="Times New Roman" w:eastAsia="Times New Roman" w:hAnsi="Times New Roman" w:cs="Times New Roman"/>
          <w:spacing w:val="18"/>
          <w:w w:val="10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4"/>
          <w:sz w:val="24"/>
          <w:szCs w:val="24"/>
        </w:rPr>
        <w:t>如果与校准结果的有效性和应用有关时，应对被校样品的抽样</w:t>
      </w:r>
      <w:r>
        <w:rPr>
          <w:rFonts w:ascii="SimSun" w:eastAsia="SimSun" w:hAnsi="SimSun" w:cs="SimSun"/>
          <w:spacing w:val="-5"/>
          <w:sz w:val="24"/>
          <w:szCs w:val="24"/>
        </w:rPr>
        <w:t>程序进行说明；</w:t>
      </w:r>
    </w:p>
    <w:p>
      <w:pPr>
        <w:spacing w:before="191" w:line="213" w:lineRule="auto"/>
        <w:ind w:left="53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i)    </w:t>
      </w:r>
      <w:r>
        <w:rPr>
          <w:rFonts w:ascii="SimSun" w:eastAsia="SimSun" w:hAnsi="SimSun" w:cs="SimSun"/>
          <w:spacing w:val="-2"/>
          <w:sz w:val="24"/>
          <w:szCs w:val="24"/>
        </w:rPr>
        <w:t>校准所依据的技术规范的标识，包括名称及代号；</w:t>
      </w:r>
    </w:p>
    <w:p>
      <w:pPr>
        <w:spacing w:before="192" w:line="212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j)</w:t>
      </w:r>
      <w:r>
        <w:rPr>
          <w:rFonts w:ascii="Times New Roman" w:eastAsia="Times New Roman" w:hAnsi="Times New Roman" w:cs="Times New Roman"/>
          <w:spacing w:val="15"/>
          <w:w w:val="101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4"/>
          <w:sz w:val="24"/>
          <w:szCs w:val="24"/>
        </w:rPr>
        <w:t>本次校准所用测量标准的溯源性及有效性说明；</w:t>
      </w:r>
    </w:p>
    <w:p>
      <w:pPr>
        <w:spacing w:before="191" w:line="213" w:lineRule="auto"/>
        <w:ind w:left="52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k)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5"/>
          <w:sz w:val="24"/>
          <w:szCs w:val="24"/>
        </w:rPr>
        <w:t>校准环境的描述；</w:t>
      </w:r>
    </w:p>
    <w:p>
      <w:pPr>
        <w:spacing w:before="191" w:line="213" w:lineRule="auto"/>
        <w:ind w:left="53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l)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5"/>
          <w:sz w:val="24"/>
          <w:szCs w:val="24"/>
        </w:rPr>
        <w:t>校准结果及其测量不确定度的说明；</w:t>
      </w:r>
    </w:p>
    <w:p>
      <w:pPr>
        <w:spacing w:before="192" w:line="213" w:lineRule="auto"/>
        <w:ind w:left="525"/>
        <w:rPr>
          <w:rFonts w:ascii="SimSun" w:eastAsia="SimSun" w:hAnsi="SimSun" w:cs="SimSun"/>
          <w:sz w:val="24"/>
          <w:szCs w:val="24"/>
        </w:rPr>
        <w:sectPr>
          <w:headerReference w:type="default" r:id="rId37"/>
          <w:footerReference w:type="default" r:id="rId38"/>
          <w:pgSz w:w="11907" w:h="16839"/>
          <w:pgMar w:top="1627" w:right="1104" w:bottom="1151" w:left="1104" w:header="1313" w:footer="990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m)</w:t>
      </w:r>
      <w:r>
        <w:rPr>
          <w:rFonts w:ascii="Times New Roman" w:eastAsia="Times New Roman" w:hAnsi="Times New Roman" w:cs="Times New Roman"/>
          <w:spacing w:val="21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对校准规范偏离的说明；</w:t>
      </w:r>
    </w:p>
    <w:p>
      <w:pPr>
        <w:spacing w:before="191" w:line="213" w:lineRule="auto"/>
        <w:ind w:left="52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n)</w:t>
      </w:r>
      <w:r>
        <w:rPr>
          <w:rFonts w:ascii="Times New Roman" w:eastAsia="Times New Roman" w:hAnsi="Times New Roman" w:cs="Times New Roman"/>
          <w:spacing w:val="17"/>
          <w:w w:val="10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4"/>
          <w:sz w:val="24"/>
          <w:szCs w:val="24"/>
        </w:rPr>
        <w:t>校准证书签发人的签名、职务或等效标识以及签</w:t>
      </w:r>
      <w:r>
        <w:rPr>
          <w:rFonts w:ascii="SimSun" w:eastAsia="SimSun" w:hAnsi="SimSun" w:cs="SimSun"/>
          <w:spacing w:val="-5"/>
          <w:sz w:val="24"/>
          <w:szCs w:val="24"/>
        </w:rPr>
        <w:t>发日期；</w:t>
      </w:r>
    </w:p>
    <w:p>
      <w:pPr>
        <w:spacing w:before="191" w:line="213" w:lineRule="auto"/>
        <w:ind w:left="53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o)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5"/>
          <w:sz w:val="24"/>
          <w:szCs w:val="24"/>
        </w:rPr>
        <w:t>校准结果仅对被校对象有效的声明；</w:t>
      </w:r>
    </w:p>
    <w:p>
      <w:pPr>
        <w:spacing w:line="213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9"/>
          <w:footerReference w:type="default" r:id="rId40"/>
          <w:type w:val="nextPage"/>
          <w:pgSz w:w="11907" w:h="16839"/>
          <w:pgMar w:top="1627" w:right="1104" w:bottom="1151" w:left="1104" w:header="1313" w:footer="990" w:gutter="0"/>
          <w:pgNumType w:start="16"/>
          <w:cols w:space="708"/>
          <w:titlePg w:val="0"/>
        </w:sectPr>
      </w:pPr>
    </w:p>
    <w:p>
      <w:pPr>
        <w:spacing w:before="98" w:line="213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p)</w:t>
      </w:r>
      <w:r>
        <w:rPr>
          <w:rFonts w:ascii="Times New Roman" w:eastAsia="Times New Roman" w:hAnsi="Times New Roman" w:cs="Times New Roman"/>
          <w:spacing w:val="18"/>
          <w:w w:val="10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4"/>
          <w:sz w:val="24"/>
          <w:szCs w:val="24"/>
        </w:rPr>
        <w:t>未经实验室书面批准，不得部分复制证书或报</w:t>
      </w:r>
      <w:r>
        <w:rPr>
          <w:rFonts w:ascii="SimSun" w:eastAsia="SimSun" w:hAnsi="SimSun" w:cs="SimSun"/>
          <w:spacing w:val="-5"/>
          <w:sz w:val="24"/>
          <w:szCs w:val="24"/>
        </w:rPr>
        <w:t>告的声明。</w:t>
      </w:r>
    </w:p>
    <w:p>
      <w:pPr>
        <w:spacing w:before="191" w:line="219" w:lineRule="auto"/>
        <w:ind w:left="35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8</w:t>
      </w:r>
      <w:r>
        <w:rPr>
          <w:rFonts w:ascii="SimHei" w:eastAsia="SimHei" w:hAnsi="SimHei" w:cs="SimHei"/>
          <w:spacing w:val="-4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复校时间间隔</w:t>
      </w:r>
    </w:p>
    <w:p>
      <w:pPr>
        <w:spacing w:before="184" w:line="351" w:lineRule="auto"/>
        <w:ind w:left="38" w:right="34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建议复校时间间隔一般不超过一年。复校时间间隔的</w:t>
      </w:r>
      <w:r>
        <w:rPr>
          <w:rFonts w:ascii="SimSun" w:eastAsia="SimSun" w:hAnsi="SimSun" w:cs="SimSun"/>
          <w:spacing w:val="-7"/>
          <w:sz w:val="24"/>
          <w:szCs w:val="24"/>
        </w:rPr>
        <w:t>长短是由仪器的使用情况、使用者、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仪器本身质量等因素决定，送校单位也可根据实际使用</w:t>
      </w:r>
      <w:r>
        <w:rPr>
          <w:rFonts w:ascii="SimSun" w:eastAsia="SimSun" w:hAnsi="SimSun" w:cs="SimSun"/>
          <w:sz w:val="24"/>
          <w:szCs w:val="24"/>
        </w:rPr>
        <w:t xml:space="preserve">情况自主决定复校时间间隔。如果仪 </w:t>
      </w:r>
      <w:r>
        <w:rPr>
          <w:rFonts w:ascii="SimSun" w:eastAsia="SimSun" w:hAnsi="SimSun" w:cs="SimSun"/>
          <w:spacing w:val="-2"/>
          <w:sz w:val="24"/>
          <w:szCs w:val="24"/>
        </w:rPr>
        <w:t>器经维修、更换重要部件或对仪器性能有怀疑时，应重新校准。</w:t>
      </w:r>
    </w:p>
    <w:p>
      <w:pPr>
        <w:spacing w:line="351" w:lineRule="auto"/>
        <w:rPr>
          <w:rFonts w:ascii="SimSun" w:eastAsia="SimSun" w:hAnsi="SimSun" w:cs="SimSun"/>
          <w:sz w:val="24"/>
          <w:szCs w:val="24"/>
        </w:rPr>
        <w:sectPr>
          <w:headerReference w:type="default" r:id="rId41"/>
          <w:footerReference w:type="default" r:id="rId42"/>
          <w:pgSz w:w="11907" w:h="16839"/>
          <w:pgMar w:top="1627" w:right="1104" w:bottom="1148" w:left="1104" w:header="1313" w:footer="990" w:gutter="0"/>
          <w:pgNumType w:start="17"/>
          <w:cols w:space="708"/>
        </w:sectPr>
      </w:pPr>
    </w:p>
    <w:p>
      <w:pPr>
        <w:spacing w:before="155" w:line="219" w:lineRule="auto"/>
        <w:ind w:left="55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9"/>
          <w:sz w:val="28"/>
          <w:szCs w:val="28"/>
        </w:rPr>
        <w:t>附录</w:t>
      </w:r>
      <w:r>
        <w:rPr>
          <w:rFonts w:ascii="SimHei" w:eastAsia="SimHei" w:hAnsi="SimHei" w:cs="SimHei"/>
          <w:spacing w:val="-6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9"/>
          <w:sz w:val="28"/>
          <w:szCs w:val="28"/>
        </w:rPr>
        <w:t>A</w:t>
      </w:r>
    </w:p>
    <w:p>
      <w:pPr>
        <w:spacing w:before="290" w:line="219" w:lineRule="auto"/>
        <w:ind w:left="3182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试剂和标准溶液的配制方法</w:t>
      </w:r>
    </w:p>
    <w:p>
      <w:pPr>
        <w:spacing w:before="236" w:line="219" w:lineRule="auto"/>
        <w:ind w:left="3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A.1</w:t>
      </w:r>
      <w:r>
        <w:rPr>
          <w:rFonts w:ascii="SimHei" w:eastAsia="SimHei" w:hAnsi="SimHei" w:cs="SimHei"/>
          <w:spacing w:val="-5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配制用水</w:t>
      </w:r>
    </w:p>
    <w:p>
      <w:pPr>
        <w:spacing w:before="182" w:line="220" w:lineRule="auto"/>
        <w:ind w:left="5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符合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GB/T 6682 </w:t>
      </w:r>
      <w:r>
        <w:rPr>
          <w:rFonts w:ascii="SimSun" w:eastAsia="SimSun" w:hAnsi="SimSun" w:cs="SimSun"/>
          <w:spacing w:val="-3"/>
          <w:sz w:val="24"/>
          <w:szCs w:val="24"/>
        </w:rPr>
        <w:t>一级水要求。</w:t>
      </w:r>
    </w:p>
    <w:p>
      <w:pPr>
        <w:spacing w:before="183" w:line="218" w:lineRule="auto"/>
        <w:ind w:left="3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A.2</w:t>
      </w:r>
      <w:r>
        <w:rPr>
          <w:rFonts w:ascii="SimHei" w:eastAsia="SimHei" w:hAnsi="SimHei" w:cs="SimHei"/>
          <w:spacing w:val="-50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2"/>
          <w:sz w:val="24"/>
          <w:szCs w:val="24"/>
        </w:rPr>
        <w:t>缓冲溶液的配制</w:t>
      </w:r>
    </w:p>
    <w:p>
      <w:pPr>
        <w:spacing w:before="183" w:line="336" w:lineRule="auto"/>
        <w:ind w:left="39" w:right="29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 xml:space="preserve">配制方法参考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977—2018</w:t>
      </w:r>
      <w:r>
        <w:rPr>
          <w:rFonts w:ascii="SimSun" w:eastAsia="SimSun" w:hAnsi="SimSun" w:cs="SimSun"/>
          <w:spacing w:val="-1"/>
          <w:sz w:val="24"/>
          <w:szCs w:val="24"/>
        </w:rPr>
        <w:t>《水质</w:t>
      </w:r>
      <w:r>
        <w:rPr>
          <w:rFonts w:ascii="SimSun" w:eastAsia="SimSun" w:hAnsi="SimSun" w:cs="SimSun"/>
          <w:spacing w:val="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烷基汞的测定 吹扫捕集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/</w:t>
      </w:r>
      <w:r>
        <w:rPr>
          <w:rFonts w:ascii="SimSun" w:eastAsia="SimSun" w:hAnsi="SimSun" w:cs="SimSun"/>
          <w:spacing w:val="-1"/>
          <w:sz w:val="24"/>
          <w:szCs w:val="24"/>
        </w:rPr>
        <w:t>气相色谱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SimSun" w:eastAsia="SimSun" w:hAnsi="SimSun" w:cs="SimSun"/>
          <w:spacing w:val="-1"/>
          <w:sz w:val="24"/>
          <w:szCs w:val="24"/>
        </w:rPr>
        <w:t>冷原子荧光光谱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法》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5.12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的要求进行操作，溶液现配现用。</w:t>
      </w:r>
    </w:p>
    <w:p>
      <w:pPr>
        <w:spacing w:before="64" w:line="218" w:lineRule="auto"/>
        <w:ind w:left="3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A.3</w:t>
      </w:r>
      <w:r>
        <w:rPr>
          <w:rFonts w:ascii="SimHei" w:eastAsia="SimHei" w:hAnsi="SimHei" w:cs="SimHei"/>
          <w:spacing w:val="-40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2"/>
          <w:sz w:val="24"/>
          <w:szCs w:val="24"/>
        </w:rPr>
        <w:t>衍生化试剂的配制</w:t>
      </w:r>
    </w:p>
    <w:p>
      <w:pPr>
        <w:spacing w:before="185" w:line="335" w:lineRule="auto"/>
        <w:ind w:left="39" w:right="29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 xml:space="preserve">配制方法参考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977—2018</w:t>
      </w:r>
      <w:r>
        <w:rPr>
          <w:rFonts w:ascii="SimSun" w:eastAsia="SimSun" w:hAnsi="SimSun" w:cs="SimSun"/>
          <w:spacing w:val="-1"/>
          <w:sz w:val="24"/>
          <w:szCs w:val="24"/>
        </w:rPr>
        <w:t>《水质</w:t>
      </w:r>
      <w:r>
        <w:rPr>
          <w:rFonts w:ascii="SimSun" w:eastAsia="SimSun" w:hAnsi="SimSun" w:cs="SimSun"/>
          <w:spacing w:val="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烷基汞的测定 吹扫捕集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/</w:t>
      </w:r>
      <w:r>
        <w:rPr>
          <w:rFonts w:ascii="SimSun" w:eastAsia="SimSun" w:hAnsi="SimSun" w:cs="SimSun"/>
          <w:spacing w:val="-1"/>
          <w:sz w:val="24"/>
          <w:szCs w:val="24"/>
        </w:rPr>
        <w:t>气相色谱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SimSun" w:eastAsia="SimSun" w:hAnsi="SimSun" w:cs="SimSun"/>
          <w:spacing w:val="-1"/>
          <w:sz w:val="24"/>
          <w:szCs w:val="24"/>
        </w:rPr>
        <w:t>冷原子荧光光谱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法》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5.11</w:t>
      </w:r>
      <w:r>
        <w:rPr>
          <w:rFonts w:ascii="Times New Roman" w:eastAsia="Times New Roman" w:hAnsi="Times New Roman" w:cs="Times New Roman"/>
          <w:spacing w:val="3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的要求进行操作，溶液现配现用。</w:t>
      </w:r>
    </w:p>
    <w:p>
      <w:pPr>
        <w:spacing w:before="65" w:line="218" w:lineRule="auto"/>
        <w:ind w:left="3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A.4</w:t>
      </w:r>
      <w:r>
        <w:rPr>
          <w:rFonts w:ascii="SimHei" w:eastAsia="SimHei" w:hAnsi="SimHei" w:cs="SimHei"/>
          <w:spacing w:val="-53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24"/>
          <w:szCs w:val="24"/>
        </w:rPr>
        <w:t>标准溶液的配制</w:t>
      </w:r>
    </w:p>
    <w:p>
      <w:pPr>
        <w:spacing w:before="184" w:line="353" w:lineRule="auto"/>
        <w:ind w:left="44" w:right="38" w:firstLine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使用国家有证标准物质逐级稀释得到校准用系列标准溶液，储备液配制的计算见公式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A.1</w:t>
      </w:r>
      <w:r>
        <w:rPr>
          <w:rFonts w:ascii="SimSun" w:eastAsia="SimSun" w:hAnsi="SimSun" w:cs="SimSun"/>
          <w:spacing w:val="-44"/>
          <w:sz w:val="24"/>
          <w:szCs w:val="24"/>
        </w:rPr>
        <w:t>）：</w:t>
      </w:r>
    </w:p>
    <w:p>
      <w:pPr>
        <w:spacing w:before="6"/>
        <w:ind w:right="27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7"/>
          <w:sz w:val="21"/>
          <w:szCs w:val="21"/>
        </w:rPr>
        <w:drawing>
          <wp:inline distT="0" distB="0" distL="0" distR="0">
            <wp:extent cx="611733" cy="27251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11733" cy="272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                                   （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A.1</w:t>
      </w:r>
      <w:r>
        <w:rPr>
          <w:rFonts w:ascii="SimSun" w:eastAsia="SimSun" w:hAnsi="SimSun" w:cs="SimSun"/>
          <w:position w:val="-1"/>
          <w:sz w:val="21"/>
          <w:szCs w:val="21"/>
        </w:rPr>
        <w:t>）</w:t>
      </w:r>
    </w:p>
    <w:p>
      <w:pPr>
        <w:spacing w:before="208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82" w:line="212" w:lineRule="auto"/>
        <w:ind w:left="1036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1"/>
          <w:sz w:val="24"/>
          <w:szCs w:val="24"/>
        </w:rPr>
        <w:t>C</w:t>
      </w:r>
      <w:r>
        <w:rPr>
          <w:rFonts w:ascii="Cambria Math" w:eastAsia="Cambria Math" w:hAnsi="Cambria Math" w:cs="Cambria Math"/>
          <w:spacing w:val="-1"/>
          <w:position w:val="-4"/>
          <w:sz w:val="17"/>
          <w:szCs w:val="17"/>
        </w:rPr>
        <w:t xml:space="preserve">1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——</w:t>
      </w:r>
      <w:r>
        <w:rPr>
          <w:rFonts w:ascii="SimSun" w:eastAsia="SimSun" w:hAnsi="SimSun" w:cs="SimSun"/>
          <w:spacing w:val="-1"/>
          <w:sz w:val="24"/>
          <w:szCs w:val="24"/>
        </w:rPr>
        <w:t>储备液浓度，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μg/mL</w:t>
      </w:r>
      <w:r>
        <w:rPr>
          <w:rFonts w:ascii="SimSun" w:eastAsia="SimSun" w:hAnsi="SimSun" w:cs="SimSun"/>
          <w:spacing w:val="-1"/>
          <w:sz w:val="24"/>
          <w:szCs w:val="24"/>
        </w:rPr>
        <w:t>；</w:t>
      </w:r>
    </w:p>
    <w:p>
      <w:pPr>
        <w:spacing w:before="185" w:line="338" w:lineRule="auto"/>
        <w:ind w:left="1023" w:right="4549" w:firstLine="12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z w:val="24"/>
          <w:szCs w:val="24"/>
        </w:rPr>
        <w:t>C</w:t>
      </w:r>
      <w:r>
        <w:rPr>
          <w:rFonts w:ascii="Cambria Math" w:eastAsia="Cambria Math" w:hAnsi="Cambria Math" w:cs="Cambria Math"/>
          <w:position w:val="-4"/>
          <w:sz w:val="17"/>
          <w:szCs w:val="17"/>
        </w:rPr>
        <w:t xml:space="preserve">0    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有证标准物质的浓度，</w:t>
      </w:r>
      <w:r>
        <w:rPr>
          <w:rFonts w:ascii="Times New Roman" w:eastAsia="Times New Roman" w:hAnsi="Times New Roman" w:cs="Times New Roman"/>
          <w:sz w:val="24"/>
          <w:szCs w:val="24"/>
        </w:rPr>
        <w:t>μg/g</w:t>
      </w:r>
      <w:r>
        <w:rPr>
          <w:rFonts w:ascii="SimSun" w:eastAsia="SimSun" w:hAnsi="SimSun" w:cs="SimSun"/>
          <w:sz w:val="24"/>
          <w:szCs w:val="24"/>
        </w:rPr>
        <w:t>；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 </w:t>
      </w:r>
      <w:r>
        <w:rPr>
          <w:rFonts w:ascii="Cambria Math" w:eastAsia="Cambria Math" w:hAnsi="Cambria Math" w:cs="Cambria Math"/>
          <w:spacing w:val="-2"/>
          <w:sz w:val="24"/>
          <w:szCs w:val="24"/>
        </w:rPr>
        <w:t>m</w:t>
      </w:r>
      <w:r>
        <w:rPr>
          <w:rFonts w:ascii="Cambria Math" w:eastAsia="Cambria Math" w:hAnsi="Cambria Math" w:cs="Cambria Math"/>
          <w:spacing w:val="-2"/>
          <w:position w:val="-4"/>
          <w:sz w:val="17"/>
          <w:szCs w:val="17"/>
        </w:rPr>
        <w:t xml:space="preserve">0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——</w:t>
      </w:r>
      <w:r>
        <w:rPr>
          <w:rFonts w:ascii="SimSun" w:eastAsia="SimSun" w:hAnsi="SimSun" w:cs="SimSun"/>
          <w:spacing w:val="-2"/>
          <w:sz w:val="24"/>
          <w:szCs w:val="24"/>
        </w:rPr>
        <w:t>移取有证标准物质的质量，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SimSun" w:eastAsia="SimSun" w:hAnsi="SimSun" w:cs="SimSun"/>
          <w:spacing w:val="-2"/>
          <w:sz w:val="24"/>
          <w:szCs w:val="24"/>
        </w:rPr>
        <w:t>；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V</w:t>
      </w:r>
      <w:r>
        <w:rPr>
          <w:rFonts w:ascii="Cambria Math" w:eastAsia="Cambria Math" w:hAnsi="Cambria Math" w:cs="Cambria Math"/>
          <w:position w:val="-4"/>
          <w:sz w:val="17"/>
          <w:szCs w:val="17"/>
        </w:rPr>
        <w:t>0</w:t>
      </w:r>
      <w:r>
        <w:rPr>
          <w:rFonts w:ascii="Cambria Math" w:eastAsia="Cambria Math" w:hAnsi="Cambria Math" w:cs="Cambria Math"/>
          <w:spacing w:val="20"/>
          <w:w w:val="101"/>
          <w:position w:val="-4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稀释定容体积，</w:t>
      </w:r>
      <w:r>
        <w:rPr>
          <w:rFonts w:ascii="Times New Roman" w:eastAsia="Times New Roman" w:hAnsi="Times New Roman" w:cs="Times New Roman"/>
          <w:sz w:val="24"/>
          <w:szCs w:val="24"/>
        </w:rPr>
        <w:t>mL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60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使用储备液逐级稀释得到校准用系列标准溶液，标准溶液稀释</w:t>
      </w:r>
      <w:r>
        <w:rPr>
          <w:rFonts w:ascii="SimSun" w:eastAsia="SimSun" w:hAnsi="SimSun" w:cs="SimSun"/>
          <w:spacing w:val="-1"/>
          <w:sz w:val="24"/>
          <w:szCs w:val="24"/>
        </w:rPr>
        <w:t>的计算见公式（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A.2</w:t>
      </w:r>
      <w:r>
        <w:rPr>
          <w:rFonts w:ascii="SimSun" w:eastAsia="SimSun" w:hAnsi="SimSun" w:cs="SimSun"/>
          <w:spacing w:val="-44"/>
          <w:sz w:val="24"/>
          <w:szCs w:val="24"/>
        </w:rPr>
        <w:t>）：</w:t>
      </w:r>
    </w:p>
    <w:p>
      <w:pPr>
        <w:spacing w:before="192"/>
        <w:ind w:right="27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3"/>
          <w:sz w:val="21"/>
          <w:szCs w:val="21"/>
        </w:rPr>
        <w:drawing>
          <wp:inline distT="0" distB="0" distL="0" distR="0">
            <wp:extent cx="700125" cy="25810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00125" cy="25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1"/>
          <w:sz w:val="21"/>
          <w:szCs w:val="21"/>
        </w:rPr>
        <w:t xml:space="preserve">                                    （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A.2</w:t>
      </w:r>
      <w:r>
        <w:rPr>
          <w:rFonts w:ascii="SimSun" w:eastAsia="SimSun" w:hAnsi="SimSun" w:cs="SimSun"/>
          <w:position w:val="1"/>
          <w:sz w:val="21"/>
          <w:szCs w:val="21"/>
        </w:rPr>
        <w:t>）</w:t>
      </w:r>
    </w:p>
    <w:p>
      <w:pPr>
        <w:spacing w:before="210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83" w:line="338" w:lineRule="auto"/>
        <w:ind w:left="1084" w:right="5519" w:hanging="48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z w:val="24"/>
          <w:szCs w:val="24"/>
        </w:rPr>
        <w:t>C</w:t>
      </w:r>
      <w:r>
        <w:rPr>
          <w:rFonts w:ascii="Cambria Math" w:eastAsia="Cambria Math" w:hAnsi="Cambria Math" w:cs="Cambria Math"/>
          <w:position w:val="-4"/>
          <w:sz w:val="17"/>
          <w:szCs w:val="17"/>
        </w:rPr>
        <w:t xml:space="preserve">2   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稀溶液溶度，</w:t>
      </w:r>
      <w:r>
        <w:rPr>
          <w:rFonts w:ascii="Times New Roman" w:eastAsia="Times New Roman" w:hAnsi="Times New Roman" w:cs="Times New Roman"/>
          <w:sz w:val="24"/>
          <w:szCs w:val="24"/>
        </w:rPr>
        <w:t>ng/mL</w:t>
      </w:r>
      <w:r>
        <w:rPr>
          <w:rFonts w:ascii="SimSun" w:eastAsia="SimSun" w:hAnsi="SimSun" w:cs="SimSun"/>
          <w:sz w:val="24"/>
          <w:szCs w:val="24"/>
        </w:rPr>
        <w:t xml:space="preserve">； </w:t>
      </w:r>
      <w:r>
        <w:rPr>
          <w:rFonts w:ascii="Cambria Math" w:eastAsia="Cambria Math" w:hAnsi="Cambria Math" w:cs="Cambria Math"/>
          <w:spacing w:val="-3"/>
          <w:sz w:val="24"/>
          <w:szCs w:val="24"/>
        </w:rPr>
        <w:t>C</w:t>
      </w:r>
      <w:r>
        <w:rPr>
          <w:rFonts w:ascii="Cambria Math" w:eastAsia="Cambria Math" w:hAnsi="Cambria Math" w:cs="Cambria Math"/>
          <w:spacing w:val="-3"/>
          <w:position w:val="-4"/>
          <w:sz w:val="17"/>
          <w:szCs w:val="17"/>
        </w:rPr>
        <w:t xml:space="preserve">1  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——</w:t>
      </w:r>
      <w:r>
        <w:rPr>
          <w:rFonts w:ascii="SimSun" w:eastAsia="SimSun" w:hAnsi="SimSun" w:cs="SimSun"/>
          <w:spacing w:val="-3"/>
          <w:sz w:val="24"/>
          <w:szCs w:val="24"/>
        </w:rPr>
        <w:t>浓溶液浓度，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μg/mL</w:t>
      </w:r>
      <w:r>
        <w:rPr>
          <w:rFonts w:ascii="SimSun" w:eastAsia="SimSun" w:hAnsi="SimSun" w:cs="SimSun"/>
          <w:spacing w:val="-3"/>
          <w:sz w:val="24"/>
          <w:szCs w:val="24"/>
        </w:rPr>
        <w:t>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"/>
          <w:sz w:val="24"/>
          <w:szCs w:val="24"/>
        </w:rPr>
        <w:t>V</w:t>
      </w:r>
      <w:r>
        <w:rPr>
          <w:rFonts w:ascii="Cambria Math" w:eastAsia="Cambria Math" w:hAnsi="Cambria Math" w:cs="Cambria Math"/>
          <w:spacing w:val="-1"/>
          <w:position w:val="-4"/>
          <w:sz w:val="17"/>
          <w:szCs w:val="17"/>
        </w:rPr>
        <w:t>1</w:t>
      </w:r>
      <w:r>
        <w:rPr>
          <w:rFonts w:ascii="Cambria Math" w:eastAsia="Cambria Math" w:hAnsi="Cambria Math" w:cs="Cambria Math"/>
          <w:spacing w:val="22"/>
          <w:w w:val="102"/>
          <w:position w:val="-4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——</w:t>
      </w:r>
      <w:r>
        <w:rPr>
          <w:rFonts w:ascii="SimSun" w:eastAsia="SimSun" w:hAnsi="SimSun" w:cs="SimSun"/>
          <w:spacing w:val="-1"/>
          <w:sz w:val="24"/>
          <w:szCs w:val="24"/>
        </w:rPr>
        <w:t>浓溶液体积，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mL</w:t>
      </w:r>
      <w:r>
        <w:rPr>
          <w:rFonts w:ascii="SimSun" w:eastAsia="SimSun" w:hAnsi="SimSun" w:cs="SimSun"/>
          <w:spacing w:val="-1"/>
          <w:sz w:val="24"/>
          <w:szCs w:val="24"/>
        </w:rPr>
        <w:t>；</w:t>
      </w:r>
    </w:p>
    <w:p>
      <w:pPr>
        <w:spacing w:before="60" w:line="215" w:lineRule="auto"/>
        <w:ind w:left="1084"/>
        <w:rPr>
          <w:rFonts w:ascii="SimSun" w:eastAsia="SimSun" w:hAnsi="SimSun" w:cs="SimSun"/>
          <w:sz w:val="24"/>
          <w:szCs w:val="24"/>
        </w:rPr>
        <w:sectPr>
          <w:headerReference w:type="default" r:id="rId45"/>
          <w:footerReference w:type="default" r:id="rId46"/>
          <w:pgSz w:w="11907" w:h="16839"/>
          <w:pgMar w:top="1627" w:right="1104" w:bottom="1151" w:left="1104" w:header="1313" w:footer="990" w:gutter="0"/>
          <w:pgNumType w:start="18"/>
          <w:cols w:space="708"/>
        </w:sectPr>
      </w:pPr>
      <w:r>
        <w:rPr>
          <w:rFonts w:ascii="Cambria Math" w:eastAsia="Cambria Math" w:hAnsi="Cambria Math" w:cs="Cambria Math"/>
          <w:spacing w:val="-1"/>
          <w:sz w:val="24"/>
          <w:szCs w:val="24"/>
        </w:rPr>
        <w:t>V</w:t>
      </w:r>
      <w:r>
        <w:rPr>
          <w:rFonts w:ascii="Cambria Math" w:eastAsia="Cambria Math" w:hAnsi="Cambria Math" w:cs="Cambria Math"/>
          <w:spacing w:val="-1"/>
          <w:position w:val="-4"/>
          <w:sz w:val="17"/>
          <w:szCs w:val="17"/>
        </w:rPr>
        <w:t>2</w:t>
      </w:r>
      <w:r>
        <w:rPr>
          <w:rFonts w:ascii="Cambria Math" w:eastAsia="Cambria Math" w:hAnsi="Cambria Math" w:cs="Cambria Math"/>
          <w:spacing w:val="23"/>
          <w:w w:val="101"/>
          <w:position w:val="-4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——</w:t>
      </w:r>
      <w:r>
        <w:rPr>
          <w:rFonts w:ascii="SimSun" w:eastAsia="SimSun" w:hAnsi="SimSun" w:cs="SimSun"/>
          <w:spacing w:val="-1"/>
          <w:sz w:val="24"/>
          <w:szCs w:val="24"/>
        </w:rPr>
        <w:t>稀释定容体积，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mL</w:t>
      </w:r>
      <w:r>
        <w:rPr>
          <w:rFonts w:ascii="SimSun" w:eastAsia="SimSun" w:hAnsi="SimSun" w:cs="SimSun"/>
          <w:spacing w:val="-1"/>
          <w:sz w:val="24"/>
          <w:szCs w:val="24"/>
        </w:rPr>
        <w:t>；</w:t>
      </w:r>
    </w:p>
    <w:p>
      <w:pPr>
        <w:spacing w:before="181" w:line="335" w:lineRule="auto"/>
        <w:ind w:left="519" w:right="4816" w:firstLine="521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2"/>
          <w:sz w:val="24"/>
          <w:szCs w:val="24"/>
        </w:rPr>
        <w:t xml:space="preserve">1000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——μg </w:t>
      </w:r>
      <w:r>
        <w:rPr>
          <w:rFonts w:ascii="SimSun" w:eastAsia="SimSun" w:hAnsi="SimSun" w:cs="SimSun"/>
          <w:spacing w:val="-2"/>
          <w:sz w:val="24"/>
          <w:szCs w:val="24"/>
        </w:rPr>
        <w:t>和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的单位换算系数。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标准溶液加入量的计算见公式（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A.3</w:t>
      </w:r>
      <w:r>
        <w:rPr>
          <w:rFonts w:ascii="SimSun" w:eastAsia="SimSun" w:hAnsi="SimSun" w:cs="SimSun"/>
          <w:spacing w:val="-41"/>
          <w:sz w:val="24"/>
          <w:szCs w:val="24"/>
        </w:rPr>
        <w:t>）：</w:t>
      </w:r>
    </w:p>
    <w:p>
      <w:pPr>
        <w:spacing w:line="335" w:lineRule="auto"/>
        <w:rPr>
          <w:rFonts w:ascii="SimSun" w:eastAsia="SimSun" w:hAnsi="SimSun" w:cs="SimSun"/>
          <w:sz w:val="24"/>
          <w:szCs w:val="24"/>
        </w:rPr>
        <w:sectPr>
          <w:headerReference w:type="default" r:id="rId47"/>
          <w:footerReference w:type="default" r:id="rId48"/>
          <w:type w:val="nextPage"/>
          <w:pgSz w:w="11907" w:h="16839"/>
          <w:pgMar w:top="1627" w:right="1104" w:bottom="1151" w:left="1104" w:header="1313" w:footer="990" w:gutter="0"/>
          <w:pgNumType w:start="19"/>
          <w:cols w:space="708"/>
          <w:titlePg w:val="0"/>
        </w:sectPr>
      </w:pPr>
    </w:p>
    <w:p>
      <w:pPr>
        <w:spacing w:before="74"/>
        <w:ind w:right="25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5"/>
          <w:sz w:val="21"/>
          <w:szCs w:val="21"/>
        </w:rPr>
        <w:drawing>
          <wp:inline distT="0" distB="0" distL="0" distR="0">
            <wp:extent cx="422757" cy="27242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22757" cy="27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                                     （</w:t>
      </w:r>
      <w:r>
        <w:rPr>
          <w:rFonts w:ascii="Times New Roman" w:eastAsia="Times New Roman" w:hAnsi="Times New Roman" w:cs="Times New Roman"/>
          <w:sz w:val="21"/>
          <w:szCs w:val="21"/>
        </w:rPr>
        <w:t>A.3</w:t>
      </w:r>
      <w:r>
        <w:rPr>
          <w:rFonts w:ascii="SimSun" w:eastAsia="SimSun" w:hAnsi="SimSun" w:cs="SimSun"/>
          <w:sz w:val="21"/>
          <w:szCs w:val="21"/>
        </w:rPr>
        <w:t>）</w:t>
      </w:r>
    </w:p>
    <w:p>
      <w:pPr>
        <w:spacing w:before="220" w:line="220" w:lineRule="auto"/>
        <w:ind w:left="5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式中：</w:t>
      </w:r>
    </w:p>
    <w:p>
      <w:pPr>
        <w:spacing w:before="182" w:line="312" w:lineRule="auto"/>
        <w:ind w:left="1023" w:right="5269" w:firstLine="7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5"/>
          <w:sz w:val="24"/>
          <w:szCs w:val="24"/>
        </w:rPr>
        <w:t>V</w:t>
      </w:r>
      <w:r>
        <w:rPr>
          <w:rFonts w:ascii="Cambria Math" w:eastAsia="Cambria Math" w:hAnsi="Cambria Math" w:cs="Cambria Math"/>
          <w:spacing w:val="-5"/>
          <w:position w:val="-4"/>
          <w:sz w:val="17"/>
          <w:szCs w:val="17"/>
        </w:rPr>
        <w:t xml:space="preserve">s  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——</w:t>
      </w:r>
      <w:r>
        <w:rPr>
          <w:rFonts w:ascii="SimSun" w:eastAsia="SimSun" w:hAnsi="SimSun" w:cs="SimSun"/>
          <w:spacing w:val="-5"/>
          <w:sz w:val="24"/>
          <w:szCs w:val="24"/>
        </w:rPr>
        <w:t>标准溶液添加体积，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μL</w:t>
      </w:r>
      <w:r>
        <w:rPr>
          <w:rFonts w:ascii="SimSun" w:eastAsia="SimSun" w:hAnsi="SimSun" w:cs="SimSun"/>
          <w:spacing w:val="-5"/>
          <w:sz w:val="24"/>
          <w:szCs w:val="24"/>
        </w:rPr>
        <w:t>；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x</w:t>
      </w:r>
      <w:r>
        <w:rPr>
          <w:rFonts w:ascii="Cambria Math" w:eastAsia="Cambria Math" w:hAnsi="Cambria Math" w:cs="Cambria Math"/>
          <w:position w:val="-4"/>
          <w:sz w:val="17"/>
          <w:szCs w:val="17"/>
        </w:rPr>
        <w:t>s</w:t>
      </w:r>
      <w:r>
        <w:rPr>
          <w:rFonts w:ascii="Cambria Math" w:eastAsia="Cambria Math" w:hAnsi="Cambria Math" w:cs="Cambria Math"/>
          <w:spacing w:val="1"/>
          <w:position w:val="-4"/>
          <w:sz w:val="17"/>
          <w:szCs w:val="17"/>
        </w:rPr>
        <w:t xml:space="preserve"> 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——</w:t>
      </w:r>
      <w:r>
        <w:rPr>
          <w:rFonts w:ascii="SimSun" w:eastAsia="SimSun" w:hAnsi="SimSun" w:cs="SimSun"/>
          <w:spacing w:val="1"/>
          <w:sz w:val="24"/>
          <w:szCs w:val="24"/>
        </w:rPr>
        <w:t>化合物含量，</w:t>
      </w:r>
      <w:r>
        <w:rPr>
          <w:rFonts w:ascii="Times New Roman" w:eastAsia="Times New Roman" w:hAnsi="Times New Roman" w:cs="Times New Roman"/>
          <w:sz w:val="24"/>
          <w:szCs w:val="24"/>
        </w:rPr>
        <w:t>pg</w:t>
      </w:r>
      <w:r>
        <w:rPr>
          <w:rFonts w:ascii="SimSun" w:eastAsia="SimSun" w:hAnsi="SimSun" w:cs="SimSun"/>
          <w:spacing w:val="1"/>
          <w:sz w:val="24"/>
          <w:szCs w:val="24"/>
        </w:rPr>
        <w:t>；</w:t>
      </w:r>
    </w:p>
    <w:p>
      <w:pPr>
        <w:spacing w:before="108" w:line="212" w:lineRule="auto"/>
        <w:ind w:left="1036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1"/>
          <w:sz w:val="24"/>
          <w:szCs w:val="24"/>
        </w:rPr>
        <w:t>C</w:t>
      </w:r>
      <w:r>
        <w:rPr>
          <w:rFonts w:ascii="Cambria Math" w:eastAsia="Cambria Math" w:hAnsi="Cambria Math" w:cs="Cambria Math"/>
          <w:spacing w:val="-1"/>
          <w:position w:val="-4"/>
          <w:sz w:val="17"/>
          <w:szCs w:val="17"/>
        </w:rPr>
        <w:t>s</w:t>
      </w:r>
      <w:r>
        <w:rPr>
          <w:rFonts w:ascii="Cambria Math" w:eastAsia="Cambria Math" w:hAnsi="Cambria Math" w:cs="Cambria Math"/>
          <w:spacing w:val="34"/>
          <w:w w:val="102"/>
          <w:position w:val="-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——</w:t>
      </w:r>
      <w:r>
        <w:rPr>
          <w:rFonts w:ascii="SimSun" w:eastAsia="SimSun" w:hAnsi="SimSun" w:cs="SimSun"/>
          <w:spacing w:val="-1"/>
          <w:sz w:val="24"/>
          <w:szCs w:val="24"/>
        </w:rPr>
        <w:t>标准溶液浓度，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ng/mL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83" w:line="219" w:lineRule="auto"/>
        <w:ind w:left="52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下面举例说明校准用标准溶液的稀释及取样方法。</w:t>
      </w:r>
    </w:p>
    <w:p>
      <w:pPr>
        <w:spacing w:before="184" w:line="212" w:lineRule="auto"/>
        <w:ind w:lef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A.4.1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甲基汞、乙基汞混合标准储备液：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=200 ng/mL</w:t>
      </w:r>
    </w:p>
    <w:p>
      <w:pPr>
        <w:spacing w:before="190" w:line="343" w:lineRule="auto"/>
        <w:ind w:left="37" w:right="38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 xml:space="preserve">选用电子天平精确称量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GBW08675</w:t>
      </w:r>
      <w:r>
        <w:rPr>
          <w:rFonts w:ascii="Times New Roman" w:eastAsia="Times New Roman" w:hAnsi="Times New Roman" w:cs="Times New Roman"/>
          <w:spacing w:val="16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4"/>
          <w:szCs w:val="24"/>
        </w:rPr>
        <w:t>甲基汞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溶液标准物质（批次编号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2101</w:t>
      </w:r>
      <w:r>
        <w:rPr>
          <w:rFonts w:ascii="SimSun" w:eastAsia="SimSun" w:hAnsi="SimSun" w:cs="SimSun"/>
          <w:spacing w:val="-2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524.2</w:t>
      </w:r>
      <w:r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mg</w:t>
      </w:r>
      <w:r>
        <w:rPr>
          <w:rFonts w:ascii="SimSun" w:eastAsia="SimSun" w:hAnsi="SimSun" w:cs="SimSun"/>
          <w:spacing w:val="-2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GBW(E)081524</w:t>
      </w:r>
      <w:r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乙基汞溶液标准物质（批次编号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2101</w:t>
      </w:r>
      <w:r>
        <w:rPr>
          <w:rFonts w:ascii="SimSun" w:eastAsia="SimSun" w:hAnsi="SimSun" w:cs="SimSun"/>
          <w:spacing w:val="-2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542.0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mg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，用甲醇定容至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200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mL</w:t>
      </w:r>
      <w:r>
        <w:rPr>
          <w:rFonts w:ascii="SimSun" w:eastAsia="SimSun" w:hAnsi="SimSun" w:cs="SimSun"/>
          <w:spacing w:val="-2"/>
          <w:sz w:val="24"/>
          <w:szCs w:val="24"/>
        </w:rPr>
        <w:t>，得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浓度为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200 ng/mL</w:t>
      </w:r>
      <w:r>
        <w:rPr>
          <w:rFonts w:ascii="Times New Roman" w:eastAsia="Times New Roman" w:hAnsi="Times New Roman" w:cs="Times New Roman"/>
          <w:spacing w:val="29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的混合标准溶液。</w:t>
      </w:r>
    </w:p>
    <w:p>
      <w:pPr>
        <w:spacing w:before="68" w:line="220" w:lineRule="auto"/>
        <w:ind w:left="3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A.4.2 </w:t>
      </w:r>
      <w:r>
        <w:rPr>
          <w:rFonts w:ascii="SimSun" w:eastAsia="SimSun" w:hAnsi="SimSun" w:cs="SimSun"/>
          <w:spacing w:val="-1"/>
          <w:sz w:val="24"/>
          <w:szCs w:val="24"/>
        </w:rPr>
        <w:t>标准溶液稀释配制及取样实例</w:t>
      </w:r>
    </w:p>
    <w:p>
      <w:pPr>
        <w:spacing w:before="182" w:line="347" w:lineRule="auto"/>
        <w:ind w:left="38" w:right="49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参考表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A.1 </w:t>
      </w:r>
      <w:r>
        <w:rPr>
          <w:rFonts w:ascii="SimSun" w:eastAsia="SimSun" w:hAnsi="SimSun" w:cs="SimSun"/>
          <w:spacing w:val="-3"/>
          <w:sz w:val="24"/>
          <w:szCs w:val="24"/>
        </w:rPr>
        <w:t>给出方案，分别移取一定体积的混合标准溶液（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.4.1</w:t>
      </w:r>
      <w:r>
        <w:rPr>
          <w:rFonts w:ascii="SimSun" w:eastAsia="SimSun" w:hAnsi="SimSun" w:cs="SimSun"/>
          <w:spacing w:val="-59"/>
          <w:w w:val="94"/>
          <w:sz w:val="24"/>
          <w:szCs w:val="24"/>
        </w:rPr>
        <w:t>），</w:t>
      </w:r>
      <w:r>
        <w:rPr>
          <w:rFonts w:ascii="SimSun" w:eastAsia="SimSun" w:hAnsi="SimSun" w:cs="SimSun"/>
          <w:spacing w:val="-4"/>
          <w:sz w:val="24"/>
          <w:szCs w:val="24"/>
        </w:rPr>
        <w:t>用甲醇定容，得到相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应浓度的标准溶液。配制的溶液溶解均匀后立刻转移至带盖储液</w:t>
      </w:r>
      <w:r>
        <w:rPr>
          <w:rFonts w:ascii="SimSun" w:eastAsia="SimSun" w:hAnsi="SimSun" w:cs="SimSun"/>
          <w:spacing w:val="-2"/>
          <w:sz w:val="24"/>
          <w:szCs w:val="24"/>
        </w:rPr>
        <w:t>瓶中，冷藏待用。</w:t>
      </w:r>
    </w:p>
    <w:p>
      <w:pPr>
        <w:spacing w:before="48" w:line="219" w:lineRule="auto"/>
        <w:ind w:left="388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5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A.1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标准溶液稀释方案</w:t>
      </w:r>
    </w:p>
    <w:p>
      <w:pPr>
        <w:spacing w:line="90" w:lineRule="exact"/>
      </w:pPr>
    </w:p>
    <w:tbl>
      <w:tblPr>
        <w:tblStyle w:val="TableNormal1"/>
        <w:tblW w:w="8929" w:type="dxa"/>
        <w:tblInd w:w="3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82"/>
        <w:gridCol w:w="2018"/>
        <w:gridCol w:w="1905"/>
        <w:gridCol w:w="1984"/>
        <w:gridCol w:w="1840"/>
      </w:tblGrid>
      <w:tr>
        <w:tblPrEx>
          <w:tblW w:w="8929" w:type="dxa"/>
          <w:tblInd w:w="38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5"/>
        </w:trPr>
        <w:tc>
          <w:tcPr>
            <w:tcW w:w="1182" w:type="dxa"/>
            <w:vAlign w:val="top"/>
          </w:tcPr>
          <w:p>
            <w:pPr>
              <w:spacing w:before="87" w:line="222" w:lineRule="auto"/>
              <w:ind w:left="38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6" w:line="223" w:lineRule="auto"/>
              <w:ind w:left="726" w:right="584" w:hanging="91"/>
            </w:pPr>
            <w:r>
              <w:rPr>
                <w:rFonts w:ascii="SimSun" w:eastAsia="SimSun" w:hAnsi="SimSun" w:cs="SimSun"/>
                <w:spacing w:val="-12"/>
              </w:rPr>
              <w:t>目标浓度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t>ng/mL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spacing w:before="36" w:line="223" w:lineRule="auto"/>
              <w:ind w:left="802" w:right="318" w:hanging="475"/>
            </w:pPr>
            <w:r>
              <w:rPr>
                <w:rFonts w:ascii="SimSun" w:eastAsia="SimSun" w:hAnsi="SimSun" w:cs="SimSun"/>
                <w:spacing w:val="-2"/>
              </w:rPr>
              <w:t>移取母液体积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spacing w:val="-1"/>
              </w:rPr>
              <w:t>mL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36" w:line="223" w:lineRule="auto"/>
              <w:ind w:left="711" w:right="567" w:hanging="134"/>
            </w:pPr>
            <w:r>
              <w:rPr>
                <w:rFonts w:ascii="SimSun" w:eastAsia="SimSun" w:hAnsi="SimSun" w:cs="SimSun"/>
                <w:spacing w:val="-2"/>
              </w:rPr>
              <w:t>母液浓度</w:t>
            </w:r>
            <w:r>
              <w:rPr>
                <w:rFonts w:ascii="SimSun" w:eastAsia="SimSun" w:hAnsi="SimSun" w:cs="SimSun"/>
                <w:spacing w:val="1"/>
              </w:rPr>
              <w:t xml:space="preserve"> </w:t>
            </w:r>
            <w:r>
              <w:t>ng/mL</w:t>
            </w:r>
          </w:p>
        </w:tc>
        <w:tc>
          <w:tcPr>
            <w:tcW w:w="1840" w:type="dxa"/>
            <w:vAlign w:val="top"/>
          </w:tcPr>
          <w:p>
            <w:pPr>
              <w:pStyle w:val="TableText"/>
              <w:spacing w:before="36" w:line="223" w:lineRule="auto"/>
              <w:ind w:left="773" w:right="493" w:hanging="261"/>
            </w:pPr>
            <w:r>
              <w:rPr>
                <w:rFonts w:ascii="SimSun" w:eastAsia="SimSun" w:hAnsi="SimSun" w:cs="SimSun"/>
                <w:spacing w:val="-3"/>
              </w:rPr>
              <w:t>定容体积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-1"/>
              </w:rPr>
              <w:t>mL</w:t>
            </w:r>
          </w:p>
        </w:tc>
      </w:tr>
      <w:tr>
        <w:tblPrEx>
          <w:tblW w:w="8929" w:type="dxa"/>
          <w:tblInd w:w="384" w:type="dxa"/>
          <w:tblLayout w:type="fixed"/>
        </w:tblPrEx>
        <w:trPr>
          <w:trHeight w:val="366"/>
        </w:trPr>
        <w:tc>
          <w:tcPr>
            <w:tcW w:w="1182" w:type="dxa"/>
            <w:vAlign w:val="top"/>
          </w:tcPr>
          <w:p>
            <w:pPr>
              <w:pStyle w:val="TableText"/>
              <w:spacing w:before="52" w:line="189" w:lineRule="auto"/>
              <w:ind w:left="559"/>
            </w:pPr>
            <w:r>
              <w:t>1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52" w:line="189" w:lineRule="auto"/>
              <w:ind w:left="846"/>
            </w:pPr>
            <w:r>
              <w:rPr>
                <w:spacing w:val="-5"/>
              </w:rPr>
              <w:t>10.0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spacing w:before="55" w:line="186" w:lineRule="auto"/>
              <w:ind w:left="904"/>
            </w:pPr>
            <w:r>
              <w:t>5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52" w:line="189" w:lineRule="auto"/>
              <w:ind w:left="837"/>
            </w:pPr>
            <w:r>
              <w:rPr>
                <w:spacing w:val="-1"/>
              </w:rPr>
              <w:t>200</w:t>
            </w:r>
          </w:p>
        </w:tc>
        <w:tc>
          <w:tcPr>
            <w:tcW w:w="1840" w:type="dxa"/>
            <w:vAlign w:val="top"/>
          </w:tcPr>
          <w:p>
            <w:pPr>
              <w:pStyle w:val="TableText"/>
              <w:spacing w:before="52" w:line="189" w:lineRule="auto"/>
              <w:ind w:left="785"/>
            </w:pPr>
            <w:r>
              <w:rPr>
                <w:spacing w:val="-6"/>
              </w:rPr>
              <w:t>100</w:t>
            </w:r>
          </w:p>
        </w:tc>
      </w:tr>
      <w:tr>
        <w:tblPrEx>
          <w:tblW w:w="8929" w:type="dxa"/>
          <w:tblInd w:w="384" w:type="dxa"/>
          <w:tblLayout w:type="fixed"/>
        </w:tblPrEx>
        <w:trPr>
          <w:trHeight w:val="366"/>
        </w:trPr>
        <w:tc>
          <w:tcPr>
            <w:tcW w:w="1182" w:type="dxa"/>
            <w:vAlign w:val="top"/>
          </w:tcPr>
          <w:p>
            <w:pPr>
              <w:pStyle w:val="TableText"/>
              <w:spacing w:before="53" w:line="189" w:lineRule="auto"/>
              <w:ind w:left="539"/>
            </w:pPr>
            <w:r>
              <w:t>2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53" w:line="189" w:lineRule="auto"/>
              <w:ind w:left="899"/>
            </w:pPr>
            <w:r>
              <w:rPr>
                <w:spacing w:val="-5"/>
              </w:rPr>
              <w:t>1.0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spacing w:before="53" w:line="189" w:lineRule="auto"/>
              <w:ind w:left="919"/>
            </w:pPr>
            <w:r>
              <w:t>1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53" w:line="189" w:lineRule="auto"/>
              <w:ind w:left="837"/>
            </w:pPr>
            <w:r>
              <w:rPr>
                <w:spacing w:val="-1"/>
              </w:rPr>
              <w:t>200</w:t>
            </w:r>
          </w:p>
        </w:tc>
        <w:tc>
          <w:tcPr>
            <w:tcW w:w="1840" w:type="dxa"/>
            <w:vAlign w:val="top"/>
          </w:tcPr>
          <w:p>
            <w:pPr>
              <w:pStyle w:val="TableText"/>
              <w:spacing w:before="53" w:line="189" w:lineRule="auto"/>
              <w:ind w:left="764"/>
            </w:pPr>
            <w:r>
              <w:rPr>
                <w:spacing w:val="-1"/>
              </w:rPr>
              <w:t>200</w:t>
            </w:r>
          </w:p>
        </w:tc>
      </w:tr>
      <w:tr>
        <w:tblPrEx>
          <w:tblW w:w="8929" w:type="dxa"/>
          <w:tblInd w:w="384" w:type="dxa"/>
          <w:tblLayout w:type="fixed"/>
        </w:tblPrEx>
        <w:trPr>
          <w:trHeight w:val="366"/>
        </w:trPr>
        <w:tc>
          <w:tcPr>
            <w:tcW w:w="1182" w:type="dxa"/>
            <w:vAlign w:val="top"/>
          </w:tcPr>
          <w:p>
            <w:pPr>
              <w:pStyle w:val="TableText"/>
              <w:spacing w:before="54" w:line="189" w:lineRule="auto"/>
              <w:ind w:left="543"/>
            </w:pPr>
            <w:r>
              <w:t>3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54" w:line="189" w:lineRule="auto"/>
              <w:ind w:left="776"/>
            </w:pPr>
            <w:r>
              <w:rPr>
                <w:spacing w:val="-1"/>
              </w:rPr>
              <w:t>0.050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spacing w:before="54" w:line="189" w:lineRule="auto"/>
              <w:ind w:left="919"/>
            </w:pPr>
            <w:r>
              <w:t>1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54" w:line="189" w:lineRule="auto"/>
              <w:ind w:left="831"/>
            </w:pPr>
            <w:r>
              <w:rPr>
                <w:spacing w:val="-5"/>
              </w:rPr>
              <w:t>10.0</w:t>
            </w:r>
          </w:p>
        </w:tc>
        <w:tc>
          <w:tcPr>
            <w:tcW w:w="1840" w:type="dxa"/>
            <w:vAlign w:val="top"/>
          </w:tcPr>
          <w:p>
            <w:pPr>
              <w:pStyle w:val="TableText"/>
              <w:spacing w:before="54" w:line="189" w:lineRule="auto"/>
              <w:ind w:left="764"/>
            </w:pPr>
            <w:r>
              <w:rPr>
                <w:spacing w:val="-1"/>
              </w:rPr>
              <w:t>200</w:t>
            </w:r>
          </w:p>
        </w:tc>
      </w:tr>
      <w:tr>
        <w:tblPrEx>
          <w:tblW w:w="8929" w:type="dxa"/>
          <w:tblInd w:w="384" w:type="dxa"/>
          <w:tblLayout w:type="fixed"/>
        </w:tblPrEx>
        <w:trPr>
          <w:trHeight w:val="366"/>
        </w:trPr>
        <w:tc>
          <w:tcPr>
            <w:tcW w:w="1182" w:type="dxa"/>
            <w:vAlign w:val="top"/>
          </w:tcPr>
          <w:p>
            <w:pPr>
              <w:pStyle w:val="TableText"/>
              <w:spacing w:before="55" w:line="189" w:lineRule="auto"/>
              <w:ind w:left="538"/>
            </w:pPr>
            <w:r>
              <w:t>4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55" w:line="189" w:lineRule="auto"/>
              <w:ind w:left="776"/>
            </w:pPr>
            <w:r>
              <w:rPr>
                <w:spacing w:val="-1"/>
              </w:rPr>
              <w:t>0.005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spacing w:before="55" w:line="189" w:lineRule="auto"/>
              <w:ind w:left="919"/>
            </w:pPr>
            <w:r>
              <w:t>1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55" w:line="189" w:lineRule="auto"/>
              <w:ind w:left="831"/>
            </w:pPr>
            <w:r>
              <w:rPr>
                <w:spacing w:val="-5"/>
              </w:rPr>
              <w:t>1.00</w:t>
            </w:r>
          </w:p>
        </w:tc>
        <w:tc>
          <w:tcPr>
            <w:tcW w:w="1840" w:type="dxa"/>
            <w:vAlign w:val="top"/>
          </w:tcPr>
          <w:p>
            <w:pPr>
              <w:pStyle w:val="TableText"/>
              <w:spacing w:before="55" w:line="189" w:lineRule="auto"/>
              <w:ind w:left="764"/>
            </w:pPr>
            <w:r>
              <w:rPr>
                <w:spacing w:val="-1"/>
              </w:rPr>
              <w:t>200</w:t>
            </w:r>
          </w:p>
        </w:tc>
      </w:tr>
      <w:tr>
        <w:tblPrEx>
          <w:tblW w:w="8929" w:type="dxa"/>
          <w:tblInd w:w="384" w:type="dxa"/>
          <w:tblLayout w:type="fixed"/>
        </w:tblPrEx>
        <w:trPr>
          <w:trHeight w:val="371"/>
        </w:trPr>
        <w:tc>
          <w:tcPr>
            <w:tcW w:w="1182" w:type="dxa"/>
            <w:vAlign w:val="top"/>
          </w:tcPr>
          <w:p>
            <w:pPr>
              <w:pStyle w:val="TableText"/>
              <w:spacing w:before="59" w:line="186" w:lineRule="auto"/>
              <w:ind w:left="545"/>
            </w:pPr>
            <w:r>
              <w:t>5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56" w:line="189" w:lineRule="auto"/>
              <w:ind w:left="776"/>
            </w:pPr>
            <w:r>
              <w:rPr>
                <w:spacing w:val="-1"/>
              </w:rPr>
              <w:t>0.001</w:t>
            </w:r>
          </w:p>
        </w:tc>
        <w:tc>
          <w:tcPr>
            <w:tcW w:w="1905" w:type="dxa"/>
            <w:vAlign w:val="top"/>
          </w:tcPr>
          <w:p>
            <w:pPr>
              <w:pStyle w:val="TableText"/>
              <w:spacing w:before="56" w:line="189" w:lineRule="auto"/>
              <w:ind w:left="919"/>
            </w:pPr>
            <w:r>
              <w:t>1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56" w:line="189" w:lineRule="auto"/>
              <w:ind w:left="761"/>
            </w:pPr>
            <w:r>
              <w:rPr>
                <w:spacing w:val="-1"/>
              </w:rPr>
              <w:t>0.050</w:t>
            </w:r>
          </w:p>
        </w:tc>
        <w:tc>
          <w:tcPr>
            <w:tcW w:w="1840" w:type="dxa"/>
            <w:vAlign w:val="top"/>
          </w:tcPr>
          <w:p>
            <w:pPr>
              <w:pStyle w:val="TableText"/>
              <w:spacing w:before="56" w:line="189" w:lineRule="auto"/>
              <w:ind w:left="823"/>
            </w:pPr>
            <w:r>
              <w:rPr>
                <w:spacing w:val="-3"/>
              </w:rPr>
              <w:t>50</w:t>
            </w:r>
          </w:p>
        </w:tc>
      </w:tr>
    </w:tbl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79" w:line="349" w:lineRule="auto"/>
        <w:ind w:left="39" w:right="29" w:firstLine="4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根据以上标准溶液的稀释方案，计算得到校准时所需移取的母液体积见表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A.2</w:t>
      </w:r>
      <w:r>
        <w:rPr>
          <w:rFonts w:ascii="SimSun" w:eastAsia="SimSun" w:hAnsi="SimSun" w:cs="SimSun"/>
          <w:spacing w:val="-4"/>
          <w:sz w:val="24"/>
          <w:szCs w:val="24"/>
        </w:rPr>
        <w:t>。参照表中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方案，分别在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mL </w:t>
      </w:r>
      <w:r>
        <w:rPr>
          <w:rFonts w:ascii="SimSun" w:eastAsia="SimSun" w:hAnsi="SimSun" w:cs="SimSun"/>
          <w:spacing w:val="-2"/>
          <w:sz w:val="24"/>
          <w:szCs w:val="24"/>
        </w:rPr>
        <w:t>进样瓶中加入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mL</w:t>
      </w:r>
      <w:r>
        <w:rPr>
          <w:rFonts w:ascii="Times New Roman" w:eastAsia="Times New Roman" w:hAnsi="Times New Roman" w:cs="Times New Roman"/>
          <w:spacing w:val="15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纯水和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500</w:t>
      </w:r>
      <w:r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μL</w:t>
      </w:r>
      <w:r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的缓冲溶液，再分别</w:t>
      </w:r>
      <w:r>
        <w:rPr>
          <w:rFonts w:ascii="SimSun" w:eastAsia="SimSun" w:hAnsi="SimSun" w:cs="SimSun"/>
          <w:spacing w:val="-3"/>
          <w:sz w:val="24"/>
          <w:szCs w:val="24"/>
        </w:rPr>
        <w:t>移取相应体积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的母液至进样瓶中，最后分别加入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37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μL</w:t>
      </w:r>
      <w:r>
        <w:rPr>
          <w:rFonts w:ascii="Times New Roman" w:eastAsia="Times New Roman" w:hAnsi="Times New Roman" w:cs="Times New Roman"/>
          <w:spacing w:val="28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的衍生化试剂，加盖密封，混匀反应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pacing w:val="25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min</w:t>
      </w:r>
      <w:r>
        <w:rPr>
          <w:rFonts w:ascii="SimSun" w:eastAsia="SimSun" w:hAnsi="SimSun" w:cs="SimSun"/>
          <w:spacing w:val="-3"/>
          <w:sz w:val="24"/>
          <w:szCs w:val="24"/>
        </w:rPr>
        <w:t>，即得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系列浓度的混合溶液。</w:t>
      </w:r>
    </w:p>
    <w:p>
      <w:pPr>
        <w:spacing w:before="68" w:line="219" w:lineRule="auto"/>
        <w:ind w:left="33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4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A.2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校准用系列标准溶液移取体积</w:t>
      </w:r>
    </w:p>
    <w:p>
      <w:pPr>
        <w:spacing w:line="91" w:lineRule="exact"/>
        <w:sectPr>
          <w:headerReference w:type="default" r:id="rId50"/>
          <w:footerReference w:type="default" r:id="rId51"/>
          <w:pgSz w:w="11907" w:h="16839"/>
          <w:pgMar w:top="1627" w:right="1104" w:bottom="1148" w:left="1104" w:header="1313" w:footer="990" w:gutter="0"/>
          <w:pgNumType w:start="20"/>
          <w:cols w:space="708"/>
        </w:sectPr>
      </w:pPr>
    </w:p>
    <w:tbl>
      <w:tblPr>
        <w:tblStyle w:val="TableNormal2"/>
        <w:tblW w:w="8888" w:type="dxa"/>
        <w:tblInd w:w="4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12"/>
        <w:gridCol w:w="2267"/>
        <w:gridCol w:w="2562"/>
        <w:gridCol w:w="2447"/>
      </w:tblGrid>
      <w:tr>
        <w:tblPrEx>
          <w:tblW w:w="8888" w:type="dxa"/>
          <w:tblInd w:w="40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1612" w:type="dxa"/>
            <w:vAlign w:val="top"/>
          </w:tcPr>
          <w:p>
            <w:pPr>
              <w:spacing w:before="87" w:line="222" w:lineRule="auto"/>
              <w:ind w:left="5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33" w:line="223" w:lineRule="auto"/>
              <w:ind w:left="1022" w:right="813" w:hanging="199"/>
            </w:pPr>
            <w:r>
              <w:rPr>
                <w:rFonts w:ascii="SimSun" w:eastAsia="SimSun" w:hAnsi="SimSun" w:cs="SimSun"/>
                <w:spacing w:val="-2"/>
              </w:rPr>
              <w:t>标准值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t>pg</w:t>
            </w:r>
          </w:p>
        </w:tc>
        <w:tc>
          <w:tcPr>
            <w:tcW w:w="2562" w:type="dxa"/>
            <w:vAlign w:val="top"/>
          </w:tcPr>
          <w:p>
            <w:pPr>
              <w:pStyle w:val="TableText"/>
              <w:spacing w:before="33" w:line="223" w:lineRule="auto"/>
              <w:ind w:left="999" w:right="855" w:hanging="132"/>
            </w:pPr>
            <w:r>
              <w:rPr>
                <w:rFonts w:ascii="SimSun" w:eastAsia="SimSun" w:hAnsi="SimSun" w:cs="SimSun"/>
                <w:spacing w:val="-2"/>
              </w:rPr>
              <w:t>母液浓度</w:t>
            </w:r>
            <w:r>
              <w:rPr>
                <w:rFonts w:ascii="SimSun" w:eastAsia="SimSun" w:hAnsi="SimSun" w:cs="SimSun"/>
                <w:spacing w:val="1"/>
              </w:rPr>
              <w:t xml:space="preserve"> </w:t>
            </w:r>
            <w:r>
              <w:t>ng/mL</w:t>
            </w:r>
          </w:p>
        </w:tc>
        <w:tc>
          <w:tcPr>
            <w:tcW w:w="2447" w:type="dxa"/>
            <w:vAlign w:val="top"/>
          </w:tcPr>
          <w:p>
            <w:pPr>
              <w:pStyle w:val="TableText"/>
              <w:spacing w:before="33" w:line="223" w:lineRule="auto"/>
              <w:ind w:left="1076" w:right="590" w:hanging="478"/>
            </w:pPr>
            <w:r>
              <w:rPr>
                <w:rFonts w:ascii="SimSun" w:eastAsia="SimSun" w:hAnsi="SimSun" w:cs="SimSun"/>
                <w:spacing w:val="-2"/>
              </w:rPr>
              <w:t>移取母液体积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spacing w:val="-1"/>
              </w:rPr>
              <w:t>mL</w:t>
            </w:r>
          </w:p>
        </w:tc>
      </w:tr>
      <w:tr>
        <w:tblPrEx>
          <w:tblW w:w="8888" w:type="dxa"/>
          <w:tblInd w:w="406" w:type="dxa"/>
          <w:tblLayout w:type="fixed"/>
        </w:tblPrEx>
        <w:trPr>
          <w:trHeight w:val="368"/>
        </w:trPr>
        <w:tc>
          <w:tcPr>
            <w:tcW w:w="1612" w:type="dxa"/>
            <w:vAlign w:val="top"/>
          </w:tcPr>
          <w:p>
            <w:pPr>
              <w:pStyle w:val="TableText"/>
              <w:spacing w:before="55" w:line="189" w:lineRule="auto"/>
              <w:ind w:left="775"/>
            </w:pPr>
            <w:r>
              <w:t>1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55" w:line="189" w:lineRule="auto"/>
              <w:ind w:left="1083"/>
            </w:pPr>
            <w:r>
              <w:t>0</w:t>
            </w:r>
          </w:p>
        </w:tc>
        <w:tc>
          <w:tcPr>
            <w:tcW w:w="2562" w:type="dxa"/>
            <w:vAlign w:val="top"/>
          </w:tcPr>
          <w:p>
            <w:pPr>
              <w:pStyle w:val="TableText"/>
              <w:spacing w:before="53" w:line="233" w:lineRule="auto"/>
              <w:ind w:left="1250"/>
            </w:pPr>
            <w:r>
              <w:t>/</w:t>
            </w:r>
          </w:p>
        </w:tc>
        <w:tc>
          <w:tcPr>
            <w:tcW w:w="2447" w:type="dxa"/>
            <w:vAlign w:val="top"/>
          </w:tcPr>
          <w:p>
            <w:pPr>
              <w:pStyle w:val="TableText"/>
              <w:spacing w:before="53" w:line="233" w:lineRule="auto"/>
              <w:ind w:left="1192"/>
            </w:pPr>
            <w:r>
              <w:t>/</w:t>
            </w:r>
          </w:p>
        </w:tc>
      </w:tr>
      <w:tr>
        <w:tblPrEx>
          <w:tblW w:w="8888" w:type="dxa"/>
          <w:tblInd w:w="406" w:type="dxa"/>
          <w:tblLayout w:type="fixed"/>
        </w:tblPrEx>
        <w:trPr>
          <w:trHeight w:val="366"/>
        </w:trPr>
        <w:tc>
          <w:tcPr>
            <w:tcW w:w="1612" w:type="dxa"/>
            <w:vAlign w:val="top"/>
          </w:tcPr>
          <w:p>
            <w:pPr>
              <w:pStyle w:val="TableText"/>
              <w:spacing w:before="54" w:line="189" w:lineRule="auto"/>
              <w:ind w:left="755"/>
            </w:pPr>
            <w:r>
              <w:t>2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54" w:line="189" w:lineRule="auto"/>
              <w:ind w:left="1007"/>
            </w:pPr>
            <w:r>
              <w:rPr>
                <w:spacing w:val="-2"/>
              </w:rPr>
              <w:t>0.5</w:t>
            </w:r>
          </w:p>
        </w:tc>
        <w:tc>
          <w:tcPr>
            <w:tcW w:w="2562" w:type="dxa"/>
            <w:vAlign w:val="top"/>
          </w:tcPr>
          <w:p>
            <w:pPr>
              <w:pStyle w:val="TableText"/>
              <w:spacing w:before="54" w:line="189" w:lineRule="auto"/>
              <w:ind w:left="1049"/>
            </w:pPr>
            <w:r>
              <w:rPr>
                <w:spacing w:val="-1"/>
              </w:rPr>
              <w:t>0.001</w:t>
            </w:r>
          </w:p>
        </w:tc>
        <w:tc>
          <w:tcPr>
            <w:tcW w:w="2447" w:type="dxa"/>
            <w:vAlign w:val="top"/>
          </w:tcPr>
          <w:p>
            <w:pPr>
              <w:pStyle w:val="TableText"/>
              <w:spacing w:before="54" w:line="189" w:lineRule="auto"/>
              <w:ind w:left="1096"/>
            </w:pPr>
            <w:r>
              <w:rPr>
                <w:spacing w:val="-2"/>
              </w:rPr>
              <w:t>0.5</w:t>
            </w:r>
          </w:p>
        </w:tc>
      </w:tr>
      <w:tr>
        <w:tblPrEx>
          <w:tblW w:w="8888" w:type="dxa"/>
          <w:tblInd w:w="406" w:type="dxa"/>
          <w:tblLayout w:type="fixed"/>
        </w:tblPrEx>
        <w:trPr>
          <w:trHeight w:val="366"/>
        </w:trPr>
        <w:tc>
          <w:tcPr>
            <w:tcW w:w="1612" w:type="dxa"/>
            <w:vAlign w:val="top"/>
          </w:tcPr>
          <w:p>
            <w:pPr>
              <w:pStyle w:val="TableText"/>
              <w:spacing w:before="55" w:line="189" w:lineRule="auto"/>
              <w:ind w:left="759"/>
            </w:pPr>
            <w:r>
              <w:t>3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55" w:line="189" w:lineRule="auto"/>
              <w:ind w:left="1101"/>
            </w:pPr>
            <w:r>
              <w:t>1</w:t>
            </w:r>
          </w:p>
        </w:tc>
        <w:tc>
          <w:tcPr>
            <w:tcW w:w="2562" w:type="dxa"/>
            <w:vAlign w:val="top"/>
          </w:tcPr>
          <w:p>
            <w:pPr>
              <w:pStyle w:val="TableText"/>
              <w:spacing w:before="55" w:line="189" w:lineRule="auto"/>
              <w:ind w:left="1049"/>
            </w:pPr>
            <w:r>
              <w:rPr>
                <w:spacing w:val="-1"/>
              </w:rPr>
              <w:t>0.001</w:t>
            </w:r>
          </w:p>
        </w:tc>
        <w:tc>
          <w:tcPr>
            <w:tcW w:w="2447" w:type="dxa"/>
            <w:vAlign w:val="top"/>
          </w:tcPr>
          <w:p>
            <w:pPr>
              <w:pStyle w:val="TableText"/>
              <w:spacing w:before="55" w:line="189" w:lineRule="auto"/>
              <w:ind w:left="1193"/>
            </w:pPr>
            <w:r>
              <w:t>1</w:t>
            </w:r>
          </w:p>
        </w:tc>
      </w:tr>
      <w:tr>
        <w:tblPrEx>
          <w:tblW w:w="8888" w:type="dxa"/>
          <w:tblInd w:w="406" w:type="dxa"/>
          <w:tblLayout w:type="fixed"/>
        </w:tblPrEx>
        <w:trPr>
          <w:trHeight w:val="371"/>
        </w:trPr>
        <w:tc>
          <w:tcPr>
            <w:tcW w:w="1612" w:type="dxa"/>
            <w:vAlign w:val="top"/>
          </w:tcPr>
          <w:p>
            <w:pPr>
              <w:pStyle w:val="TableText"/>
              <w:spacing w:before="56" w:line="189" w:lineRule="auto"/>
              <w:ind w:left="754"/>
            </w:pPr>
            <w:r>
              <w:t>4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59" w:line="186" w:lineRule="auto"/>
              <w:ind w:left="1086"/>
            </w:pPr>
            <w:r>
              <w:t>5</w:t>
            </w:r>
          </w:p>
        </w:tc>
        <w:tc>
          <w:tcPr>
            <w:tcW w:w="2562" w:type="dxa"/>
            <w:vAlign w:val="top"/>
          </w:tcPr>
          <w:p>
            <w:pPr>
              <w:pStyle w:val="TableText"/>
              <w:spacing w:before="56" w:line="189" w:lineRule="auto"/>
              <w:ind w:left="1049"/>
            </w:pPr>
            <w:r>
              <w:rPr>
                <w:spacing w:val="-1"/>
              </w:rPr>
              <w:t>0.005</w:t>
            </w:r>
          </w:p>
        </w:tc>
        <w:tc>
          <w:tcPr>
            <w:tcW w:w="2447" w:type="dxa"/>
            <w:vAlign w:val="top"/>
          </w:tcPr>
          <w:p>
            <w:pPr>
              <w:pStyle w:val="TableText"/>
              <w:spacing w:before="56" w:line="189" w:lineRule="auto"/>
              <w:ind w:left="1193"/>
            </w:pPr>
            <w:r>
              <w:t>1</w:t>
            </w:r>
          </w:p>
        </w:tc>
      </w:tr>
    </w:tbl>
    <w:p>
      <w:pPr>
        <w:pStyle w:val="BodyText"/>
        <w:spacing w:line="132" w:lineRule="exact"/>
        <w:rPr>
          <w:sz w:val="11"/>
        </w:rPr>
      </w:pPr>
    </w:p>
    <w:p>
      <w:pPr>
        <w:spacing w:line="132" w:lineRule="exact"/>
        <w:rPr>
          <w:sz w:val="11"/>
          <w:szCs w:val="11"/>
        </w:rPr>
      </w:pPr>
      <w:r>
        <w:rPr>
          <w:sz w:val="11"/>
          <w:szCs w:val="11"/>
        </w:rPr>
        <w:br/>
      </w:r>
      <w:r>
        <w:rPr>
          <w:sz w:val="11"/>
          <w:szCs w:val="1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https://d.book118.com/317051165156006051</w:t>
        </w:r>
      </w:hyperlink>
    </w:p>
    <w:p>
      <w:pPr>
        <w:spacing w:line="132" w:lineRule="exact"/>
        <w:rPr>
          <w:sz w:val="11"/>
          <w:szCs w:val="11"/>
        </w:rPr>
      </w:pPr>
    </w:p>
    <w:sectPr>
      <w:headerReference w:type="default" r:id="rId53"/>
      <w:footerReference w:type="default" r:id="rId54"/>
      <w:type w:val="nextPage"/>
      <w:pgSz w:w="11907" w:h="16839"/>
      <w:pgMar w:top="1627" w:right="1104" w:bottom="1148" w:left="1104" w:header="1313" w:footer="990" w:gutter="0"/>
      <w:pgNumType w:start="2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right="23"/>
      <w:jc w:val="right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I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left="3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II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5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5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5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5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right="21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58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58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354"/>
      <w:rPr>
        <w:rFonts w:ascii="SimHei" w:eastAsia="SimHei" w:hAnsi="SimHei" w:cs="SimHei"/>
        <w:sz w:val="21"/>
        <w:szCs w:val="21"/>
      </w:rPr>
    </w:pPr>
    <w:r>
      <w:pict>
        <v:shape id="_x0000_s2049" style="width:418.55pt;height:0.75pt;margin-top:79.68pt;margin-left:88.46pt;mso-position-horizontal-relative:page;mso-position-vertical-relative:page;position:absolute;z-index:251658240" coordorigin="0,0" coordsize="8370,15" o:allowincell="f" path="m,14l8370,14l8370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354"/>
      <w:rPr>
        <w:rFonts w:ascii="SimHei" w:eastAsia="SimHei" w:hAnsi="SimHei" w:cs="SimHei"/>
        <w:sz w:val="21"/>
        <w:szCs w:val="21"/>
      </w:rPr>
    </w:pPr>
    <w:r>
      <w:pict>
        <v:shape id="_x0000_s2050" style="width:418.55pt;height:0.75pt;margin-top:79.68pt;margin-left:88.46pt;mso-position-horizontal-relative:page;mso-position-vertical-relative:page;position:absolute;z-index:251659264" coordorigin="0,0" coordsize="8370,15" o:allowincell="f" path="m,14l8370,14l8370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354"/>
      <w:rPr>
        <w:rFonts w:ascii="SimHei" w:eastAsia="SimHei" w:hAnsi="SimHei" w:cs="SimHei"/>
        <w:sz w:val="21"/>
        <w:szCs w:val="21"/>
      </w:rPr>
    </w:pPr>
    <w:r>
      <w:pict>
        <v:shape id="_x0000_s2051" style="width:418.55pt;height:0.75pt;margin-top:79.68pt;margin-left:88.46pt;mso-position-horizontal-relative:page;mso-position-vertical-relative:page;position:absolute;z-index:251660288" coordorigin="0,0" coordsize="8370,15" o:allowincell="f" path="m,14l8370,14l8370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80"/>
      <w:rPr>
        <w:rFonts w:ascii="SimHei" w:eastAsia="SimHei" w:hAnsi="SimHei" w:cs="SimHei"/>
        <w:sz w:val="21"/>
        <w:szCs w:val="21"/>
      </w:rPr>
    </w:pPr>
    <w:r>
      <w:pict>
        <v:shape id="_x0000_s2052" style="width:470.95pt;height:0.75pt;margin-top:79.68pt;margin-left:69.5pt;mso-position-horizontal-relative:page;mso-position-vertical-relative:page;position:absolute;z-index:251661312" coordorigin="0,0" coordsize="9419,15" o:allowincell="f" path="m,14l9418,14l9418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80"/>
      <w:rPr>
        <w:rFonts w:ascii="SimHei" w:eastAsia="SimHei" w:hAnsi="SimHei" w:cs="SimHei"/>
        <w:sz w:val="21"/>
        <w:szCs w:val="21"/>
      </w:rPr>
    </w:pPr>
    <w:r>
      <w:pict>
        <v:shape id="_x0000_s2053" style="width:470.95pt;height:0.75pt;margin-top:79.68pt;margin-left:69.5pt;mso-position-horizontal-relative:page;mso-position-vertical-relative:page;position:absolute;z-index:251662336" coordorigin="0,0" coordsize="9419,15" o:allowincell="f" path="m,14l9418,14l9418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54" style="width:484.9pt;height:0.75pt;margin-top:79.68pt;margin-left:55.2pt;mso-position-horizontal-relative:page;mso-position-vertical-relative:page;position:absolute;z-index:251663360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55" style="width:484.9pt;height:0.75pt;margin-top:79.68pt;margin-left:55.2pt;mso-position-horizontal-relative:page;mso-position-vertical-relative:page;position:absolute;z-index:251664384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30"/>
      <w:rPr>
        <w:rFonts w:ascii="SimHei" w:eastAsia="SimHei" w:hAnsi="SimHei" w:cs="SimHei"/>
        <w:sz w:val="21"/>
        <w:szCs w:val="21"/>
      </w:rPr>
    </w:pPr>
    <w:r>
      <w:pict>
        <v:shape id="_x0000_s2056" style="width:484.9pt;height:0.75pt;margin-top:79.68pt;margin-left:55.2pt;mso-position-horizontal-relative:page;mso-position-vertical-relative:page;position:absolute;z-index:251665408" coordorigin="0,0" coordsize="9697,15" o:allowincell="f" path="m,14l9697,14l9697,l,l,14xe" filled="t" fillcolor="black" stroked="f"/>
      </w:pict>
    </w:r>
    <w:r>
      <w:rPr>
        <w:rFonts w:ascii="Times New Roman" w:eastAsia="Times New Roman" w:hAnsi="Times New Roman" w:cs="Times New Roman"/>
        <w:spacing w:val="-1"/>
        <w:sz w:val="21"/>
        <w:szCs w:val="21"/>
      </w:rPr>
      <w:t>JJF</w:t>
    </w:r>
    <w:r>
      <w:rPr>
        <w:rFonts w:ascii="SimHei" w:eastAsia="SimHei" w:hAnsi="SimHei" w:cs="SimHei"/>
        <w:spacing w:val="-1"/>
        <w:sz w:val="21"/>
        <w:szCs w:val="21"/>
      </w:rPr>
      <w:t>（京）94-2022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30"/>
      <w:rPr>
        <w:rFonts w:ascii="SimHei" w:eastAsia="SimHei" w:hAnsi="SimHei" w:cs="SimHei"/>
        <w:sz w:val="21"/>
        <w:szCs w:val="21"/>
      </w:rPr>
    </w:pPr>
    <w:r>
      <w:pict>
        <v:shape id="_x0000_s2057" style="width:484.9pt;height:0.75pt;margin-top:79.68pt;margin-left:55.2pt;mso-position-horizontal-relative:page;mso-position-vertical-relative:page;position:absolute;z-index:251666432" coordorigin="0,0" coordsize="9697,15" o:allowincell="f" path="m,14l9697,14l9697,l,l,14xe" filled="t" fillcolor="black" stroked="f"/>
      </w:pict>
    </w:r>
    <w:r>
      <w:rPr>
        <w:rFonts w:ascii="Times New Roman" w:eastAsia="Times New Roman" w:hAnsi="Times New Roman" w:cs="Times New Roman"/>
        <w:spacing w:val="-1"/>
        <w:sz w:val="21"/>
        <w:szCs w:val="21"/>
      </w:rPr>
      <w:t>JJF</w:t>
    </w:r>
    <w:r>
      <w:rPr>
        <w:rFonts w:ascii="SimHei" w:eastAsia="SimHei" w:hAnsi="SimHei" w:cs="SimHei"/>
        <w:spacing w:val="-1"/>
        <w:sz w:val="21"/>
        <w:szCs w:val="21"/>
      </w:rPr>
      <w:t>（京）94-2022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58" style="width:484.9pt;height:0.75pt;margin-top:79.68pt;margin-left:55.2pt;mso-position-horizontal-relative:page;mso-position-vertical-relative:page;position:absolute;z-index:251667456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59" style="width:484.9pt;height:0.75pt;margin-top:79.68pt;margin-left:55.2pt;mso-position-horizontal-relative:page;mso-position-vertical-relative:page;position:absolute;z-index:251668480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30"/>
      <w:rPr>
        <w:rFonts w:ascii="SimHei" w:eastAsia="SimHei" w:hAnsi="SimHei" w:cs="SimHei"/>
        <w:sz w:val="21"/>
        <w:szCs w:val="21"/>
      </w:rPr>
    </w:pPr>
    <w:r>
      <w:pict>
        <v:shape id="_x0000_s2060" style="width:484.9pt;height:0.75pt;margin-top:79.68pt;margin-left:55.2pt;mso-position-horizontal-relative:page;mso-position-vertical-relative:page;position:absolute;z-index:251669504" coordorigin="0,0" coordsize="9697,15" o:allowincell="f" path="m,14l9697,14l9697,l,l,14xe" filled="t" fillcolor="black" stroked="f"/>
      </w:pict>
    </w:r>
    <w:r>
      <w:rPr>
        <w:rFonts w:ascii="Times New Roman" w:eastAsia="Times New Roman" w:hAnsi="Times New Roman" w:cs="Times New Roman"/>
        <w:spacing w:val="-1"/>
        <w:sz w:val="21"/>
        <w:szCs w:val="21"/>
      </w:rPr>
      <w:t>JJF</w:t>
    </w:r>
    <w:r>
      <w:rPr>
        <w:rFonts w:ascii="SimHei" w:eastAsia="SimHei" w:hAnsi="SimHei" w:cs="SimHei"/>
        <w:spacing w:val="-1"/>
        <w:sz w:val="21"/>
        <w:szCs w:val="21"/>
      </w:rPr>
      <w:t>（京）94-2022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30"/>
      <w:rPr>
        <w:rFonts w:ascii="SimHei" w:eastAsia="SimHei" w:hAnsi="SimHei" w:cs="SimHei"/>
        <w:sz w:val="21"/>
        <w:szCs w:val="21"/>
      </w:rPr>
    </w:pPr>
    <w:r>
      <w:pict>
        <v:shape id="_x0000_s2061" style="width:484.9pt;height:0.75pt;margin-top:79.68pt;margin-left:55.2pt;mso-position-horizontal-relative:page;mso-position-vertical-relative:page;position:absolute;z-index:251670528" coordorigin="0,0" coordsize="9697,15" o:allowincell="f" path="m,14l9697,14l9697,l,l,14xe" filled="t" fillcolor="black" stroked="f"/>
      </w:pict>
    </w:r>
    <w:r>
      <w:rPr>
        <w:rFonts w:ascii="Times New Roman" w:eastAsia="Times New Roman" w:hAnsi="Times New Roman" w:cs="Times New Roman"/>
        <w:spacing w:val="-1"/>
        <w:sz w:val="21"/>
        <w:szCs w:val="21"/>
      </w:rPr>
      <w:t>JJF</w:t>
    </w:r>
    <w:r>
      <w:rPr>
        <w:rFonts w:ascii="SimHei" w:eastAsia="SimHei" w:hAnsi="SimHei" w:cs="SimHei"/>
        <w:spacing w:val="-1"/>
        <w:sz w:val="21"/>
        <w:szCs w:val="21"/>
      </w:rPr>
      <w:t>（京）94-2022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62" style="width:484.9pt;height:0.75pt;margin-top:79.68pt;margin-left:55.2pt;mso-position-horizontal-relative:page;mso-position-vertical-relative:page;position:absolute;z-index:251671552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30"/>
      <w:rPr>
        <w:rFonts w:ascii="SimHei" w:eastAsia="SimHei" w:hAnsi="SimHei" w:cs="SimHei"/>
        <w:sz w:val="21"/>
        <w:szCs w:val="21"/>
      </w:rPr>
    </w:pPr>
    <w:r>
      <w:pict>
        <v:shape id="_x0000_s2063" style="width:484.9pt;height:0.75pt;margin-top:79.68pt;margin-left:55.2pt;mso-position-horizontal-relative:page;mso-position-vertical-relative:page;position:absolute;z-index:251672576" coordorigin="0,0" coordsize="9697,15" o:allowincell="f" path="m,14l9697,14l9697,l,l,14xe" filled="t" fillcolor="black" stroked="f"/>
      </w:pict>
    </w:r>
    <w:r>
      <w:rPr>
        <w:rFonts w:ascii="Times New Roman" w:eastAsia="Times New Roman" w:hAnsi="Times New Roman" w:cs="Times New Roman"/>
        <w:spacing w:val="-1"/>
        <w:sz w:val="21"/>
        <w:szCs w:val="21"/>
      </w:rPr>
      <w:t>JJF</w:t>
    </w:r>
    <w:r>
      <w:rPr>
        <w:rFonts w:ascii="SimHei" w:eastAsia="SimHei" w:hAnsi="SimHei" w:cs="SimHei"/>
        <w:spacing w:val="-1"/>
        <w:sz w:val="21"/>
        <w:szCs w:val="21"/>
      </w:rPr>
      <w:t>（京）94-2022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30"/>
      <w:rPr>
        <w:rFonts w:ascii="SimHei" w:eastAsia="SimHei" w:hAnsi="SimHei" w:cs="SimHei"/>
        <w:sz w:val="21"/>
        <w:szCs w:val="21"/>
      </w:rPr>
    </w:pPr>
    <w:r>
      <w:pict>
        <v:shape id="_x0000_s2064" style="width:484.9pt;height:0.75pt;margin-top:79.68pt;margin-left:55.2pt;mso-position-horizontal-relative:page;mso-position-vertical-relative:page;position:absolute;z-index:251673600" coordorigin="0,0" coordsize="9697,15" o:allowincell="f" path="m,14l9697,14l9697,l,l,14xe" filled="t" fillcolor="black" stroked="f"/>
      </w:pict>
    </w:r>
    <w:r>
      <w:rPr>
        <w:rFonts w:ascii="Times New Roman" w:eastAsia="Times New Roman" w:hAnsi="Times New Roman" w:cs="Times New Roman"/>
        <w:spacing w:val="-1"/>
        <w:sz w:val="21"/>
        <w:szCs w:val="21"/>
      </w:rPr>
      <w:t>JJF</w:t>
    </w:r>
    <w:r>
      <w:rPr>
        <w:rFonts w:ascii="SimHei" w:eastAsia="SimHei" w:hAnsi="SimHei" w:cs="SimHei"/>
        <w:spacing w:val="-1"/>
        <w:sz w:val="21"/>
        <w:szCs w:val="21"/>
      </w:rPr>
      <w:t>（京）94-2022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65" style="width:484.9pt;height:0.75pt;margin-top:79.68pt;margin-left:55.2pt;mso-position-horizontal-relative:page;mso-position-vertical-relative:page;position:absolute;z-index:251674624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4019"/>
      <w:rPr>
        <w:rFonts w:ascii="SimHei" w:eastAsia="SimHei" w:hAnsi="SimHei" w:cs="SimHei"/>
        <w:sz w:val="21"/>
        <w:szCs w:val="21"/>
      </w:rPr>
    </w:pPr>
    <w:r>
      <w:pict>
        <v:shape id="_x0000_s2066" style="width:484.9pt;height:0.75pt;margin-top:79.68pt;margin-left:55.2pt;mso-position-horizontal-relative:page;mso-position-vertical-relative:page;position:absolute;z-index:251675648" coordorigin="0,0" coordsize="9697,15" o:allowincell="f" path="m,14l9697,14l9697,l,l,14xe" filled="t" fillcolor="black" stroked="f"/>
      </w:pict>
    </w:r>
    <w:r>
      <w:rPr>
        <w:rFonts w:ascii="SimHei" w:eastAsia="SimHei" w:hAnsi="SimHei" w:cs="SimHei"/>
        <w:spacing w:val="-1"/>
        <w:sz w:val="21"/>
        <w:szCs w:val="21"/>
      </w:rPr>
      <w:t>JJF（京）94-2022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image" Target="media/image3.png" /><Relationship Id="rId27" Type="http://schemas.openxmlformats.org/officeDocument/2006/relationships/image" Target="media/image4.png" /><Relationship Id="rId28" Type="http://schemas.openxmlformats.org/officeDocument/2006/relationships/image" Target="media/image5.png" /><Relationship Id="rId29" Type="http://schemas.openxmlformats.org/officeDocument/2006/relationships/image" Target="media/image6.png" /><Relationship Id="rId3" Type="http://schemas.openxmlformats.org/officeDocument/2006/relationships/fontTable" Target="fontTable.xml" /><Relationship Id="rId30" Type="http://schemas.openxmlformats.org/officeDocument/2006/relationships/image" Target="media/image7.png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image" Target="media/image8.png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image" Target="media/image9.png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header" Target="header14.xml" /><Relationship Id="rId4" Type="http://schemas.openxmlformats.org/officeDocument/2006/relationships/image" Target="media/image1.jpeg" /><Relationship Id="rId40" Type="http://schemas.openxmlformats.org/officeDocument/2006/relationships/footer" Target="footer14.xml" /><Relationship Id="rId41" Type="http://schemas.openxmlformats.org/officeDocument/2006/relationships/header" Target="header15.xml" /><Relationship Id="rId42" Type="http://schemas.openxmlformats.org/officeDocument/2006/relationships/footer" Target="footer15.xml" /><Relationship Id="rId43" Type="http://schemas.openxmlformats.org/officeDocument/2006/relationships/image" Target="media/image10.png" /><Relationship Id="rId44" Type="http://schemas.openxmlformats.org/officeDocument/2006/relationships/image" Target="media/image11.png" /><Relationship Id="rId45" Type="http://schemas.openxmlformats.org/officeDocument/2006/relationships/header" Target="header16.xml" /><Relationship Id="rId46" Type="http://schemas.openxmlformats.org/officeDocument/2006/relationships/footer" Target="footer16.xml" /><Relationship Id="rId47" Type="http://schemas.openxmlformats.org/officeDocument/2006/relationships/header" Target="header17.xml" /><Relationship Id="rId48" Type="http://schemas.openxmlformats.org/officeDocument/2006/relationships/footer" Target="footer17.xml" /><Relationship Id="rId49" Type="http://schemas.openxmlformats.org/officeDocument/2006/relationships/image" Target="media/image12.png" /><Relationship Id="rId5" Type="http://schemas.openxmlformats.org/officeDocument/2006/relationships/header" Target="header1.xml" /><Relationship Id="rId50" Type="http://schemas.openxmlformats.org/officeDocument/2006/relationships/header" Target="header18.xml" /><Relationship Id="rId51" Type="http://schemas.openxmlformats.org/officeDocument/2006/relationships/footer" Target="footer18.xml" /><Relationship Id="rId52" Type="http://schemas.openxmlformats.org/officeDocument/2006/relationships/hyperlink" Target="https://d.book118.com/317051165156006051" TargetMode="External" /><Relationship Id="rId53" Type="http://schemas.openxmlformats.org/officeDocument/2006/relationships/header" Target="header19.xml" /><Relationship Id="rId54" Type="http://schemas.openxmlformats.org/officeDocument/2006/relationships/footer" Target="footer19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烷基汞分析仪校准规范</dc:title>
  <dc:creator>cw</dc:creator>
  <cp:revision>0</cp:revision>
  <dcterms:created xsi:type="dcterms:W3CDTF">2022-11-07T21:31:03Z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2024-03-12T10:43:53Z</vt:filetime>
  </property>
  <property fmtid="{D5CDD505-2E9C-101B-9397-08002B2CF9AE}" pid="3" name="CRO">
    <vt:lpwstr>wqlLaW5nc29mdCBQREYgdG8gV1BTIDEwMA</vt:lpwstr>
  </property>
</Properties>
</file>