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2024年廊坊燕京职业技术学院高职单招（英语／数学／语文）笔试历年真题摘选含答案解析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1.</w:t>
      </w:r>
      <w:r>
        <w:rPr>
          <w:rFonts w:ascii="黑体" w:eastAsia="黑体" w:hAnsi="黑体" w:cs="Times New Roman"/>
          <w:sz w:val="24"/>
          <w:lang w:val="en-US" w:eastAsia="ja-JP" w:bidi="ar-SA"/>
        </w:rPr>
        <w:t>先秦诸子中，善用“欲擒故纵，引君入彀”论辩手法的是（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A.孔子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B.孟子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C.老子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D.庄子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关于莫泊桑小说《米龙老爹》的表述，错误的一项是（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A.小说的背景是普法战争。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B.小说描述了普通法国农民米龙老爹孤身杀敌的故事。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C.小说通过心理描写展示了米龙老爹的内心世界。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D.小说采用倒叙的叙事方法。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“精神上的缺陷没有一种是不能由相当的学问来补救的”一语出自（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C.富兰克林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鲁迅用“史家之绝唱，无韵之《离骚》”赞美（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B.《春秋》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庄子认为在无限广大的宇宙中，个人的认识和作用是（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A.无限的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B.有限的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C.巨大的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D.重要的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“知识就是力量”这句名言出自（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B.罗素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D.马克思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古语“多行不义必自毙”出自（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https://d.book118.com/317054154112006052</w:t>
        </w:r>
      </w:hyperlink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31705415411200605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