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before="340" w:after="340" w:line="360" w:lineRule="auto"/>
        <w:jc w:val="center"/>
        <w:textAlignment w:val="auto"/>
        <w:rPr>
          <w:rFonts w:ascii="幼圆" w:eastAsia="幼圆" w:hAnsi="幼圆" w:cs="幼圆" w:hint="eastAsia"/>
          <w:b/>
          <w:bCs/>
        </w:rPr>
      </w:pPr>
      <w:r>
        <w:rPr>
          <w:rFonts w:ascii="幼圆" w:eastAsia="幼圆" w:hAnsi="幼圆" w:cs="幼圆" w:hint="eastAsia"/>
          <w:b/>
          <w:bCs/>
          <w:sz w:val="32"/>
          <w:szCs w:val="32"/>
          <w:lang w:val="en-US" w:eastAsia="zh-CN"/>
        </w:rPr>
        <w:t>华帝厨电家居高端定制厨卫公司应收账款研究</w:t>
      </w:r>
    </w:p>
    <w:p>
      <w:pPr>
        <w:keepNext w:val="0"/>
        <w:keepLines w:val="0"/>
        <w:pageBreakBefore w:val="0"/>
        <w:widowControl w:val="0"/>
        <w:kinsoku/>
        <w:wordWrap/>
        <w:overflowPunct/>
        <w:topLinePunct w:val="0"/>
        <w:autoSpaceDE/>
        <w:autoSpaceDN/>
        <w:bidi w:val="0"/>
        <w:adjustRightInd/>
        <w:snapToGrid/>
        <w:spacing w:before="340" w:beforeLines="0" w:after="340" w:afterLines="0" w:line="360" w:lineRule="auto"/>
        <w:ind w:left="0" w:right="0" w:firstLine="0" w:leftChars="0" w:rightChars="0" w:firstLineChars="0"/>
        <w:jc w:val="center"/>
        <w:textAlignment w:val="auto"/>
        <w:rPr>
          <w:rFonts w:ascii="幼圆" w:eastAsia="幼圆" w:hAnsi="幼圆" w:cs="幼圆" w:hint="eastAsia"/>
          <w:sz w:val="30"/>
          <w:szCs w:val="30"/>
        </w:rPr>
      </w:pPr>
      <w:r>
        <w:rPr>
          <w:rFonts w:ascii="幼圆" w:eastAsia="幼圆" w:hAnsi="幼圆" w:cs="幼圆" w:hint="eastAsia"/>
          <w:sz w:val="30"/>
          <w:szCs w:val="30"/>
        </w:rPr>
        <w:t>目</w:t>
      </w:r>
      <w:r>
        <w:rPr>
          <w:rFonts w:ascii="幼圆" w:eastAsia="幼圆" w:hAnsi="幼圆" w:cs="幼圆" w:hint="eastAsia"/>
          <w:sz w:val="30"/>
          <w:szCs w:val="30"/>
          <w:lang w:val="en-US" w:eastAsia="zh-CN"/>
        </w:rPr>
        <w:t xml:space="preserve">  </w:t>
      </w:r>
      <w:r>
        <w:rPr>
          <w:rFonts w:ascii="幼圆" w:eastAsia="幼圆" w:hAnsi="幼圆" w:cs="幼圆" w:hint="eastAsia"/>
          <w:sz w:val="30"/>
          <w:szCs w:val="30"/>
        </w:rPr>
        <w:t>录</w:t>
      </w:r>
    </w:p>
    <w:p>
      <w:pPr>
        <w:pStyle w:val="TOC2"/>
        <w:tabs>
          <w:tab w:val="right" w:leader="dot" w:pos="9184"/>
        </w:tabs>
      </w:pPr>
      <w:r>
        <w:rPr>
          <w:rFonts w:ascii="幼圆" w:eastAsia="幼圆" w:hAnsi="幼圆" w:cs="幼圆" w:hint="eastAsia"/>
          <w:sz w:val="24"/>
          <w:szCs w:val="24"/>
          <w:lang w:val="en-US" w:eastAsia="zh-CN"/>
        </w:rPr>
        <w:fldChar w:fldCharType="begin"/>
      </w:r>
      <w:r>
        <w:rPr>
          <w:rFonts w:ascii="幼圆" w:eastAsia="幼圆" w:hAnsi="幼圆" w:cs="幼圆" w:hint="eastAsia"/>
          <w:sz w:val="24"/>
          <w:szCs w:val="24"/>
          <w:lang w:val="en-US" w:eastAsia="zh-CN"/>
        </w:rPr>
        <w:instrText xml:space="preserve">TOC \o "1-3" \h \u </w:instrText>
      </w:r>
      <w:r>
        <w:rPr>
          <w:rFonts w:ascii="幼圆" w:eastAsia="幼圆" w:hAnsi="幼圆" w:cs="幼圆" w:hint="eastAsia"/>
          <w:sz w:val="24"/>
          <w:szCs w:val="24"/>
          <w:lang w:val="en-US" w:eastAsia="zh-CN"/>
        </w:rPr>
        <w:fldChar w:fldCharType="separate"/>
      </w:r>
      <w:hyperlink w:anchor="_Toc11634" w:history="1">
        <w:r>
          <w:rPr>
            <w:rFonts w:ascii="幼圆" w:eastAsia="幼圆" w:hAnsi="幼圆" w:cs="幼圆" w:hint="eastAsia"/>
            <w:szCs w:val="28"/>
            <w:lang w:val="en-US" w:eastAsia="zh-CN"/>
          </w:rPr>
          <w:t>1.1 选题背景及意义</w:t>
        </w:r>
        <w:r>
          <w:tab/>
        </w:r>
        <w:r>
          <w:fldChar w:fldCharType="begin"/>
        </w:r>
        <w:r>
          <w:instrText xml:space="preserve"> PAGEREF _Toc11634 \h </w:instrText>
        </w:r>
        <w:r>
          <w:fldChar w:fldCharType="separate"/>
        </w:r>
        <w:r>
          <w:t>2</w:t>
        </w:r>
        <w:r>
          <w:fldChar w:fldCharType="end"/>
        </w:r>
      </w:hyperlink>
    </w:p>
    <w:p>
      <w:pPr>
        <w:pStyle w:val="TOC3"/>
        <w:tabs>
          <w:tab w:val="right" w:leader="dot" w:pos="9184"/>
        </w:tabs>
      </w:pPr>
      <w:hyperlink w:anchor="_Toc17034" w:history="1">
        <w:r>
          <w:rPr>
            <w:rFonts w:ascii="幼圆" w:eastAsia="幼圆" w:hAnsi="幼圆" w:cs="幼圆" w:hint="eastAsia"/>
            <w:szCs w:val="28"/>
            <w:lang w:val="en-US" w:eastAsia="zh-CN"/>
          </w:rPr>
          <w:t>1.1.1 选题背景</w:t>
        </w:r>
        <w:r>
          <w:tab/>
        </w:r>
        <w:r>
          <w:fldChar w:fldCharType="begin"/>
        </w:r>
        <w:r>
          <w:instrText xml:space="preserve"> PAGEREF _Toc17034 \h </w:instrText>
        </w:r>
        <w:r>
          <w:fldChar w:fldCharType="separate"/>
        </w:r>
        <w:r>
          <w:t>2</w:t>
        </w:r>
        <w:r>
          <w:fldChar w:fldCharType="end"/>
        </w:r>
      </w:hyperlink>
    </w:p>
    <w:p>
      <w:pPr>
        <w:pStyle w:val="TOC3"/>
        <w:tabs>
          <w:tab w:val="right" w:leader="dot" w:pos="9184"/>
        </w:tabs>
      </w:pPr>
      <w:hyperlink w:anchor="_Toc26299" w:history="1">
        <w:r>
          <w:rPr>
            <w:rFonts w:ascii="幼圆" w:eastAsia="幼圆" w:hAnsi="幼圆" w:cs="幼圆" w:hint="eastAsia"/>
            <w:szCs w:val="28"/>
            <w:lang w:val="en-US" w:eastAsia="zh-CN"/>
          </w:rPr>
          <w:t>1.1.2 选题意义</w:t>
        </w:r>
        <w:r>
          <w:tab/>
        </w:r>
        <w:r>
          <w:fldChar w:fldCharType="begin"/>
        </w:r>
        <w:r>
          <w:instrText xml:space="preserve"> PAGEREF _Toc26299 \h </w:instrText>
        </w:r>
        <w:r>
          <w:fldChar w:fldCharType="separate"/>
        </w:r>
        <w:r>
          <w:t>2</w:t>
        </w:r>
        <w:r>
          <w:fldChar w:fldCharType="end"/>
        </w:r>
      </w:hyperlink>
    </w:p>
    <w:p>
      <w:pPr>
        <w:pStyle w:val="TOC2"/>
        <w:tabs>
          <w:tab w:val="right" w:leader="dot" w:pos="9184"/>
        </w:tabs>
      </w:pPr>
      <w:hyperlink w:anchor="_Toc14895" w:history="1">
        <w:r>
          <w:rPr>
            <w:rFonts w:ascii="幼圆" w:eastAsia="幼圆" w:hAnsi="幼圆" w:cs="幼圆" w:hint="eastAsia"/>
            <w:szCs w:val="28"/>
            <w:lang w:val="en-US" w:eastAsia="zh-CN"/>
          </w:rPr>
          <w:t>1.2 国内外研究现状</w:t>
        </w:r>
        <w:r>
          <w:tab/>
        </w:r>
        <w:r>
          <w:fldChar w:fldCharType="begin"/>
        </w:r>
        <w:r>
          <w:instrText xml:space="preserve"> PAGEREF _Toc14895 \h </w:instrText>
        </w:r>
        <w:r>
          <w:fldChar w:fldCharType="separate"/>
        </w:r>
        <w:r>
          <w:t>3</w:t>
        </w:r>
        <w:r>
          <w:fldChar w:fldCharType="end"/>
        </w:r>
      </w:hyperlink>
    </w:p>
    <w:p>
      <w:pPr>
        <w:pStyle w:val="TOC3"/>
        <w:tabs>
          <w:tab w:val="right" w:leader="dot" w:pos="9184"/>
        </w:tabs>
      </w:pPr>
      <w:hyperlink w:anchor="_Toc107" w:history="1">
        <w:r>
          <w:rPr>
            <w:rFonts w:ascii="幼圆" w:eastAsia="幼圆" w:hAnsi="幼圆" w:cs="幼圆" w:hint="eastAsia"/>
            <w:szCs w:val="28"/>
            <w:lang w:val="en-US" w:eastAsia="zh-CN"/>
          </w:rPr>
          <w:t>1.2.1 国内研究现状</w:t>
        </w:r>
        <w:r>
          <w:tab/>
        </w:r>
        <w:r>
          <w:fldChar w:fldCharType="begin"/>
        </w:r>
        <w:r>
          <w:instrText xml:space="preserve"> PAGEREF _Toc107 \h </w:instrText>
        </w:r>
        <w:r>
          <w:fldChar w:fldCharType="separate"/>
        </w:r>
        <w:r>
          <w:t>3</w:t>
        </w:r>
        <w:r>
          <w:fldChar w:fldCharType="end"/>
        </w:r>
      </w:hyperlink>
    </w:p>
    <w:p>
      <w:pPr>
        <w:pStyle w:val="TOC3"/>
        <w:tabs>
          <w:tab w:val="right" w:leader="dot" w:pos="9184"/>
        </w:tabs>
      </w:pPr>
      <w:hyperlink w:anchor="_Toc10721" w:history="1">
        <w:r>
          <w:rPr>
            <w:rFonts w:ascii="幼圆" w:eastAsia="幼圆" w:hAnsi="幼圆" w:cs="幼圆" w:hint="eastAsia"/>
            <w:szCs w:val="28"/>
            <w:lang w:val="en-US" w:eastAsia="zh-CN"/>
          </w:rPr>
          <w:t>1.2.2 国外研究现状</w:t>
        </w:r>
        <w:r>
          <w:tab/>
        </w:r>
        <w:r>
          <w:fldChar w:fldCharType="begin"/>
        </w:r>
        <w:r>
          <w:instrText xml:space="preserve"> PAGEREF _Toc10721 \h </w:instrText>
        </w:r>
        <w:r>
          <w:fldChar w:fldCharType="separate"/>
        </w:r>
        <w:r>
          <w:t>4</w:t>
        </w:r>
        <w:r>
          <w:fldChar w:fldCharType="end"/>
        </w:r>
      </w:hyperlink>
    </w:p>
    <w:p>
      <w:pPr>
        <w:pStyle w:val="TOC2"/>
        <w:tabs>
          <w:tab w:val="right" w:leader="dot" w:pos="9184"/>
        </w:tabs>
      </w:pPr>
      <w:hyperlink w:anchor="_Toc16172" w:history="1">
        <w:r>
          <w:rPr>
            <w:rFonts w:ascii="幼圆" w:eastAsia="幼圆" w:hAnsi="幼圆" w:cs="幼圆" w:hint="eastAsia"/>
            <w:szCs w:val="28"/>
            <w:lang w:val="en-US" w:eastAsia="zh-CN"/>
          </w:rPr>
          <w:t>1.3 研究方法</w:t>
        </w:r>
        <w:r>
          <w:tab/>
        </w:r>
        <w:r>
          <w:fldChar w:fldCharType="begin"/>
        </w:r>
        <w:r>
          <w:instrText xml:space="preserve"> PAGEREF _Toc16172 \h </w:instrText>
        </w:r>
        <w:r>
          <w:fldChar w:fldCharType="separate"/>
        </w:r>
        <w:r>
          <w:t>5</w:t>
        </w:r>
        <w:r>
          <w:fldChar w:fldCharType="end"/>
        </w:r>
      </w:hyperlink>
    </w:p>
    <w:p>
      <w:pPr>
        <w:pStyle w:val="TOC1"/>
        <w:tabs>
          <w:tab w:val="right" w:leader="dot" w:pos="9184"/>
        </w:tabs>
      </w:pPr>
      <w:hyperlink w:anchor="_Toc30646" w:history="1">
        <w:r>
          <w:rPr>
            <w:rFonts w:ascii="幼圆" w:eastAsia="幼圆" w:hAnsi="幼圆" w:cs="幼圆" w:hint="eastAsia"/>
            <w:szCs w:val="30"/>
            <w:lang w:val="en-US" w:eastAsia="zh-CN"/>
          </w:rPr>
          <w:t>2 应收账款管理相关概念及理论基础</w:t>
        </w:r>
        <w:r>
          <w:tab/>
        </w:r>
        <w:r>
          <w:fldChar w:fldCharType="begin"/>
        </w:r>
        <w:r>
          <w:instrText xml:space="preserve"> PAGEREF _Toc30646 \h </w:instrText>
        </w:r>
        <w:r>
          <w:fldChar w:fldCharType="separate"/>
        </w:r>
        <w:r>
          <w:t>5</w:t>
        </w:r>
        <w:r>
          <w:fldChar w:fldCharType="end"/>
        </w:r>
      </w:hyperlink>
    </w:p>
    <w:p>
      <w:pPr>
        <w:pStyle w:val="TOC2"/>
        <w:tabs>
          <w:tab w:val="right" w:leader="dot" w:pos="9184"/>
        </w:tabs>
      </w:pPr>
      <w:hyperlink w:anchor="_Toc7306" w:history="1">
        <w:r>
          <w:rPr>
            <w:rFonts w:ascii="幼圆" w:eastAsia="幼圆" w:hAnsi="幼圆" w:cs="幼圆" w:hint="eastAsia"/>
            <w:szCs w:val="28"/>
            <w:lang w:val="en-US" w:eastAsia="zh-CN"/>
          </w:rPr>
          <w:t>2.1 应收账款管理相关概念</w:t>
        </w:r>
        <w:r>
          <w:tab/>
        </w:r>
        <w:r>
          <w:fldChar w:fldCharType="begin"/>
        </w:r>
        <w:r>
          <w:instrText xml:space="preserve"> PAGEREF _Toc7306 \h </w:instrText>
        </w:r>
        <w:r>
          <w:fldChar w:fldCharType="separate"/>
        </w:r>
        <w:r>
          <w:t>5</w:t>
        </w:r>
        <w:r>
          <w:fldChar w:fldCharType="end"/>
        </w:r>
      </w:hyperlink>
    </w:p>
    <w:p>
      <w:pPr>
        <w:pStyle w:val="TOC3"/>
        <w:tabs>
          <w:tab w:val="right" w:leader="dot" w:pos="9184"/>
        </w:tabs>
      </w:pPr>
      <w:hyperlink w:anchor="_Toc23464" w:history="1">
        <w:r>
          <w:rPr>
            <w:rFonts w:ascii="幼圆" w:eastAsia="幼圆" w:hAnsi="幼圆" w:cs="幼圆" w:hint="eastAsia"/>
            <w:szCs w:val="28"/>
            <w:lang w:val="en-US" w:eastAsia="zh-CN"/>
          </w:rPr>
          <w:t>2.1.1 应收账款定义</w:t>
        </w:r>
        <w:r>
          <w:tab/>
        </w:r>
        <w:r>
          <w:fldChar w:fldCharType="begin"/>
        </w:r>
        <w:r>
          <w:instrText xml:space="preserve"> PAGEREF _Toc23464 \h </w:instrText>
        </w:r>
        <w:r>
          <w:fldChar w:fldCharType="separate"/>
        </w:r>
        <w:r>
          <w:t>5</w:t>
        </w:r>
        <w:r>
          <w:fldChar w:fldCharType="end"/>
        </w:r>
      </w:hyperlink>
    </w:p>
    <w:p>
      <w:pPr>
        <w:pStyle w:val="TOC3"/>
        <w:tabs>
          <w:tab w:val="right" w:leader="dot" w:pos="9184"/>
        </w:tabs>
      </w:pPr>
      <w:hyperlink w:anchor="_Toc2733" w:history="1">
        <w:r>
          <w:rPr>
            <w:rFonts w:ascii="幼圆" w:eastAsia="幼圆" w:hAnsi="幼圆" w:cs="幼圆" w:hint="eastAsia"/>
            <w:szCs w:val="28"/>
            <w:lang w:val="en-US" w:eastAsia="zh-CN"/>
          </w:rPr>
          <w:t>2.1.2应收账款管理目标</w:t>
        </w:r>
        <w:r>
          <w:tab/>
        </w:r>
        <w:r>
          <w:fldChar w:fldCharType="begin"/>
        </w:r>
        <w:r>
          <w:instrText xml:space="preserve"> PAGEREF _Toc2733 \h </w:instrText>
        </w:r>
        <w:r>
          <w:fldChar w:fldCharType="separate"/>
        </w:r>
        <w:r>
          <w:t>6</w:t>
        </w:r>
        <w:r>
          <w:fldChar w:fldCharType="end"/>
        </w:r>
      </w:hyperlink>
    </w:p>
    <w:p>
      <w:pPr>
        <w:pStyle w:val="TOC2"/>
        <w:tabs>
          <w:tab w:val="right" w:leader="dot" w:pos="9184"/>
        </w:tabs>
      </w:pPr>
      <w:hyperlink w:anchor="_Toc6389" w:history="1">
        <w:r>
          <w:rPr>
            <w:rFonts w:ascii="幼圆" w:eastAsia="幼圆" w:hAnsi="幼圆" w:cs="幼圆" w:hint="eastAsia"/>
            <w:szCs w:val="28"/>
            <w:lang w:val="en-US" w:eastAsia="zh-CN"/>
          </w:rPr>
          <w:t>2.2 理论基础</w:t>
        </w:r>
        <w:r>
          <w:tab/>
        </w:r>
        <w:r>
          <w:fldChar w:fldCharType="begin"/>
        </w:r>
        <w:r>
          <w:instrText xml:space="preserve"> PAGEREF _Toc6389 \h </w:instrText>
        </w:r>
        <w:r>
          <w:fldChar w:fldCharType="separate"/>
        </w:r>
        <w:r>
          <w:t>6</w:t>
        </w:r>
        <w:r>
          <w:fldChar w:fldCharType="end"/>
        </w:r>
      </w:hyperlink>
    </w:p>
    <w:p>
      <w:pPr>
        <w:pStyle w:val="TOC3"/>
        <w:tabs>
          <w:tab w:val="right" w:leader="dot" w:pos="9184"/>
        </w:tabs>
      </w:pPr>
      <w:hyperlink w:anchor="_Toc15045" w:history="1">
        <w:r>
          <w:rPr>
            <w:rFonts w:ascii="幼圆" w:eastAsia="幼圆" w:hAnsi="幼圆" w:cs="幼圆" w:hint="eastAsia"/>
            <w:szCs w:val="28"/>
            <w:lang w:val="en-US" w:eastAsia="zh-CN"/>
          </w:rPr>
          <w:t>2.2.1信用管理理论</w:t>
        </w:r>
        <w:r>
          <w:tab/>
        </w:r>
        <w:r>
          <w:fldChar w:fldCharType="begin"/>
        </w:r>
        <w:r>
          <w:instrText xml:space="preserve"> PAGEREF _Toc15045 \h </w:instrText>
        </w:r>
        <w:r>
          <w:fldChar w:fldCharType="separate"/>
        </w:r>
        <w:r>
          <w:t>6</w:t>
        </w:r>
        <w:r>
          <w:fldChar w:fldCharType="end"/>
        </w:r>
      </w:hyperlink>
    </w:p>
    <w:p>
      <w:pPr>
        <w:pStyle w:val="TOC3"/>
        <w:tabs>
          <w:tab w:val="right" w:leader="dot" w:pos="9184"/>
        </w:tabs>
      </w:pPr>
      <w:hyperlink w:anchor="_Toc21325" w:history="1">
        <w:r>
          <w:rPr>
            <w:rFonts w:ascii="幼圆" w:eastAsia="幼圆" w:hAnsi="幼圆" w:cs="幼圆" w:hint="eastAsia"/>
            <w:szCs w:val="28"/>
            <w:lang w:val="en-US" w:eastAsia="zh-CN"/>
          </w:rPr>
          <w:t>2.2.2风险管理理论</w:t>
        </w:r>
        <w:r>
          <w:tab/>
        </w:r>
        <w:r>
          <w:fldChar w:fldCharType="begin"/>
        </w:r>
        <w:r>
          <w:instrText xml:space="preserve"> PAGEREF _Toc21325 \h </w:instrText>
        </w:r>
        <w:r>
          <w:fldChar w:fldCharType="separate"/>
        </w:r>
        <w:r>
          <w:t>6</w:t>
        </w:r>
        <w:r>
          <w:fldChar w:fldCharType="end"/>
        </w:r>
      </w:hyperlink>
    </w:p>
    <w:p>
      <w:pPr>
        <w:pStyle w:val="TOC1"/>
        <w:tabs>
          <w:tab w:val="right" w:leader="dot" w:pos="9184"/>
        </w:tabs>
      </w:pPr>
      <w:hyperlink w:anchor="_Toc9214" w:history="1">
        <w:r>
          <w:rPr>
            <w:rFonts w:ascii="幼圆" w:eastAsia="幼圆" w:hAnsi="幼圆" w:cs="幼圆" w:hint="eastAsia"/>
            <w:szCs w:val="30"/>
            <w:lang w:val="en-US" w:eastAsia="zh-CN"/>
          </w:rPr>
          <w:t>3华帝厨电家居高端定制厨卫公司应收账款管理现状</w:t>
        </w:r>
        <w:r>
          <w:tab/>
        </w:r>
        <w:r>
          <w:fldChar w:fldCharType="begin"/>
        </w:r>
        <w:r>
          <w:instrText xml:space="preserve"> PAGEREF _Toc9214 \h </w:instrText>
        </w:r>
        <w:r>
          <w:fldChar w:fldCharType="separate"/>
        </w:r>
        <w:r>
          <w:t>7</w:t>
        </w:r>
        <w:r>
          <w:fldChar w:fldCharType="end"/>
        </w:r>
      </w:hyperlink>
    </w:p>
    <w:p>
      <w:pPr>
        <w:pStyle w:val="TOC2"/>
        <w:tabs>
          <w:tab w:val="right" w:leader="dot" w:pos="9184"/>
        </w:tabs>
      </w:pPr>
      <w:hyperlink w:anchor="_Toc26237" w:history="1">
        <w:r>
          <w:rPr>
            <w:rFonts w:ascii="幼圆" w:eastAsia="幼圆" w:hAnsi="幼圆" w:cs="幼圆" w:hint="eastAsia"/>
            <w:szCs w:val="28"/>
            <w:lang w:val="en-US" w:eastAsia="zh-CN"/>
          </w:rPr>
          <w:t>3.1华帝厨电家居高端定制厨卫公司简介</w:t>
        </w:r>
        <w:r>
          <w:tab/>
        </w:r>
        <w:r>
          <w:fldChar w:fldCharType="begin"/>
        </w:r>
        <w:r>
          <w:instrText xml:space="preserve"> PAGEREF _Toc26237 \h </w:instrText>
        </w:r>
        <w:r>
          <w:fldChar w:fldCharType="separate"/>
        </w:r>
        <w:r>
          <w:t>7</w:t>
        </w:r>
        <w:r>
          <w:fldChar w:fldCharType="end"/>
        </w:r>
      </w:hyperlink>
    </w:p>
    <w:p>
      <w:pPr>
        <w:pStyle w:val="TOC2"/>
        <w:tabs>
          <w:tab w:val="right" w:leader="dot" w:pos="9184"/>
        </w:tabs>
      </w:pPr>
      <w:hyperlink w:anchor="_Toc14074" w:history="1">
        <w:r>
          <w:rPr>
            <w:rFonts w:ascii="幼圆" w:eastAsia="幼圆" w:hAnsi="幼圆" w:cs="幼圆" w:hint="eastAsia"/>
            <w:szCs w:val="28"/>
            <w:lang w:val="en-US" w:eastAsia="zh-CN"/>
          </w:rPr>
          <w:t>3.2华帝厨电家居高端定制厨卫公司应收账款管理现状</w:t>
        </w:r>
        <w:r>
          <w:tab/>
        </w:r>
        <w:r>
          <w:fldChar w:fldCharType="begin"/>
        </w:r>
        <w:r>
          <w:instrText xml:space="preserve"> PAGEREF _Toc14074 \h </w:instrText>
        </w:r>
        <w:r>
          <w:fldChar w:fldCharType="separate"/>
        </w:r>
        <w:r>
          <w:t>8</w:t>
        </w:r>
        <w:r>
          <w:fldChar w:fldCharType="end"/>
        </w:r>
      </w:hyperlink>
    </w:p>
    <w:p>
      <w:pPr>
        <w:pStyle w:val="TOC3"/>
        <w:tabs>
          <w:tab w:val="right" w:leader="dot" w:pos="9184"/>
        </w:tabs>
      </w:pPr>
      <w:hyperlink w:anchor="_Toc7299" w:history="1">
        <w:r>
          <w:rPr>
            <w:rFonts w:ascii="幼圆" w:eastAsia="幼圆" w:hAnsi="幼圆" w:cs="幼圆" w:hint="eastAsia"/>
            <w:szCs w:val="28"/>
            <w:lang w:val="en-US" w:eastAsia="zh-CN"/>
          </w:rPr>
          <w:t>3.2.1应收账款总量大，且增长率高</w:t>
        </w:r>
        <w:r>
          <w:tab/>
        </w:r>
        <w:r>
          <w:fldChar w:fldCharType="begin"/>
        </w:r>
        <w:r>
          <w:instrText xml:space="preserve"> PAGEREF _Toc7299 \h </w:instrText>
        </w:r>
        <w:r>
          <w:fldChar w:fldCharType="separate"/>
        </w:r>
        <w:r>
          <w:t>8</w:t>
        </w:r>
        <w:r>
          <w:fldChar w:fldCharType="end"/>
        </w:r>
      </w:hyperlink>
    </w:p>
    <w:p>
      <w:pPr>
        <w:pStyle w:val="TOC3"/>
        <w:tabs>
          <w:tab w:val="right" w:leader="dot" w:pos="9184"/>
        </w:tabs>
      </w:pPr>
      <w:hyperlink w:anchor="_Toc18971" w:history="1">
        <w:r>
          <w:rPr>
            <w:rFonts w:ascii="幼圆" w:eastAsia="幼圆" w:hAnsi="幼圆" w:cs="幼圆" w:hint="eastAsia"/>
            <w:szCs w:val="28"/>
            <w:lang w:val="en-US" w:eastAsia="zh-CN"/>
          </w:rPr>
          <w:t>3.2.2应收账款周转率低，影响资金周转</w:t>
        </w:r>
        <w:r>
          <w:tab/>
        </w:r>
        <w:r>
          <w:fldChar w:fldCharType="begin"/>
        </w:r>
        <w:r>
          <w:instrText xml:space="preserve"> PAGEREF _Toc18971 \h </w:instrText>
        </w:r>
        <w:r>
          <w:fldChar w:fldCharType="separate"/>
        </w:r>
        <w:r>
          <w:t>8</w:t>
        </w:r>
        <w:r>
          <w:fldChar w:fldCharType="end"/>
        </w:r>
      </w:hyperlink>
    </w:p>
    <w:p>
      <w:pPr>
        <w:pStyle w:val="TOC3"/>
        <w:tabs>
          <w:tab w:val="right" w:leader="dot" w:pos="9184"/>
        </w:tabs>
      </w:pPr>
      <w:hyperlink w:anchor="_Toc15658" w:history="1">
        <w:r>
          <w:rPr>
            <w:rFonts w:ascii="幼圆" w:eastAsia="幼圆" w:hAnsi="幼圆" w:cs="幼圆" w:hint="eastAsia"/>
            <w:szCs w:val="28"/>
            <w:lang w:val="en-US" w:eastAsia="zh-CN"/>
          </w:rPr>
          <w:t>3.2.3应收账款占流动资产比重过大</w:t>
        </w:r>
        <w:r>
          <w:tab/>
        </w:r>
        <w:r>
          <w:fldChar w:fldCharType="begin"/>
        </w:r>
        <w:r>
          <w:instrText xml:space="preserve"> PAGEREF _Toc15658 \h </w:instrText>
        </w:r>
        <w:r>
          <w:fldChar w:fldCharType="separate"/>
        </w:r>
        <w:r>
          <w:t>9</w:t>
        </w:r>
        <w:r>
          <w:fldChar w:fldCharType="end"/>
        </w:r>
      </w:hyperlink>
    </w:p>
    <w:p>
      <w:pPr>
        <w:pStyle w:val="TOC3"/>
        <w:tabs>
          <w:tab w:val="right" w:leader="dot" w:pos="9184"/>
        </w:tabs>
      </w:pPr>
      <w:hyperlink w:anchor="_Toc27944" w:history="1">
        <w:r>
          <w:rPr>
            <w:rFonts w:ascii="幼圆" w:eastAsia="幼圆" w:hAnsi="幼圆" w:cs="幼圆" w:hint="eastAsia"/>
            <w:szCs w:val="28"/>
            <w:lang w:val="en-US" w:eastAsia="zh-CN"/>
          </w:rPr>
          <w:t>3.2.4公司赊销现销状况较差</w:t>
        </w:r>
        <w:r>
          <w:tab/>
        </w:r>
        <w:r>
          <w:fldChar w:fldCharType="begin"/>
        </w:r>
        <w:r>
          <w:instrText xml:space="preserve"> PAGEREF _Toc27944 \h </w:instrText>
        </w:r>
        <w:r>
          <w:fldChar w:fldCharType="separate"/>
        </w:r>
        <w:r>
          <w:t>9</w:t>
        </w:r>
        <w:r>
          <w:fldChar w:fldCharType="end"/>
        </w:r>
      </w:hyperlink>
    </w:p>
    <w:p>
      <w:pPr>
        <w:pStyle w:val="TOC2"/>
        <w:tabs>
          <w:tab w:val="right" w:leader="dot" w:pos="9184"/>
        </w:tabs>
      </w:pPr>
      <w:hyperlink w:anchor="_Toc2975" w:history="1">
        <w:r>
          <w:rPr>
            <w:rFonts w:ascii="幼圆" w:eastAsia="幼圆" w:hAnsi="幼圆" w:cs="幼圆" w:hint="eastAsia"/>
            <w:szCs w:val="28"/>
            <w:lang w:val="en-US" w:eastAsia="zh-CN"/>
          </w:rPr>
          <w:t>3.3华帝厨电家居高端定制厨卫公司应收账款管理中存在的问题</w:t>
        </w:r>
        <w:r>
          <w:tab/>
        </w:r>
        <w:r>
          <w:fldChar w:fldCharType="begin"/>
        </w:r>
        <w:r>
          <w:instrText xml:space="preserve"> PAGEREF _Toc2975 \h </w:instrText>
        </w:r>
        <w:r>
          <w:fldChar w:fldCharType="separate"/>
        </w:r>
        <w:r>
          <w:t>10</w:t>
        </w:r>
        <w:r>
          <w:fldChar w:fldCharType="end"/>
        </w:r>
      </w:hyperlink>
    </w:p>
    <w:p>
      <w:pPr>
        <w:pStyle w:val="TOC3"/>
        <w:tabs>
          <w:tab w:val="right" w:leader="dot" w:pos="9184"/>
        </w:tabs>
      </w:pPr>
      <w:hyperlink w:anchor="_Toc1809" w:history="1">
        <w:r>
          <w:rPr>
            <w:rFonts w:ascii="幼圆" w:eastAsia="幼圆" w:hAnsi="幼圆" w:cs="幼圆" w:hint="eastAsia"/>
            <w:szCs w:val="28"/>
            <w:lang w:val="en-US" w:eastAsia="zh-CN"/>
          </w:rPr>
          <w:t>3.3.1应收账款周转率较低</w:t>
        </w:r>
        <w:r>
          <w:tab/>
        </w:r>
        <w:r>
          <w:fldChar w:fldCharType="begin"/>
        </w:r>
        <w:r>
          <w:instrText xml:space="preserve"> PAGEREF _Toc1809 \h </w:instrText>
        </w:r>
        <w:r>
          <w:fldChar w:fldCharType="separate"/>
        </w:r>
        <w:r>
          <w:t>10</w:t>
        </w:r>
        <w:r>
          <w:fldChar w:fldCharType="end"/>
        </w:r>
      </w:hyperlink>
    </w:p>
    <w:p>
      <w:pPr>
        <w:pStyle w:val="TOC3"/>
        <w:tabs>
          <w:tab w:val="right" w:leader="dot" w:pos="9184"/>
        </w:tabs>
      </w:pPr>
      <w:hyperlink w:anchor="_Toc10661" w:history="1">
        <w:r>
          <w:rPr>
            <w:rFonts w:ascii="幼圆" w:eastAsia="幼圆" w:hAnsi="幼圆" w:cs="幼圆" w:hint="eastAsia"/>
            <w:szCs w:val="28"/>
            <w:lang w:val="en-US" w:eastAsia="zh-CN"/>
          </w:rPr>
          <w:t>3.3.2应收账款坏账损失严重</w:t>
        </w:r>
        <w:r>
          <w:tab/>
        </w:r>
        <w:r>
          <w:fldChar w:fldCharType="begin"/>
        </w:r>
        <w:r>
          <w:instrText xml:space="preserve"> PAGEREF _Toc10661 \h </w:instrText>
        </w:r>
        <w:r>
          <w:fldChar w:fldCharType="separate"/>
        </w:r>
        <w:r>
          <w:t>11</w:t>
        </w:r>
        <w:r>
          <w:fldChar w:fldCharType="end"/>
        </w:r>
      </w:hyperlink>
    </w:p>
    <w:p>
      <w:pPr>
        <w:pStyle w:val="TOC3"/>
        <w:tabs>
          <w:tab w:val="right" w:leader="dot" w:pos="9184"/>
        </w:tabs>
      </w:pPr>
      <w:hyperlink w:anchor="_Toc30431" w:history="1">
        <w:r>
          <w:rPr>
            <w:rFonts w:ascii="幼圆" w:eastAsia="幼圆" w:hAnsi="幼圆" w:cs="幼圆" w:hint="eastAsia"/>
            <w:szCs w:val="28"/>
            <w:lang w:val="en-US" w:eastAsia="zh-CN"/>
          </w:rPr>
          <w:t>3.3.3对于应收账款管理责任不清晰</w:t>
        </w:r>
        <w:r>
          <w:tab/>
        </w:r>
        <w:r>
          <w:fldChar w:fldCharType="begin"/>
        </w:r>
        <w:r>
          <w:instrText xml:space="preserve"> PAGEREF _Toc30431 \h </w:instrText>
        </w:r>
        <w:r>
          <w:fldChar w:fldCharType="separate"/>
        </w:r>
        <w:r>
          <w:t>12</w:t>
        </w:r>
        <w:r>
          <w:fldChar w:fldCharType="end"/>
        </w:r>
      </w:hyperlink>
    </w:p>
    <w:p>
      <w:pPr>
        <w:pStyle w:val="TOC3"/>
        <w:tabs>
          <w:tab w:val="right" w:leader="dot" w:pos="9184"/>
        </w:tabs>
      </w:pPr>
      <w:hyperlink w:anchor="_Toc21826" w:history="1">
        <w:r>
          <w:rPr>
            <w:rFonts w:ascii="幼圆" w:eastAsia="幼圆" w:hAnsi="幼圆" w:cs="幼圆" w:hint="eastAsia"/>
            <w:szCs w:val="28"/>
            <w:lang w:val="en-US" w:eastAsia="zh-CN"/>
          </w:rPr>
          <w:t>3.3.4应收账款管理风险防范意识不强</w:t>
        </w:r>
        <w:r>
          <w:tab/>
        </w:r>
        <w:r>
          <w:fldChar w:fldCharType="begin"/>
        </w:r>
        <w:r>
          <w:instrText xml:space="preserve"> PAGEREF _Toc21826 \h </w:instrText>
        </w:r>
        <w:r>
          <w:fldChar w:fldCharType="separate"/>
        </w:r>
        <w:r>
          <w:t>14</w:t>
        </w:r>
        <w:r>
          <w:fldChar w:fldCharType="end"/>
        </w:r>
      </w:hyperlink>
    </w:p>
    <w:p>
      <w:pPr>
        <w:pStyle w:val="TOC1"/>
        <w:tabs>
          <w:tab w:val="right" w:leader="dot" w:pos="9184"/>
        </w:tabs>
      </w:pPr>
      <w:hyperlink w:anchor="_Toc30993" w:history="1">
        <w:r>
          <w:rPr>
            <w:rFonts w:ascii="幼圆" w:eastAsia="幼圆" w:hAnsi="幼圆" w:cs="幼圆" w:hint="eastAsia"/>
            <w:szCs w:val="30"/>
            <w:lang w:val="en-US" w:eastAsia="zh-CN"/>
          </w:rPr>
          <w:t>4华帝厨电家居高端定制厨卫公司应收账款管理的对策</w:t>
        </w:r>
        <w:r>
          <w:tab/>
        </w:r>
        <w:r>
          <w:fldChar w:fldCharType="begin"/>
        </w:r>
        <w:r>
          <w:instrText xml:space="preserve"> PAGEREF _Toc30993 \h </w:instrText>
        </w:r>
        <w:r>
          <w:fldChar w:fldCharType="separate"/>
        </w:r>
        <w:r>
          <w:t>14</w:t>
        </w:r>
        <w:r>
          <w:fldChar w:fldCharType="end"/>
        </w:r>
      </w:hyperlink>
    </w:p>
    <w:p>
      <w:pPr>
        <w:pStyle w:val="TOC2"/>
        <w:tabs>
          <w:tab w:val="right" w:leader="dot" w:pos="9184"/>
        </w:tabs>
      </w:pPr>
      <w:hyperlink w:anchor="_Toc23852" w:history="1">
        <w:r>
          <w:rPr>
            <w:rFonts w:ascii="幼圆" w:eastAsia="幼圆" w:hAnsi="幼圆" w:cs="幼圆" w:hint="eastAsia"/>
            <w:szCs w:val="28"/>
            <w:lang w:val="en-US" w:eastAsia="zh-CN"/>
          </w:rPr>
          <w:t>4.1合同约定付款期限</w:t>
        </w:r>
        <w:r>
          <w:tab/>
        </w:r>
        <w:r>
          <w:fldChar w:fldCharType="begin"/>
        </w:r>
        <w:r>
          <w:instrText xml:space="preserve"> PAGEREF _Toc23852 \h </w:instrText>
        </w:r>
        <w:r>
          <w:fldChar w:fldCharType="separate"/>
        </w:r>
        <w:r>
          <w:t>14</w:t>
        </w:r>
        <w:r>
          <w:fldChar w:fldCharType="end"/>
        </w:r>
      </w:hyperlink>
    </w:p>
    <w:p>
      <w:pPr>
        <w:pStyle w:val="TOC2"/>
        <w:tabs>
          <w:tab w:val="right" w:leader="dot" w:pos="9184"/>
        </w:tabs>
      </w:pPr>
      <w:hyperlink w:anchor="_Toc23797" w:history="1">
        <w:r>
          <w:rPr>
            <w:rFonts w:ascii="幼圆" w:eastAsia="幼圆" w:hAnsi="幼圆" w:cs="幼圆" w:hint="eastAsia"/>
            <w:szCs w:val="28"/>
            <w:lang w:val="en-US" w:eastAsia="zh-CN"/>
          </w:rPr>
          <w:t>4.2建立合理的赊销管理制度</w:t>
        </w:r>
        <w:r>
          <w:tab/>
        </w:r>
        <w:r>
          <w:fldChar w:fldCharType="begin"/>
        </w:r>
        <w:r>
          <w:instrText xml:space="preserve"> PAGEREF _Toc23797 \h </w:instrText>
        </w:r>
        <w:r>
          <w:fldChar w:fldCharType="separate"/>
        </w:r>
        <w:r>
          <w:t>15</w:t>
        </w:r>
        <w:r>
          <w:fldChar w:fldCharType="end"/>
        </w:r>
      </w:hyperlink>
    </w:p>
    <w:p>
      <w:pPr>
        <w:pStyle w:val="TOC3"/>
        <w:tabs>
          <w:tab w:val="right" w:leader="dot" w:pos="9184"/>
        </w:tabs>
      </w:pPr>
      <w:hyperlink w:anchor="_Toc18745" w:history="1">
        <w:r>
          <w:rPr>
            <w:rFonts w:ascii="幼圆" w:eastAsia="幼圆" w:hAnsi="幼圆" w:cs="幼圆" w:hint="eastAsia"/>
            <w:szCs w:val="28"/>
            <w:lang w:val="en-US" w:eastAsia="zh-CN"/>
          </w:rPr>
          <w:t>4.2.1制定合理有效的管理制度</w:t>
        </w:r>
        <w:r>
          <w:tab/>
        </w:r>
        <w:r>
          <w:fldChar w:fldCharType="begin"/>
        </w:r>
        <w:r>
          <w:instrText xml:space="preserve"> PAGEREF _Toc18745 \h </w:instrText>
        </w:r>
        <w:r>
          <w:fldChar w:fldCharType="separate"/>
        </w:r>
        <w:r>
          <w:t>15</w:t>
        </w:r>
        <w:r>
          <w:fldChar w:fldCharType="end"/>
        </w:r>
      </w:hyperlink>
    </w:p>
    <w:p>
      <w:pPr>
        <w:pStyle w:val="TOC3"/>
        <w:tabs>
          <w:tab w:val="right" w:leader="dot" w:pos="9184"/>
        </w:tabs>
      </w:pPr>
      <w:hyperlink w:anchor="_Toc12739" w:history="1">
        <w:r>
          <w:rPr>
            <w:rFonts w:ascii="幼圆" w:eastAsia="幼圆" w:hAnsi="幼圆" w:cs="幼圆" w:hint="eastAsia"/>
            <w:szCs w:val="28"/>
            <w:lang w:val="en-US" w:eastAsia="zh-CN"/>
          </w:rPr>
          <w:t>4.2.2建立合理化的考核制度</w:t>
        </w:r>
        <w:r>
          <w:tab/>
        </w:r>
        <w:r>
          <w:fldChar w:fldCharType="begin"/>
        </w:r>
        <w:r>
          <w:instrText xml:space="preserve"> PAGEREF _Toc12739 \h </w:instrText>
        </w:r>
        <w:r>
          <w:fldChar w:fldCharType="separate"/>
        </w:r>
        <w:r>
          <w:t>15</w:t>
        </w:r>
        <w:r>
          <w:fldChar w:fldCharType="end"/>
        </w:r>
      </w:hyperlink>
    </w:p>
    <w:p>
      <w:pPr>
        <w:pStyle w:val="TOC2"/>
        <w:tabs>
          <w:tab w:val="right" w:leader="dot" w:pos="9184"/>
        </w:tabs>
      </w:pPr>
      <w:hyperlink w:anchor="_Toc24470" w:history="1">
        <w:r>
          <w:rPr>
            <w:rFonts w:ascii="幼圆" w:eastAsia="幼圆" w:hAnsi="幼圆" w:cs="幼圆" w:hint="eastAsia"/>
            <w:szCs w:val="28"/>
            <w:lang w:val="en-US" w:eastAsia="zh-CN"/>
          </w:rPr>
          <w:t>4.3明确各部门间应收账款管理责任</w:t>
        </w:r>
        <w:r>
          <w:tab/>
        </w:r>
        <w:r>
          <w:fldChar w:fldCharType="begin"/>
        </w:r>
        <w:r>
          <w:instrText xml:space="preserve"> PAGEREF _Toc24470 \h </w:instrText>
        </w:r>
        <w:r>
          <w:fldChar w:fldCharType="separate"/>
        </w:r>
        <w:r>
          <w:t>16</w:t>
        </w:r>
        <w:r>
          <w:fldChar w:fldCharType="end"/>
        </w:r>
      </w:hyperlink>
    </w:p>
    <w:p>
      <w:pPr>
        <w:pStyle w:val="TOC3"/>
        <w:tabs>
          <w:tab w:val="right" w:leader="dot" w:pos="9184"/>
        </w:tabs>
      </w:pPr>
      <w:hyperlink w:anchor="_Toc4475" w:history="1">
        <w:r>
          <w:rPr>
            <w:rFonts w:ascii="幼圆" w:eastAsia="幼圆" w:hAnsi="幼圆" w:cs="幼圆" w:hint="eastAsia"/>
            <w:szCs w:val="28"/>
            <w:lang w:val="en-US" w:eastAsia="zh-CN"/>
          </w:rPr>
          <w:t>4.3.1赊销催收部门</w:t>
        </w:r>
        <w:r>
          <w:tab/>
        </w:r>
        <w:r>
          <w:fldChar w:fldCharType="begin"/>
        </w:r>
        <w:r>
          <w:instrText xml:space="preserve"> PAGEREF _Toc4475 \h </w:instrText>
        </w:r>
        <w:r>
          <w:fldChar w:fldCharType="separate"/>
        </w:r>
        <w:r>
          <w:t>16</w:t>
        </w:r>
        <w:r>
          <w:fldChar w:fldCharType="end"/>
        </w:r>
      </w:hyperlink>
    </w:p>
    <w:p>
      <w:pPr>
        <w:pStyle w:val="TOC3"/>
        <w:tabs>
          <w:tab w:val="right" w:leader="dot" w:pos="9184"/>
        </w:tabs>
      </w:pPr>
      <w:hyperlink w:anchor="_Toc13473" w:history="1">
        <w:r>
          <w:rPr>
            <w:rFonts w:ascii="幼圆" w:eastAsia="幼圆" w:hAnsi="幼圆" w:cs="幼圆" w:hint="eastAsia"/>
            <w:szCs w:val="28"/>
            <w:lang w:val="en-US" w:eastAsia="zh-CN"/>
          </w:rPr>
          <w:t>4.3.2应收账款管理部门</w:t>
        </w:r>
        <w:r>
          <w:tab/>
        </w:r>
        <w:r>
          <w:fldChar w:fldCharType="begin"/>
        </w:r>
        <w:r>
          <w:instrText xml:space="preserve"> PAGEREF _Toc13473 \h </w:instrText>
        </w:r>
        <w:r>
          <w:fldChar w:fldCharType="separate"/>
        </w:r>
        <w:r>
          <w:t>17</w:t>
        </w:r>
        <w:r>
          <w:fldChar w:fldCharType="end"/>
        </w:r>
      </w:hyperlink>
    </w:p>
    <w:p>
      <w:pPr>
        <w:pStyle w:val="TOC3"/>
        <w:tabs>
          <w:tab w:val="right" w:leader="dot" w:pos="9184"/>
        </w:tabs>
      </w:pPr>
      <w:hyperlink w:anchor="_Toc8156" w:history="1">
        <w:r>
          <w:rPr>
            <w:rFonts w:ascii="幼圆" w:eastAsia="幼圆" w:hAnsi="幼圆" w:cs="幼圆" w:hint="eastAsia"/>
            <w:szCs w:val="28"/>
            <w:lang w:val="en-US" w:eastAsia="zh-CN"/>
          </w:rPr>
          <w:t>4.3.3销售部门</w:t>
        </w:r>
        <w:r>
          <w:tab/>
        </w:r>
        <w:r>
          <w:fldChar w:fldCharType="begin"/>
        </w:r>
        <w:r>
          <w:instrText xml:space="preserve"> PAGEREF _Toc8156 \h </w:instrText>
        </w:r>
        <w:r>
          <w:fldChar w:fldCharType="separate"/>
        </w:r>
        <w:r>
          <w:t>17</w:t>
        </w:r>
        <w:r>
          <w:fldChar w:fldCharType="end"/>
        </w:r>
      </w:hyperlink>
    </w:p>
    <w:p>
      <w:pPr>
        <w:pStyle w:val="TOC2"/>
        <w:tabs>
          <w:tab w:val="right" w:leader="dot" w:pos="9184"/>
        </w:tabs>
        <w:sectPr>
          <w:pgSz w:w="11906" w:h="16838"/>
          <w:pgMar w:top="1644" w:right="1361" w:bottom="1644" w:left="1361" w:header="1247" w:footer="1247" w:gutter="0"/>
          <w:cols w:space="708"/>
          <w:rtlGutter w:val="0"/>
          <w:docGrid w:type="lines" w:linePitch="312" w:charSpace="0"/>
        </w:sectPr>
      </w:pPr>
      <w:hyperlink w:anchor="_Toc8849" w:history="1">
        <w:r>
          <w:rPr>
            <w:rFonts w:ascii="幼圆" w:eastAsia="幼圆" w:hAnsi="幼圆" w:cs="幼圆" w:hint="eastAsia"/>
            <w:szCs w:val="28"/>
            <w:lang w:val="en-US" w:eastAsia="zh-CN"/>
          </w:rPr>
          <w:t>4.4应收账款的事后管理</w:t>
        </w:r>
        <w:r>
          <w:tab/>
        </w:r>
        <w:r>
          <w:fldChar w:fldCharType="begin"/>
        </w:r>
        <w:r>
          <w:instrText xml:space="preserve"> PAGEREF _Toc8849 \h </w:instrText>
        </w:r>
        <w:r>
          <w:fldChar w:fldCharType="separate"/>
        </w:r>
        <w:r>
          <w:t>17</w:t>
        </w:r>
        <w:r>
          <w:fldChar w:fldCharType="end"/>
        </w:r>
      </w:hyperlink>
    </w:p>
    <w:p>
      <w:pPr>
        <w:pStyle w:val="TOC3"/>
        <w:tabs>
          <w:tab w:val="right" w:leader="dot" w:pos="9184"/>
        </w:tabs>
      </w:pPr>
      <w:hyperlink w:anchor="_Toc17903" w:history="1">
        <w:r>
          <w:rPr>
            <w:rFonts w:ascii="幼圆" w:eastAsia="幼圆" w:hAnsi="幼圆" w:cs="幼圆" w:hint="eastAsia"/>
            <w:szCs w:val="28"/>
            <w:lang w:val="en-US" w:eastAsia="zh-CN"/>
          </w:rPr>
          <w:t>4.4.1 优化管理方法</w:t>
        </w:r>
        <w:r>
          <w:tab/>
        </w:r>
        <w:r>
          <w:fldChar w:fldCharType="begin"/>
        </w:r>
        <w:r>
          <w:instrText xml:space="preserve"> PAGEREF _Toc17903 \h </w:instrText>
        </w:r>
        <w:r>
          <w:fldChar w:fldCharType="separate"/>
        </w:r>
        <w:r>
          <w:t>17</w:t>
        </w:r>
        <w:r>
          <w:fldChar w:fldCharType="end"/>
        </w:r>
      </w:hyperlink>
    </w:p>
    <w:p>
      <w:pPr>
        <w:pStyle w:val="TOC3"/>
        <w:tabs>
          <w:tab w:val="right" w:leader="dot" w:pos="9184"/>
        </w:tabs>
      </w:pPr>
      <w:hyperlink w:anchor="_Toc12111" w:history="1">
        <w:r>
          <w:rPr>
            <w:rFonts w:ascii="幼圆" w:eastAsia="幼圆" w:hAnsi="幼圆" w:cs="幼圆" w:hint="eastAsia"/>
            <w:szCs w:val="28"/>
            <w:lang w:val="en-US" w:eastAsia="zh-CN"/>
          </w:rPr>
          <w:t>4.4.2 做到分类管理</w:t>
        </w:r>
        <w:r>
          <w:tab/>
        </w:r>
        <w:r>
          <w:fldChar w:fldCharType="begin"/>
        </w:r>
        <w:r>
          <w:instrText xml:space="preserve"> PAGEREF _Toc12111 \h </w:instrText>
        </w:r>
        <w:r>
          <w:fldChar w:fldCharType="separate"/>
        </w:r>
        <w:r>
          <w:t>18</w:t>
        </w:r>
        <w:r>
          <w:fldChar w:fldCharType="end"/>
        </w:r>
      </w:hyperlink>
    </w:p>
    <w:p>
      <w:pPr>
        <w:pStyle w:val="TOC1"/>
        <w:tabs>
          <w:tab w:val="right" w:leader="dot" w:pos="9184"/>
        </w:tabs>
      </w:pPr>
      <w:hyperlink w:anchor="_Toc14067" w:history="1">
        <w:r>
          <w:rPr>
            <w:rFonts w:ascii="幼圆" w:eastAsia="幼圆" w:hAnsi="幼圆" w:cs="幼圆" w:hint="eastAsia"/>
            <w:szCs w:val="30"/>
            <w:lang w:val="en-US" w:eastAsia="zh-CN"/>
          </w:rPr>
          <w:t>结  论</w:t>
        </w:r>
        <w:r>
          <w:tab/>
        </w:r>
        <w:r>
          <w:fldChar w:fldCharType="begin"/>
        </w:r>
        <w:r>
          <w:instrText xml:space="preserve"> PAGEREF _Toc14067 \h </w:instrText>
        </w:r>
        <w:r>
          <w:fldChar w:fldCharType="separate"/>
        </w:r>
        <w:r>
          <w:t>19</w:t>
        </w:r>
        <w:r>
          <w:fldChar w:fldCharType="end"/>
        </w:r>
      </w:hyperlink>
    </w:p>
    <w:p>
      <w:pPr>
        <w:pStyle w:val="TOC1"/>
        <w:tabs>
          <w:tab w:val="right" w:leader="dot" w:pos="9184"/>
        </w:tabs>
      </w:pPr>
      <w:hyperlink w:anchor="_Toc23087" w:history="1">
        <w:r>
          <w:rPr>
            <w:rFonts w:ascii="幼圆" w:eastAsia="幼圆" w:hAnsi="幼圆" w:cs="幼圆" w:hint="eastAsia"/>
            <w:szCs w:val="30"/>
            <w:lang w:val="en-US" w:eastAsia="zh-CN"/>
          </w:rPr>
          <w:t>参考文献</w:t>
        </w:r>
        <w:r>
          <w:tab/>
        </w:r>
        <w:r>
          <w:fldChar w:fldCharType="begin"/>
        </w:r>
        <w:r>
          <w:instrText xml:space="preserve"> PAGEREF _Toc23087 \h </w:instrText>
        </w:r>
        <w:r>
          <w:fldChar w:fldCharType="separate"/>
        </w:r>
        <w:r>
          <w:t>19</w:t>
        </w:r>
        <w:r>
          <w:fldChar w:fldCharType="end"/>
        </w:r>
      </w:hyperlink>
    </w:p>
    <w:p>
      <w:pPr>
        <w:pStyle w:val="Heading1"/>
        <w:keepNext/>
        <w:keepLines/>
        <w:pageBreakBefore w:val="0"/>
        <w:widowControl w:val="0"/>
        <w:kinsoku/>
        <w:wordWrap/>
        <w:overflowPunct/>
        <w:topLinePunct w:val="0"/>
        <w:autoSpaceDE/>
        <w:autoSpaceDN/>
        <w:bidi w:val="0"/>
        <w:adjustRightInd/>
        <w:snapToGrid/>
        <w:spacing w:after="340" w:line="360" w:lineRule="auto"/>
        <w:jc w:val="center"/>
        <w:textAlignment w:val="auto"/>
        <w:rPr>
          <w:rFonts w:ascii="幼圆" w:eastAsia="幼圆" w:hAnsi="幼圆" w:cs="幼圆" w:hint="eastAsia"/>
        </w:rPr>
      </w:pPr>
      <w:r>
        <w:rPr>
          <w:rFonts w:ascii="幼圆" w:eastAsia="幼圆" w:hAnsi="幼圆" w:cs="幼圆" w:hint="eastAsia"/>
          <w:szCs w:val="24"/>
          <w:lang w:val="en-US" w:eastAsia="zh-CN"/>
        </w:rPr>
        <w:fldChar w:fldCharType="end"/>
      </w:r>
    </w:p>
    <w:p>
      <w:pPr>
        <w:pStyle w:val="BodyText"/>
        <w:spacing w:line="360" w:lineRule="auto"/>
        <w:ind w:firstLine="425" w:firstLineChars="0"/>
        <w:rPr>
          <w:rFonts w:ascii="幼圆" w:eastAsia="幼圆" w:hAnsi="幼圆" w:cs="幼圆" w:hint="eastAsia"/>
          <w:sz w:val="30"/>
          <w:szCs w:val="30"/>
          <w:lang w:val="en-US" w:eastAsia="zh-CN"/>
        </w:rPr>
      </w:pPr>
      <w:r>
        <w:rPr>
          <w:rFonts w:ascii="幼圆" w:eastAsia="幼圆" w:hAnsi="幼圆" w:cs="幼圆" w:hint="eastAsia"/>
          <w:sz w:val="30"/>
          <w:szCs w:val="30"/>
          <w:lang w:val="en-US" w:eastAsia="zh-CN"/>
        </w:rPr>
        <w:t>1 绪  论</w:t>
      </w:r>
    </w:p>
    <w:p>
      <w:pPr>
        <w:rPr>
          <w:rFonts w:ascii="幼圆" w:eastAsia="幼圆" w:hAnsi="幼圆" w:cs="幼圆" w:hint="eastAsia"/>
        </w:rPr>
      </w:pPr>
    </w:p>
    <w:p>
      <w:pPr>
        <w:pStyle w:val="Heading2"/>
        <w:keepNext/>
        <w:keepLines/>
        <w:pageBreakBefore w:val="0"/>
        <w:widowControl w:val="0"/>
        <w:kinsoku/>
        <w:wordWrap/>
        <w:overflowPunct/>
        <w:topLinePunct w:val="0"/>
        <w:autoSpaceDE/>
        <w:autoSpaceDN/>
        <w:bidi w:val="0"/>
        <w:adjustRightInd/>
        <w:snapToGrid/>
        <w:spacing w:before="312" w:beforeLines="100" w:after="312" w:afterLines="100" w:line="360" w:lineRule="auto"/>
        <w:textAlignment w:val="auto"/>
        <w:rPr>
          <w:rFonts w:ascii="幼圆" w:eastAsia="幼圆" w:hAnsi="幼圆" w:cs="幼圆" w:hint="eastAsia"/>
          <w:sz w:val="28"/>
          <w:szCs w:val="28"/>
          <w:lang w:val="en-US" w:eastAsia="zh-CN"/>
        </w:rPr>
      </w:pPr>
      <w:bookmarkStart w:id="0" w:name="_Toc11634"/>
      <w:r>
        <w:rPr>
          <w:rFonts w:ascii="幼圆" w:eastAsia="幼圆" w:hAnsi="幼圆" w:cs="幼圆" w:hint="eastAsia"/>
          <w:sz w:val="28"/>
          <w:szCs w:val="28"/>
          <w:lang w:val="en-US" w:eastAsia="zh-CN"/>
        </w:rPr>
        <w:t>1.1 选题背景及意义</w:t>
      </w:r>
      <w:bookmarkEnd w:id="0"/>
    </w:p>
    <w:p>
      <w:pPr>
        <w:pStyle w:val="Heading3"/>
        <w:keepNext/>
        <w:keepLines/>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ascii="幼圆" w:eastAsia="幼圆" w:hAnsi="幼圆" w:cs="幼圆" w:hint="eastAsia"/>
          <w:sz w:val="28"/>
          <w:szCs w:val="28"/>
          <w:lang w:val="en-US" w:eastAsia="zh-CN"/>
        </w:rPr>
      </w:pPr>
      <w:bookmarkStart w:id="1" w:name="_Toc17034"/>
      <w:r>
        <w:rPr>
          <w:rFonts w:ascii="幼圆" w:eastAsia="幼圆" w:hAnsi="幼圆" w:cs="幼圆" w:hint="eastAsia"/>
          <w:sz w:val="28"/>
          <w:szCs w:val="28"/>
          <w:lang w:val="en-US" w:eastAsia="zh-CN"/>
        </w:rPr>
        <w:t>1.1.1 选题背景</w:t>
      </w:r>
      <w:bookmarkEnd w:id="1"/>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在当前经济快速发展的大前提下，为加速合作，企业采用商业信用也越来越普遍，从而导致企业应收账款数额也在不断扩大。就目前来看，众多企业采取赊账业务，主要是为了增加企业的销售量，提高利润；但是如果大量资金一直被拖欠的话，这样就会连带影响企业资金的利用率，严重时可能会导致企业内部的资金链断裂，最终宣告破产等。</w:t>
      </w:r>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特别是随着当前互联网技术的不断发展，华帝厨电家居高端定制厨卫公司作为行业领头羊企业，近年来在发展中不断迎来全新突破。2021年3月，华帝家电企业发布了截至12月31日的2020年第四季度及全年财报。数据显示，华帝厨电家居的净利润虽然每年都在显著提高，且高达十多亿人民币，但是净亏损情况却并未得到有效解决，这些情况都充分说明了当前华帝厨电家居的应收账款愈之庞大，这样不仅会对企业自身发展形成严重威胁，如果不加以制止、施加管理，长久之下，可能会导致华帝厨电家居企业内部周转不到，影响企业业务发展，最终导致企业在竞争中失去优势，从而影响华帝厨电家居企业长足发展。因此本文将以华帝厨电家居当前应收账款进行探究，并提出相关建议</w:t>
      </w:r>
      <w:r>
        <w:rPr>
          <w:rFonts w:ascii="幼圆" w:eastAsia="幼圆" w:hAnsi="幼圆" w:cs="幼圆" w:hint="eastAsia"/>
          <w:color w:val="auto"/>
          <w:sz w:val="24"/>
          <w:szCs w:val="24"/>
          <w:lang w:val="en-US" w:eastAsia="zh-CN"/>
        </w:rPr>
        <w:t>(张宇翔 ,李思雨, 王梦,2022)</w:t>
      </w:r>
      <w:r>
        <w:rPr>
          <w:rFonts w:ascii="幼圆" w:eastAsia="幼圆" w:hAnsi="幼圆" w:cs="幼圆" w:hint="eastAsia"/>
          <w:sz w:val="24"/>
          <w:szCs w:val="24"/>
          <w:lang w:val="en-US" w:eastAsia="zh-CN"/>
        </w:rPr>
        <w:t>。</w:t>
      </w:r>
    </w:p>
    <w:p>
      <w:pPr>
        <w:pStyle w:val="Heading3"/>
        <w:keepNext/>
        <w:keepLines/>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ascii="幼圆" w:eastAsia="幼圆" w:hAnsi="幼圆" w:cs="幼圆" w:hint="eastAsia"/>
          <w:sz w:val="28"/>
          <w:szCs w:val="28"/>
          <w:lang w:val="en-US" w:eastAsia="zh-CN"/>
        </w:rPr>
      </w:pPr>
      <w:bookmarkStart w:id="2" w:name="_Toc26299"/>
      <w:r>
        <w:rPr>
          <w:rFonts w:ascii="幼圆" w:eastAsia="幼圆" w:hAnsi="幼圆" w:cs="幼圆" w:hint="eastAsia"/>
          <w:b/>
          <w:sz w:val="28"/>
          <w:szCs w:val="28"/>
          <w:lang w:val="en-US" w:eastAsia="zh-CN"/>
        </w:rPr>
        <w:t>1.1.2 选题意义</w:t>
      </w:r>
      <w:bookmarkEnd w:id="2"/>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（1）理论意义</w:t>
      </w:r>
    </w:p>
    <w:p>
      <w:pPr>
        <w:bidi w:val="0"/>
        <w:spacing w:line="360" w:lineRule="auto"/>
        <w:ind w:firstLine="480" w:firstLineChars="200"/>
        <w:rPr>
          <w:rFonts w:ascii="幼圆" w:eastAsia="幼圆" w:hAnsi="幼圆" w:cs="幼圆" w:hint="eastAsia"/>
        </w:rPr>
        <w:sectPr>
          <w:type w:val="nextPage"/>
          <w:pgSz w:w="11906" w:h="16838"/>
          <w:pgMar w:top="1644" w:right="1361" w:bottom="1644" w:left="1361" w:header="1247" w:footer="1247" w:gutter="0"/>
          <w:pgNumType w:start="2"/>
          <w:cols w:space="708"/>
          <w:titlePg w:val="0"/>
          <w:rtlGutter w:val="0"/>
          <w:docGrid w:type="lines" w:linePitch="312" w:charSpace="0"/>
        </w:sectPr>
      </w:pPr>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应收账款是一种债权，要最终确认为企业资产也得看购货方多久会付清账款，逾期了会怎么样。因此应收账款并非是企业能够单方面决定的因素。对此本文以华帝厨电家居高端定制厨卫公司为例，通过剖析华帝厨电家居的基本情况和相关数据指标，从而找出当前企业在应收账款管理方面存在的潜在问题，再根据问题提出相应的改进建议</w:t>
      </w:r>
      <w:r>
        <w:rPr>
          <w:rFonts w:ascii="幼圆" w:eastAsia="幼圆" w:hAnsi="幼圆" w:cs="幼圆" w:hint="eastAsia"/>
          <w:color w:val="auto"/>
          <w:sz w:val="24"/>
          <w:szCs w:val="24"/>
          <w:lang w:val="en-US" w:eastAsia="zh-CN"/>
        </w:rPr>
        <w:t>(赵阳波 ,刘欣怡 ,2021)</w:t>
      </w:r>
      <w:r>
        <w:rPr>
          <w:rFonts w:ascii="幼圆" w:eastAsia="幼圆" w:hAnsi="幼圆" w:cs="幼圆" w:hint="eastAsia"/>
          <w:sz w:val="24"/>
          <w:szCs w:val="24"/>
          <w:lang w:val="en-US" w:eastAsia="zh-CN"/>
        </w:rPr>
        <w:t>。对此，本文主要是从当前华帝厨电家居各个方面的应收账款来分析，比如盲目赊账、信用体系、资金回笼、管控机制等方面，该部分在结合前人研究的基础上又进行了进一步研究。面对这些所存在的问题，更加体现出应收账款的管理是相当重要的。</w:t>
      </w:r>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（2）现实意义</w:t>
      </w:r>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现如今，有多数企业由于忽略了对应收账款的重视，使企业处于金融危机中。明智而完善的应收账款管理机制，可以迅速是资金收回、快速提高经营效益。相反如果管理不到位，严重的会使企业面临资金链断裂，债务纠纷源源不断。一些公司的风险抵御能力较差，这将会为企业发展带来严重打击</w:t>
      </w:r>
      <w:r>
        <w:rPr>
          <w:rFonts w:ascii="幼圆" w:eastAsia="幼圆" w:hAnsi="幼圆" w:cs="幼圆" w:hint="eastAsia"/>
          <w:color w:val="auto"/>
          <w:sz w:val="24"/>
          <w:szCs w:val="24"/>
          <w:lang w:val="en-US" w:eastAsia="zh-CN"/>
        </w:rPr>
        <w:t>(林晓琳 ,黄鑫,2021)</w:t>
      </w:r>
      <w:r>
        <w:rPr>
          <w:rFonts w:ascii="幼圆" w:eastAsia="幼圆" w:hAnsi="幼圆" w:cs="幼圆" w:hint="eastAsia"/>
          <w:sz w:val="24"/>
          <w:szCs w:val="24"/>
          <w:lang w:val="en-US" w:eastAsia="zh-CN"/>
        </w:rPr>
        <w:t>。当前随着华帝厨电家居业务的不断扩大，应收账款金额也随之扩大，最终使得大量流动资金减少，导致企业利润也随之减少。回款是否充足、高效对企业经营活动影响很大。因此，如何对企业应收账款进行合理管控，关系着企业长远发展，决定着企业价值能否达到最大化，对企业发展具有重要的现实意义。</w:t>
      </w:r>
    </w:p>
    <w:p>
      <w:pPr>
        <w:pStyle w:val="Heading2"/>
        <w:keepNext/>
        <w:keepLines/>
        <w:pageBreakBefore w:val="0"/>
        <w:widowControl w:val="0"/>
        <w:kinsoku/>
        <w:wordWrap/>
        <w:overflowPunct/>
        <w:topLinePunct w:val="0"/>
        <w:autoSpaceDE/>
        <w:autoSpaceDN/>
        <w:bidi w:val="0"/>
        <w:adjustRightInd/>
        <w:snapToGrid/>
        <w:spacing w:before="312" w:beforeLines="100" w:after="312" w:afterLines="100" w:line="360" w:lineRule="auto"/>
        <w:textAlignment w:val="auto"/>
        <w:rPr>
          <w:rFonts w:ascii="幼圆" w:eastAsia="幼圆" w:hAnsi="幼圆" w:cs="幼圆" w:hint="eastAsia"/>
          <w:sz w:val="28"/>
          <w:szCs w:val="28"/>
          <w:lang w:val="en-US" w:eastAsia="zh-CN"/>
        </w:rPr>
      </w:pPr>
      <w:bookmarkStart w:id="3" w:name="_Toc14895"/>
      <w:r>
        <w:rPr>
          <w:rFonts w:ascii="幼圆" w:eastAsia="幼圆" w:hAnsi="幼圆" w:cs="幼圆" w:hint="eastAsia"/>
          <w:b/>
          <w:sz w:val="28"/>
          <w:szCs w:val="28"/>
          <w:lang w:val="en-US" w:eastAsia="zh-CN"/>
        </w:rPr>
        <w:t>1.2 国内外研究现状</w:t>
      </w:r>
      <w:bookmarkEnd w:id="3"/>
    </w:p>
    <w:p>
      <w:pPr>
        <w:pStyle w:val="Heading3"/>
        <w:keepNext/>
        <w:keepLines/>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ascii="幼圆" w:eastAsia="幼圆" w:hAnsi="幼圆" w:cs="幼圆" w:hint="eastAsia"/>
          <w:sz w:val="28"/>
          <w:szCs w:val="28"/>
          <w:lang w:val="en-US" w:eastAsia="zh-CN"/>
        </w:rPr>
      </w:pPr>
      <w:bookmarkStart w:id="4" w:name="_Toc107"/>
      <w:r>
        <w:rPr>
          <w:rFonts w:ascii="幼圆" w:eastAsia="幼圆" w:hAnsi="幼圆" w:cs="幼圆" w:hint="eastAsia"/>
          <w:b/>
          <w:sz w:val="28"/>
          <w:szCs w:val="28"/>
          <w:lang w:val="en-US" w:eastAsia="zh-CN"/>
        </w:rPr>
        <w:t>1.2.1 国内研究现状</w:t>
      </w:r>
      <w:bookmarkEnd w:id="4"/>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吴雅晴 ,周俊杰, 方诗(2018)认为，现在的企业都是以市场扩大，利润提高为主要目的来进行管理。只是一味的追求的销售量，甚至对销售人员用奖金形式来促进业绩，对客户盲目采用赊销手段或是其他超级优惠的条件来招揽生意。如果要以这样的模式一直走下去后果不堪设想。</w:t>
      </w:r>
    </w:p>
    <w:p>
      <w:pPr>
        <w:bidi w:val="0"/>
        <w:spacing w:line="360" w:lineRule="auto"/>
        <w:ind w:firstLine="480" w:firstLineChars="200"/>
        <w:rPr>
          <w:rFonts w:ascii="幼圆" w:eastAsia="幼圆" w:hAnsi="幼圆" w:cs="幼圆" w:hint="eastAsia"/>
        </w:rPr>
        <w:sectPr>
          <w:type w:val="nextPage"/>
          <w:pgSz w:w="11906" w:h="16838"/>
          <w:pgMar w:top="1644" w:right="1361" w:bottom="1644" w:left="1361" w:header="1247" w:footer="1247" w:gutter="0"/>
          <w:pgNumType w:start="3"/>
          <w:cols w:space="708"/>
          <w:titlePg w:val="0"/>
          <w:rtlGutter w:val="0"/>
          <w:docGrid w:type="lines" w:linePitch="312" w:charSpace="0"/>
        </w:sectPr>
      </w:pPr>
      <w:r>
        <w:rPr>
          <w:rFonts w:ascii="幼圆" w:eastAsia="幼圆" w:hAnsi="幼圆" w:cs="幼圆" w:hint="eastAsia"/>
          <w:sz w:val="24"/>
          <w:szCs w:val="24"/>
          <w:lang w:val="en-US" w:eastAsia="zh-CN"/>
        </w:rPr>
        <w:t>郑明辉 ,石海瑶(2015)指出，在现在看来我国社会信用的基础相比较西方国家仍然是薄弱的，正在努力完善适合自己的信用体系，正在等待相关的政策发布。与此同时国内大部分企业对应收账款管理的观念还是忽略的，都还是照搬或是参考别人的体系来对自己的公司进行实施，这种方法是万万不可取得。</w:t>
      </w:r>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姜舒婷 ,韩强力 ,秦莉(2016)提到，内部环境是内部控制的基础，影响着企业组织的各个要素。内部环境参数的最终目的是为个人执行公司治理和发展任务，并通过有效的权限约束提高运营效率。只有制定明确的业务目标，我们才能通过测试过程。主要包括管理技能和管理远见、员工能力和风险管理控制意识、企业经济模式和企业文化等，这些都对企业的内部环境产生影响。</w:t>
      </w:r>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胡光明, 曾家豪, 谢婷婷(2017)指出，企业应该对客户进行调查，简单掌握一些基本情况。可以让销售代表对客户信息备份，可以派专业人员去实地考察，可以参考大数据里的相关数据，调查一般可以通过客户的偿债能力、个人品德、资本条件等方面着手。</w:t>
      </w:r>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钟浩宇, 彭嘉(2019)认为，应收账款作为企业重要的一项资产，其管理就存在着很大的风险，企业使用信用手段的销售金额越大，承担的风险就越大，到最后可能危及企业的存亡。</w:t>
      </w:r>
    </w:p>
    <w:p>
      <w:pPr>
        <w:pStyle w:val="Heading3"/>
        <w:keepNext/>
        <w:keepLines/>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ascii="幼圆" w:eastAsia="幼圆" w:hAnsi="幼圆" w:cs="幼圆" w:hint="eastAsia"/>
          <w:sz w:val="28"/>
          <w:szCs w:val="28"/>
          <w:lang w:val="en-US" w:eastAsia="zh-CN"/>
        </w:rPr>
      </w:pPr>
      <w:bookmarkStart w:id="5" w:name="_Toc10721"/>
      <w:r>
        <w:rPr>
          <w:rFonts w:ascii="幼圆" w:eastAsia="幼圆" w:hAnsi="幼圆" w:cs="幼圆" w:hint="eastAsia"/>
          <w:b/>
          <w:sz w:val="28"/>
          <w:szCs w:val="28"/>
          <w:lang w:val="en-US" w:eastAsia="zh-CN"/>
        </w:rPr>
        <w:t>1.2.2 国外研究现状</w:t>
      </w:r>
      <w:bookmarkEnd w:id="5"/>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Perdon(2010)认为，根据公司自身的实际情况，向不同客户了解到，企业在管理层面和实施层面都有所不足之处。并且还要适当的与客户之间建立良好关系和与银行之间保持密切的联系</w:t>
      </w:r>
      <w:r>
        <w:rPr>
          <w:rFonts w:ascii="幼圆" w:eastAsia="幼圆" w:hAnsi="幼圆" w:cs="幼圆" w:hint="eastAsia"/>
          <w:color w:val="auto"/>
          <w:sz w:val="24"/>
          <w:szCs w:val="24"/>
          <w:lang w:val="en-US" w:eastAsia="zh-CN"/>
        </w:rPr>
        <w:t>(温子轩 ,袁真真, 梁敏)</w:t>
      </w:r>
      <w:r>
        <w:rPr>
          <w:rFonts w:ascii="幼圆" w:eastAsia="幼圆" w:hAnsi="幼圆" w:cs="幼圆" w:hint="eastAsia"/>
          <w:sz w:val="24"/>
          <w:szCs w:val="24"/>
          <w:lang w:val="en-US" w:eastAsia="zh-CN"/>
        </w:rPr>
        <w:t>。</w:t>
      </w:r>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Denise etc. (2013)提出，在应收账款管理中要不断对模式进行更新，不能一味地墨守成规。要定期培训专业人员来对周转率、坏账准备等指标进行分析，以保证公司经营政策和经营方式相匹配。</w:t>
      </w:r>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Annalisa＆Klaas(2013)指出，应收账款是具有债权性质的一种短期资产，不能从债权的占用中获得直接的资本收益。</w:t>
      </w:r>
    </w:p>
    <w:p>
      <w:pPr>
        <w:bidi w:val="0"/>
        <w:spacing w:line="360" w:lineRule="auto"/>
        <w:ind w:firstLine="480" w:firstLineChars="200"/>
        <w:rPr>
          <w:rFonts w:ascii="幼圆" w:eastAsia="幼圆" w:hAnsi="幼圆" w:cs="幼圆" w:hint="eastAsia"/>
        </w:rPr>
      </w:pPr>
      <w:r>
        <w:rPr>
          <w:rFonts w:ascii="幼圆" w:eastAsia="幼圆" w:hAnsi="幼圆" w:cs="幼圆" w:hint="eastAsia"/>
          <w:sz w:val="24"/>
          <w:szCs w:val="24"/>
          <w:lang w:val="en-US" w:eastAsia="zh-CN"/>
        </w:rPr>
        <w:t>Payanok T.M.</w:t>
      </w:r>
      <w:bookmarkStart w:id="6" w:name="_Hlk56196768"/>
      <w:r>
        <w:rPr>
          <w:rFonts w:ascii="幼圆" w:eastAsia="幼圆" w:hAnsi="幼圆" w:cs="幼圆" w:hint="eastAsia"/>
          <w:sz w:val="24"/>
          <w:szCs w:val="24"/>
          <w:lang w:val="en-US" w:eastAsia="zh-CN"/>
        </w:rPr>
        <w:t xml:space="preserve"> (2018)</w:t>
      </w:r>
      <w:bookmarkEnd w:id="6"/>
      <w:r>
        <w:rPr>
          <w:rFonts w:ascii="幼圆" w:eastAsia="幼圆" w:hAnsi="幼圆" w:cs="幼圆" w:hint="eastAsia"/>
          <w:sz w:val="24"/>
          <w:szCs w:val="24"/>
          <w:lang w:val="en-US" w:eastAsia="zh-CN"/>
        </w:rPr>
        <w:t>提到, 由于信用销售是坏账的来源，因此企业在进行销售之前应评估客户的信誉度。大多数中国的公司在销售之前都不进行详细的信用调查和对客户进本情况的了解</w:t>
      </w:r>
      <w:r>
        <w:rPr>
          <w:rFonts w:ascii="幼圆" w:eastAsia="幼圆" w:hAnsi="幼圆" w:cs="幼圆" w:hint="eastAsia"/>
          <w:color w:val="auto"/>
          <w:sz w:val="24"/>
          <w:szCs w:val="24"/>
          <w:lang w:val="en-US" w:eastAsia="zh-CN"/>
        </w:rPr>
        <w:t>(高天宇 ,叶红艳, 孙文涛)</w:t>
      </w:r>
      <w:r>
        <w:rPr>
          <w:rFonts w:ascii="幼圆" w:eastAsia="幼圆" w:hAnsi="幼圆" w:cs="幼圆" w:hint="eastAsia"/>
          <w:sz w:val="24"/>
          <w:szCs w:val="24"/>
          <w:lang w:val="en-US" w:eastAsia="zh-CN"/>
        </w:rPr>
        <w:t>。大量信用销售一般取决于条件的不定因素干预或个人的主观色彩偏好，这导致产生了大量的应收款。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rPr>
        <w:sectPr>
          <w:type w:val="nextPage"/>
          <w:pgSz w:w="11906" w:h="16838"/>
          <w:pgMar w:top="1644" w:right="1361" w:bottom="1644" w:left="1361" w:header="1247" w:footer="1247" w:gutter="0"/>
          <w:pgNumType w:start="4"/>
          <w:cols w:space="708"/>
          <w:titlePg w:val="0"/>
          <w:rtlGutter w:val="0"/>
          <w:docGrid w:type="lines" w:linePitch="312" w:charSpace="0"/>
        </w:sectPr>
      </w:pPr>
      <w:r>
        <w:rPr>
          <w:rFonts w:ascii="幼圆" w:eastAsia="幼圆" w:hAnsi="幼圆" w:cs="幼圆" w:hint="eastAsia"/>
          <w:sz w:val="24"/>
          <w:szCs w:val="24"/>
          <w:lang w:val="en-US" w:eastAsia="zh-CN"/>
        </w:rPr>
        <w:t>Yeutushenko N. O. (2019)提到，企业信贷部门应该根据被调查客户的基本情况，通过详细分析后决定是否批准该客户的赊销。在销售的过程中，应该在企业做好留档并且时刻关注该客户的资金情况变动，及时做出反馈。</w:t>
      </w:r>
    </w:p>
    <w:p>
      <w:pPr>
        <w:pStyle w:val="Heading2"/>
        <w:keepNext/>
        <w:keepLines/>
        <w:pageBreakBefore w:val="0"/>
        <w:widowControl w:val="0"/>
        <w:kinsoku/>
        <w:wordWrap/>
        <w:overflowPunct/>
        <w:topLinePunct w:val="0"/>
        <w:autoSpaceDE/>
        <w:autoSpaceDN/>
        <w:bidi w:val="0"/>
        <w:adjustRightInd/>
        <w:snapToGrid/>
        <w:spacing w:before="312" w:beforeLines="100" w:after="312" w:afterLines="100" w:line="360" w:lineRule="auto"/>
        <w:textAlignment w:val="auto"/>
        <w:rPr>
          <w:rFonts w:ascii="幼圆" w:eastAsia="幼圆" w:hAnsi="幼圆" w:cs="幼圆" w:hint="eastAsia"/>
          <w:sz w:val="28"/>
          <w:szCs w:val="28"/>
          <w:lang w:val="en-US" w:eastAsia="zh-CN"/>
        </w:rPr>
      </w:pPr>
      <w:bookmarkStart w:id="7" w:name="_Toc16172"/>
      <w:r>
        <w:rPr>
          <w:rFonts w:ascii="幼圆" w:eastAsia="幼圆" w:hAnsi="幼圆" w:cs="幼圆" w:hint="eastAsia"/>
          <w:b/>
          <w:sz w:val="28"/>
          <w:szCs w:val="28"/>
          <w:lang w:val="en-US" w:eastAsia="zh-CN"/>
        </w:rPr>
        <w:t>1.3 研究方法</w:t>
      </w:r>
      <w:bookmarkEnd w:id="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rPr>
      </w:pPr>
      <w:r>
        <w:rPr>
          <w:rFonts w:ascii="幼圆" w:eastAsia="幼圆" w:hAnsi="幼圆" w:cs="幼圆" w:hint="eastAsia"/>
          <w:sz w:val="24"/>
          <w:szCs w:val="24"/>
          <w:lang w:val="en-US" w:eastAsia="zh-CN"/>
        </w:rPr>
        <w:t>案例分析法：结合国内应收账款的现状，针对华帝厨电家居集团进行深入分析具体研究分析，根据分析结果提出相应的解决对策，以期为其他高端定制厨卫公司发展提供良好的经验与参考。该方法的实施也能进而有效提高论文的实用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rPr>
      </w:pPr>
      <w:r>
        <w:rPr>
          <w:rFonts w:ascii="幼圆" w:eastAsia="幼圆" w:hAnsi="幼圆" w:cs="幼圆" w:hint="eastAsia"/>
          <w:sz w:val="24"/>
          <w:szCs w:val="24"/>
          <w:lang w:val="en-US" w:eastAsia="zh-CN"/>
        </w:rPr>
        <w:t>文献研究法：在对华帝厨电家居集团进行研究时，以查阅前人的相关研究成果为基础，为本文的研究提供参考。同时，在现有研究文献的基础上加上自己的看法和想法对文章论述，从不同的方面入手深入剖析。文章中参考了国内和国外相关的文献，把资料所整合后加入自己的认知和观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rPr>
      </w:pPr>
      <w:r>
        <w:rPr>
          <w:rFonts w:ascii="幼圆" w:eastAsia="幼圆" w:hAnsi="幼圆" w:cs="幼圆" w:hint="eastAsia"/>
          <w:sz w:val="24"/>
          <w:szCs w:val="24"/>
          <w:lang w:val="en-US" w:eastAsia="zh-CN"/>
        </w:rPr>
        <w:t>演绎研究法：将理论基础与华帝厨电家居集团应收账款管理相融合，再加入具体案例来分析，把数据和图表充分运用起来，最后给出自己的结论。</w:t>
      </w:r>
    </w:p>
    <w:p>
      <w:pPr>
        <w:pStyle w:val="Heading1"/>
        <w:keepNext/>
        <w:keepLines/>
        <w:pageBreakBefore w:val="0"/>
        <w:widowControl w:val="0"/>
        <w:kinsoku/>
        <w:wordWrap/>
        <w:overflowPunct/>
        <w:topLinePunct w:val="0"/>
        <w:autoSpaceDE/>
        <w:autoSpaceDN/>
        <w:bidi w:val="0"/>
        <w:adjustRightInd/>
        <w:snapToGrid/>
        <w:spacing w:after="340" w:line="360" w:lineRule="auto"/>
        <w:jc w:val="center"/>
        <w:textAlignment w:val="auto"/>
        <w:rPr>
          <w:rFonts w:ascii="幼圆" w:eastAsia="幼圆" w:hAnsi="幼圆" w:cs="幼圆" w:hint="eastAsia"/>
          <w:sz w:val="30"/>
          <w:szCs w:val="30"/>
          <w:lang w:val="en-US" w:eastAsia="zh-CN"/>
        </w:rPr>
      </w:pPr>
      <w:bookmarkStart w:id="8" w:name="_Toc30646"/>
      <w:r>
        <w:rPr>
          <w:rFonts w:ascii="幼圆" w:eastAsia="幼圆" w:hAnsi="幼圆" w:cs="幼圆" w:hint="eastAsia"/>
          <w:b/>
          <w:sz w:val="30"/>
          <w:szCs w:val="30"/>
          <w:lang w:val="en-US" w:eastAsia="zh-CN"/>
        </w:rPr>
        <w:t>2 应收账款管理相关概念及理论基础</w:t>
      </w:r>
      <w:bookmarkEnd w:id="8"/>
    </w:p>
    <w:p>
      <w:pPr>
        <w:rPr>
          <w:rFonts w:ascii="幼圆" w:eastAsia="幼圆" w:hAnsi="幼圆" w:cs="幼圆" w:hint="eastAsia"/>
        </w:rPr>
      </w:pPr>
    </w:p>
    <w:p>
      <w:pPr>
        <w:pStyle w:val="Heading2"/>
        <w:keepNext/>
        <w:keepLines/>
        <w:pageBreakBefore w:val="0"/>
        <w:widowControl w:val="0"/>
        <w:kinsoku/>
        <w:wordWrap/>
        <w:overflowPunct/>
        <w:topLinePunct w:val="0"/>
        <w:autoSpaceDE/>
        <w:autoSpaceDN/>
        <w:bidi w:val="0"/>
        <w:adjustRightInd/>
        <w:snapToGrid/>
        <w:spacing w:before="312" w:beforeLines="100" w:after="312" w:afterLines="100" w:line="360" w:lineRule="auto"/>
        <w:textAlignment w:val="auto"/>
        <w:rPr>
          <w:rFonts w:ascii="幼圆" w:eastAsia="幼圆" w:hAnsi="幼圆" w:cs="幼圆" w:hint="eastAsia"/>
          <w:sz w:val="28"/>
          <w:szCs w:val="28"/>
          <w:lang w:val="en-US" w:eastAsia="zh-CN"/>
        </w:rPr>
      </w:pPr>
      <w:bookmarkStart w:id="9" w:name="_Toc7306"/>
      <w:r>
        <w:rPr>
          <w:rFonts w:ascii="幼圆" w:eastAsia="幼圆" w:hAnsi="幼圆" w:cs="幼圆" w:hint="eastAsia"/>
          <w:b/>
          <w:sz w:val="28"/>
          <w:szCs w:val="28"/>
          <w:lang w:val="en-US" w:eastAsia="zh-CN"/>
        </w:rPr>
        <w:t xml:space="preserve">2.1 </w:t>
      </w:r>
      <w:bookmarkStart w:id="10" w:name="_Toc27272"/>
      <w:bookmarkStart w:id="11" w:name="_Toc5706"/>
      <w:bookmarkStart w:id="12" w:name="_Toc22674"/>
      <w:bookmarkStart w:id="13" w:name="_Toc5453"/>
      <w:r>
        <w:rPr>
          <w:rFonts w:ascii="幼圆" w:eastAsia="幼圆" w:hAnsi="幼圆" w:cs="幼圆" w:hint="eastAsia"/>
          <w:b/>
          <w:sz w:val="28"/>
          <w:szCs w:val="28"/>
          <w:lang w:val="en-US" w:eastAsia="zh-CN"/>
        </w:rPr>
        <w:t>应收账款管理相关概念</w:t>
      </w:r>
      <w:bookmarkEnd w:id="9"/>
    </w:p>
    <w:p>
      <w:pPr>
        <w:pStyle w:val="Heading3"/>
        <w:keepNext/>
        <w:keepLines/>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ascii="幼圆" w:eastAsia="幼圆" w:hAnsi="幼圆" w:cs="幼圆" w:hint="eastAsia"/>
          <w:sz w:val="28"/>
          <w:szCs w:val="28"/>
          <w:lang w:val="en-US" w:eastAsia="zh-CN"/>
        </w:rPr>
      </w:pPr>
      <w:bookmarkStart w:id="14" w:name="_Toc23464"/>
      <w:r>
        <w:rPr>
          <w:rFonts w:ascii="幼圆" w:eastAsia="幼圆" w:hAnsi="幼圆" w:cs="幼圆" w:hint="eastAsia"/>
          <w:b/>
          <w:sz w:val="28"/>
          <w:szCs w:val="28"/>
          <w:lang w:val="en-US" w:eastAsia="zh-CN"/>
        </w:rPr>
        <w:t>2.1.1 应收账款定义</w:t>
      </w:r>
      <w:bookmarkEnd w:id="10"/>
      <w:bookmarkEnd w:id="11"/>
      <w:bookmarkEnd w:id="12"/>
      <w:bookmarkEnd w:id="13"/>
      <w:bookmarkEnd w:id="1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rPr>
      </w:pPr>
      <w:r>
        <w:rPr>
          <w:rFonts w:ascii="幼圆" w:eastAsia="幼圆" w:hAnsi="幼圆" w:cs="幼圆" w:hint="eastAsia"/>
          <w:sz w:val="24"/>
          <w:szCs w:val="24"/>
          <w:lang w:val="en-US" w:eastAsia="zh-CN"/>
        </w:rPr>
        <w:t>应收账款是企业经营过程中的一项重要流动资产。就是在日常经营过程中向买方所提供的商品或付出的劳务，在双方达成协议的情况下，在约定的时间内付清所欠账款的过程，但这个付款过程是需要一定时间的，就是在这买卖过程中就产生了应收账款</w:t>
      </w:r>
      <w:r>
        <w:rPr>
          <w:rFonts w:ascii="幼圆" w:eastAsia="幼圆" w:hAnsi="幼圆" w:cs="幼圆" w:hint="eastAsia"/>
          <w:color w:val="auto"/>
          <w:sz w:val="24"/>
          <w:szCs w:val="24"/>
          <w:lang w:val="en-US" w:eastAsia="zh-CN"/>
        </w:rPr>
        <w:t>(薛静怡, 方华丽 ,王星)</w:t>
      </w:r>
      <w:r>
        <w:rPr>
          <w:rFonts w:ascii="幼圆" w:eastAsia="幼圆" w:hAnsi="幼圆" w:cs="幼圆" w:hint="eastAsia"/>
          <w:sz w:val="24"/>
          <w:szCs w:val="24"/>
          <w:lang w:val="en-US" w:eastAsia="zh-CN"/>
        </w:rPr>
        <w:t>。站在会计学专业角度，应收账款是在权责发生制的基础下产生的，并不是根据收到款项的时间来入账，而是当业务发生时就确认收入。假如当业务发生时购买方并没有交钱，那么这个时候就应该计入应收等会计科目，从而形成了一种债权</w:t>
      </w:r>
      <w:r>
        <w:rPr>
          <w:rFonts w:ascii="幼圆" w:eastAsia="幼圆" w:hAnsi="幼圆" w:cs="幼圆" w:hint="eastAsia"/>
          <w:color w:val="auto"/>
          <w:sz w:val="24"/>
          <w:szCs w:val="24"/>
          <w:lang w:val="en-US" w:eastAsia="zh-CN"/>
        </w:rPr>
        <w:t>(黄春燕 ,吴力强, 沈宝,2021)</w:t>
      </w:r>
      <w:r>
        <w:rPr>
          <w:rFonts w:ascii="幼圆" w:eastAsia="幼圆" w:hAnsi="幼圆" w:cs="幼圆" w:hint="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rPr>
      </w:pPr>
      <w:r>
        <w:rPr>
          <w:rFonts w:ascii="幼圆" w:eastAsia="幼圆" w:hAnsi="幼圆" w:cs="幼圆" w:hint="eastAsia"/>
        </w:rPr>
        <w:br/>
      </w:r>
      <w:r>
        <w:rPr>
          <w:rFonts w:ascii="幼圆" w:eastAsia="幼圆" w:hAnsi="幼圆" w:cs="幼圆"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https://d.book118.com/317065135055006052</w:t>
        </w:r>
      </w:hyperlink>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幼圆" w:eastAsia="幼圆" w:hAnsi="幼圆" w:cs="幼圆" w:hint="eastAsia"/>
        </w:rPr>
      </w:pPr>
    </w:p>
    <w:sectPr>
      <w:type w:val="nextPage"/>
      <w:pgSz w:w="11906" w:h="16838"/>
      <w:pgMar w:top="1644" w:right="1361" w:bottom="1644" w:left="1361" w:header="1247" w:footer="1247" w:gutter="0"/>
      <w:pgNumType w:start="5"/>
      <w:cols w:space="708"/>
      <w:titlePg w:val="0"/>
      <w:rtlGutter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75F060DC"/>
    <w:rsid w:val="005368FA"/>
    <w:rsid w:val="072E7F16"/>
    <w:rsid w:val="19506170"/>
    <w:rsid w:val="41EF5DFB"/>
    <w:rsid w:val="44545E13"/>
    <w:rsid w:val="4ABF2C4C"/>
    <w:rsid w:val="512246C1"/>
    <w:rsid w:val="543D63F2"/>
    <w:rsid w:val="57B76FB3"/>
    <w:rsid w:val="73187693"/>
    <w:rsid w:val="75F060DC"/>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仿宋"/>
      <w:kern w:val="2"/>
      <w:sz w:val="24"/>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spacing w:before="120" w:after="120"/>
      <w:ind w:firstLine="425"/>
    </w:pPr>
  </w:style>
  <w:style w:type="paragraph" w:styleId="NormalIndent">
    <w:name w:val="Normal Indent"/>
    <w:basedOn w:val="Normal"/>
    <w:uiPriority w:val="99"/>
    <w:qFormat/>
    <w:pPr>
      <w:tabs>
        <w:tab w:val="left" w:pos="377"/>
      </w:tabs>
      <w:ind w:firstLine="420"/>
    </w:pPr>
  </w:style>
  <w:style w:type="paragraph" w:styleId="BodyTextIndent">
    <w:name w:val="Body Text Indent"/>
    <w:basedOn w:val="Normal"/>
    <w:qFormat/>
    <w:pPr>
      <w:widowControl/>
      <w:spacing w:after="120"/>
      <w:ind w:left="420" w:leftChars="200"/>
      <w:jc w:val="left"/>
    </w:pPr>
    <w:rPr>
      <w:kern w:val="0"/>
      <w:sz w:val="24"/>
    </w:r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BodyTextFirstIndent2">
    <w:name w:val="Body Text First Indent 2"/>
    <w:uiPriority w:val="99"/>
    <w:unhideWhenUsed/>
    <w:qFormat/>
    <w:pPr>
      <w:widowControl w:val="0"/>
      <w:spacing w:line="360" w:lineRule="auto"/>
      <w:ind w:firstLine="420" w:firstLineChars="200"/>
      <w:jc w:val="both"/>
    </w:pPr>
    <w:rPr>
      <w:rFonts w:ascii="Times New Roman" w:eastAsia="宋体" w:hAnsi="Times New Roman" w:cs="Times New Roman"/>
      <w:kern w:val="2"/>
      <w:sz w:val="24"/>
      <w:szCs w:val="21"/>
      <w:lang w:val="en-US" w:eastAsia="zh-CN" w:bidi="ar-SA"/>
    </w:rPr>
  </w:style>
  <w:style w:type="character" w:styleId="Hyperlink">
    <w:name w:val="Hyperlink"/>
    <w:basedOn w:val="DefaultParagraphFont"/>
    <w:qFormat/>
    <w:rPr>
      <w:color w:val="0000FF"/>
      <w:u w:val="single"/>
    </w:rPr>
  </w:style>
  <w:style w:type="paragraph" w:customStyle="1" w:styleId="NewNewNew">
    <w:name w:val="正文 New New New"/>
    <w:qFormat/>
    <w:pPr>
      <w:widowControl w:val="0"/>
      <w:jc w:val="both"/>
    </w:pPr>
    <w:rPr>
      <w:rFonts w:ascii="Times New Roman" w:eastAsia="宋体" w:hAnsi="Times New Roman" w:cs="Times New Roman"/>
      <w:kern w:val="2"/>
      <w:sz w:val="21"/>
      <w:szCs w:val="24"/>
      <w:lang w:val="en-US" w:eastAsia="zh-CN" w:bidi="ar-SA"/>
    </w:rPr>
  </w:style>
  <w:style w:type="character" w:customStyle="1" w:styleId="NormalCharacter">
    <w:name w:val="NormalCharacter"/>
    <w:qFormat/>
    <w:rPr>
      <w:rFonts w:ascii="Times New Roman" w:eastAsia="宋体" w:hAnsi="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1706513505500605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157259040</TotalTime>
  <Pages>6</Pages>
  <Words>12093</Words>
  <Characters>13203</Characters>
  <Application>Microsoft Office Word</Application>
  <DocSecurity>0</DocSecurity>
  <Lines>0</Lines>
  <Paragraphs>0</Paragraphs>
  <ScaleCrop>false</ScaleCrop>
  <Company/>
  <LinksUpToDate>false</LinksUpToDate>
  <CharactersWithSpaces>13395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彼方为谁ꦿ℘</dc:creator>
  <cp:lastModifiedBy>ABEEL</cp:lastModifiedBy>
  <cp:revision>1</cp:revision>
  <dcterms:created xsi:type="dcterms:W3CDTF">2022-02-07T01:45:00Z</dcterms:created>
  <dcterms:modified xsi:type="dcterms:W3CDTF">2023-11-08T13:43:18Z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E1B578AF01D44B748189C8B54933CA3C_13</vt:lpwstr>
  </property>
  <property fmtid="{D5CDD505-2E9C-101B-9397-08002B2CF9AE}" pid="3" name="KSOProductBuildVer">
    <vt:lpwstr>2052-12.1.0.15933</vt:lpwstr>
  </property>
</Properties>
</file>