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10680700</wp:posOffset>
            </wp:positionV>
            <wp:extent cx="355600" cy="457200"/>
            <wp:effectExtent l="0" t="0" r="6350" b="0"/>
            <wp:wrapNone/>
            <wp:docPr id="100053" name="图片 10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11798300</wp:posOffset>
            </wp:positionV>
            <wp:extent cx="457200" cy="393700"/>
            <wp:effectExtent l="0" t="0" r="0" b="635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9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绝密</w:t>
      </w:r>
      <w:r>
        <w:rPr>
          <w:rFonts w:cs="宋体" w:hint="eastAsia"/>
          <w:b/>
          <w:sz w:val="24"/>
        </w:rPr>
        <w:t>★</w:t>
      </w:r>
      <w:r>
        <w:rPr>
          <w:rFonts w:hint="eastAsia"/>
          <w:b/>
          <w:sz w:val="24"/>
        </w:rPr>
        <w:t>启用前</w:t>
      </w:r>
    </w:p>
    <w:p>
      <w:pPr>
        <w:spacing w:line="360" w:lineRule="auto"/>
        <w:jc w:val="center"/>
        <w:rPr>
          <w:rFonts w:eastAsia="黑体"/>
          <w:b/>
          <w:bCs/>
          <w:sz w:val="3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10680700</wp:posOffset>
            </wp:positionV>
            <wp:extent cx="292100" cy="3683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11671300</wp:posOffset>
            </wp:positionH>
            <wp:positionV relativeFrom="topMargin">
              <wp:posOffset>11010900</wp:posOffset>
            </wp:positionV>
            <wp:extent cx="330200" cy="4191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黑体"/>
          <w:b/>
          <w:bCs/>
          <w:sz w:val="30"/>
        </w:rPr>
        <w:t>2024</w:t>
      </w:r>
      <w:r>
        <w:rPr>
          <w:rFonts w:eastAsia="黑体" w:hint="eastAsia"/>
          <w:b/>
          <w:bCs/>
          <w:sz w:val="30"/>
        </w:rPr>
        <w:t>年高考考前信息必刷卷（浙江专用）</w:t>
      </w:r>
      <w:r>
        <w:rPr>
          <w:rFonts w:eastAsia="黑体"/>
          <w:b/>
          <w:bCs/>
          <w:sz w:val="30"/>
        </w:rPr>
        <w:t>0</w:t>
      </w:r>
      <w:r>
        <w:rPr>
          <w:rFonts w:eastAsia="黑体" w:hint="eastAsia"/>
          <w:b/>
          <w:bCs/>
          <w:sz w:val="30"/>
        </w:rPr>
        <w:t>5</w:t>
      </w:r>
      <w:r>
        <w:rPr>
          <w:rFonts w:eastAsia="黑体"/>
          <w:b/>
          <w:bCs/>
          <w:sz w:val="30"/>
        </w:rPr>
        <w:t xml:space="preserve"> </w:t>
      </w:r>
    </w:p>
    <w:p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0"/>
        </w:rPr>
        <w:t>物</w:t>
      </w:r>
      <w:r>
        <w:rPr>
          <w:rFonts w:eastAsia="黑体"/>
          <w:sz w:val="30"/>
        </w:rPr>
        <w:t xml:space="preserve"> </w:t>
      </w:r>
      <w:r>
        <w:rPr>
          <w:rFonts w:eastAsia="黑体" w:hint="eastAsia"/>
          <w:sz w:val="30"/>
        </w:rPr>
        <w:t>理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val="en-US" w:eastAsia="zh-CN"/>
        </w:rPr>
        <w:t>答案在最后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center"/>
      </w:pPr>
      <w:r>
        <w:rPr>
          <w:rFonts w:eastAsia="楷体" w:hint="eastAsia"/>
          <w:kern w:val="0"/>
        </w:rPr>
        <w:t>（考试时间：90分钟</w:t>
      </w:r>
      <w:r>
        <w:rPr>
          <w:rFonts w:eastAsia="楷体"/>
          <w:kern w:val="0"/>
        </w:rPr>
        <w:t xml:space="preserve">  </w:t>
      </w:r>
      <w:r>
        <w:rPr>
          <w:rFonts w:eastAsia="楷体" w:hint="eastAsia"/>
          <w:kern w:val="0"/>
        </w:rPr>
        <w:t>试卷满分：100分）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ind w:left="1365" w:hanging="1365" w:hangingChars="650"/>
        <w:textAlignment w:val="center"/>
        <w:rPr>
          <w:b/>
          <w:bCs/>
          <w:snapToGrid w:val="0"/>
          <w:kern w:val="0"/>
          <w:szCs w:val="21"/>
        </w:rPr>
      </w:pPr>
      <w:r>
        <w:rPr>
          <w:szCs w:val="21"/>
        </w:rPr>
        <w:drawing>
          <wp:inline distT="0" distB="0" distL="0" distR="0">
            <wp:extent cx="5681980" cy="173990"/>
            <wp:effectExtent l="0" t="0" r="0" b="0"/>
            <wp:docPr id="18" name="图片 18" descr="说明: 必刷卷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必刷卷-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732964" cy="17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  <w:rPr>
          <w:b/>
          <w:bCs/>
          <w:snapToGrid w:val="0"/>
          <w:kern w:val="0"/>
          <w:szCs w:val="21"/>
        </w:rPr>
      </w:pPr>
      <w:r>
        <w:rPr>
          <w:b/>
          <w:kern w:val="0"/>
          <w:szCs w:val="21"/>
        </w:rPr>
        <w:drawing>
          <wp:inline distT="0" distB="0" distL="0" distR="0">
            <wp:extent cx="1033145" cy="285115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3" t="37396" r="24130" b="36842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rPr>
          <w:rFonts w:hint="eastAsia"/>
        </w:rPr>
        <w:t>2024年1月浙江</w:t>
      </w:r>
      <w:r>
        <w:t>物理选考试卷依据《普通高中物理课程标准（2017年版2020年修订）》的内容要求和学业质量水平等级要求，立足必备知识，评价关键能力，试卷的结构、难度、区分度、信度和效度保持相对稳定。</w:t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落实依标命题，考查必备知识</w:t>
      </w:r>
    </w:p>
    <w:p>
      <w:pPr>
        <w:pStyle w:val="NormalWeb"/>
        <w:spacing w:before="0" w:beforeAutospacing="0" w:after="0" w:afterAutospacing="0" w:line="360" w:lineRule="auto"/>
        <w:ind w:firstLine="510"/>
        <w:rPr>
          <w:color w:val="FF0000"/>
        </w:rPr>
      </w:pPr>
      <w:r>
        <w:t>依据《课程标准》要求，选取物理核心概念、规律、思想和方法等内容设计试题，全卷考点涵盖物理各模块的所有主题，具有较高的覆盖面，比例合理。</w:t>
      </w:r>
      <w:r>
        <w:rPr>
          <w:rFonts w:hint="eastAsia"/>
          <w:color w:val="FF0000"/>
        </w:rPr>
        <w:t>试卷在实验题上相对以为略有不同，增加一个实验小题，想必2024年6月选考也会保持相同题量。</w:t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设置合理梯度，评价关键能力</w:t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t>根据学科核心素养的水平层次、试题情境的复杂性和新颖性、知识要求的深度和广度等多方面设计试卷的难度。整卷设置了多层难度阶梯，有效区分不同学业水平的学生，使每个学生都能解决与自身能力吻合的问题。计算题情景设计既熟悉又新颖，问题设计由易到难，要求知识综合，多维的多层次的能力要求，利于大多数学生学有所得，利于多层次学生的区分选拔，利于高水平学生的脱颖而出。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textAlignment w:val="center"/>
      </w:pPr>
      <w:r>
        <w:drawing>
          <wp:inline distT="0" distB="0" distL="0" distR="0">
            <wp:extent cx="1033145" cy="28511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3" t="37396" r="24284" b="37119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spacing w:before="0" w:beforeAutospacing="0" w:after="0" w:afterAutospacing="0" w:line="360" w:lineRule="auto"/>
      </w:pPr>
      <w:r>
        <w:rPr>
          <w:rStyle w:val="Strong"/>
        </w:rPr>
        <w:t>立足真实情境，聚焦核心素养</w:t>
      </w:r>
    </w:p>
    <w:p>
      <w:pPr>
        <w:pStyle w:val="NormalWeb"/>
        <w:spacing w:before="0" w:beforeAutospacing="0" w:after="0" w:afterAutospacing="0" w:line="360" w:lineRule="auto"/>
        <w:ind w:firstLine="510"/>
      </w:pPr>
      <w:r>
        <w:t>试卷涵盖学科核心素养各维度，充分展现了素养考查内容的全面性和丰富性，体现了稳中求新的风格。如第9题的一箭三星、第13题的超导、第19题的扫描隧道显微镜等都立足真实情景、关注科技前沿和国家重大工程，加强对科学态度与责任素养的考查与渗透</w:t>
      </w:r>
      <w:r>
        <w:rPr>
          <w:rFonts w:hint="eastAsia"/>
        </w:rPr>
        <w:t>。</w:t>
      </w:r>
    </w:p>
    <w:p>
      <w:pPr>
        <w:tabs>
          <w:tab w:val="left" w:pos="2551"/>
          <w:tab w:val="left" w:pos="4677"/>
          <w:tab w:val="left" w:pos="6803"/>
        </w:tabs>
        <w:spacing w:line="360" w:lineRule="auto"/>
        <w:ind w:left="1365" w:hanging="1365" w:hangingChars="650"/>
        <w:textAlignment w:val="center"/>
        <w:rPr>
          <w:b/>
          <w:bCs/>
          <w:snapToGrid w:val="0"/>
          <w:kern w:val="0"/>
          <w:szCs w:val="21"/>
        </w:rPr>
      </w:pPr>
      <w:r>
        <w:rPr>
          <w:szCs w:val="21"/>
        </w:rPr>
        <w:drawing>
          <wp:inline distT="0" distB="0" distL="0" distR="0">
            <wp:extent cx="5831840" cy="178435"/>
            <wp:effectExtent l="0" t="0" r="0" b="0"/>
            <wp:docPr id="9" name="图片 9" descr="说明: 必刷卷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必刷卷-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9833" cy="18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left="420" w:hanging="420" w:hangingChars="200"/>
        <w:contextualSpacing/>
        <w:rPr>
          <w:b/>
          <w:szCs w:val="21"/>
        </w:rPr>
        <w:sectPr>
          <w:footerReference w:type="even" r:id="rId12"/>
          <w:pgSz w:w="11907" w:h="16839"/>
          <w:pgMar w:top="1417" w:right="1417" w:bottom="1417" w:left="1417" w:header="850" w:footer="992" w:gutter="0"/>
          <w:cols w:num="1" w:sep="1" w:space="425"/>
          <w:docGrid w:type="lines" w:linePitch="312" w:charSpace="0"/>
        </w:sectPr>
      </w:pPr>
      <w:r>
        <w:rPr>
          <w:rFonts w:hint="eastAsia"/>
          <w:b/>
          <w:szCs w:val="21"/>
        </w:rPr>
        <w:t>一、选择题Ⅰ（本题共13小题，每小题3分，共39分。每小题列出的四个备选项中只有一个是符合题目要求的，不选、多选、错选均不得分）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1．国际单位制中规定，力学物理量所选用的基本量是（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A．长度、质量、时间</w:t>
      </w:r>
      <w:r>
        <w:tab/>
      </w:r>
      <w:r>
        <w:rPr>
          <w:rFonts w:eastAsia="新宋体" w:hint="eastAsia"/>
          <w:szCs w:val="21"/>
        </w:rPr>
        <w:t>B．米、千克、秒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C．长度、力、时间</w:t>
      </w:r>
      <w:r>
        <w:tab/>
      </w:r>
      <w:r>
        <w:rPr>
          <w:rFonts w:eastAsia="新宋体" w:hint="eastAsia"/>
          <w:szCs w:val="21"/>
        </w:rPr>
        <w:t>D．速度、加速度、位移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【解答】解：力学中的基本物理量有三个，它们分别是长度、质量和时间，它们的单位分别为米、千克和秒，故A正确，BCD错误；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故选：A。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2．对于科学家在物理学上的主要贡献，下列说法正确的是（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A．牛顿经过多年的研究，得出了行星绕太阳的轨道是椭圆轨道的结论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B．库仑最终测得了元电荷的电量，并确定了库仑定律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C．奥斯特通过实验揭示了电生磁的自然现象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D．法拉第通过实验打开了磁生电的大门，并且得出了法拉第电磁感应定律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【解答】解：A、得出行星绕太阳的轨道是椭圆轨道结论的是开普勒，故A错误；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B、库仑通过实验确定了库仑定律，而元电荷的电量是由科学家密立根测得的，故B错误；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C、奥斯特通过实验揭示了电生磁的自然现象，说法正确，故C正确；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D、法拉第通过实验打开了磁生电的大门，但是法拉第电磁感应定律是由纽曼等科学家得出的，为了纪念法拉第故命名为法拉第电磁感应定律，故D错误。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如图所示，质量为m的物体在水平外力F的作用下，沿水平面做匀速运动，速度大小为v，当物体运动到A点时撤去外力F，物体由A点继续向前滑行过程中经过B点，则物体由A点到B点的过程中，下列说法中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696085" cy="542925"/>
            <wp:effectExtent l="0" t="0" r="0" b="0"/>
            <wp:docPr id="1085653410" name="图片24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653410" name="图片24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136" cy="54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A．速度v越大，摩擦力对物体的冲量越小；摩擦力做功越少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B．速度v越大，摩擦力对物体的冲量越小；摩擦力做功越多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C．速度v越大，摩擦力对物体的冲量越小；摩擦力做功与速度v的大小无关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D．速度v越大，摩擦力对物体的冲量越大；摩擦力做功与速度v的大小无关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【解答】解：由题意可知，物体匀速运动到A点，说明物体受到的摩擦力等于外力，故外力大小不变；由A到B运动的位移相等，故摩擦力做功与速度大小无关；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若速度越大，从A到B的时间越短，则由I＝Ft可知冲量越小，故C正确；</w:t>
      </w:r>
    </w:p>
    <w:p>
      <w:pPr>
        <w:spacing w:line="360" w:lineRule="auto"/>
        <w:ind w:left="273" w:leftChars="130"/>
        <w:rPr>
          <w:color w:val="FF0000"/>
        </w:rPr>
        <w:sectPr>
          <w:footerReference w:type="even" r:id="rId14"/>
          <w:type w:val="nextPage"/>
          <w:pgSz w:w="11907" w:h="16839"/>
          <w:pgMar w:top="1417" w:right="1417" w:bottom="1417" w:left="1417" w:header="850" w:footer="992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eastAsia="新宋体" w:hint="eastAsia"/>
          <w:color w:val="FF0000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4．如图甲所示，一只小猫饭后来到池塘边散步，之前停留在池塘边的一条小鱼看到小猫后，从静止快速沿直线游离池塘边缘，全过程中小鱼的v﹣t图像如图乙所示。关于小鱼的整个运动过程，下列说法正确的是（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3457575" cy="1295400"/>
            <wp:effectExtent l="0" t="0" r="0" b="0"/>
            <wp:docPr id="2005731066" name="图片24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731066" name="图片24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A．0～t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内小鱼的位移最大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B．t</w:t>
      </w:r>
      <w:r>
        <w:rPr>
          <w:rFonts w:eastAsia="新宋体" w:hint="eastAsia"/>
          <w:sz w:val="24"/>
          <w:szCs w:val="24"/>
          <w:vertAlign w:val="subscript"/>
        </w:rPr>
        <w:t>4</w:t>
      </w:r>
      <w:r>
        <w:rPr>
          <w:rFonts w:eastAsia="新宋体" w:hint="eastAsia"/>
          <w:szCs w:val="21"/>
        </w:rPr>
        <w:t>时刻小鱼受到的合力为0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C．在t</w:t>
      </w:r>
      <w:r>
        <w:rPr>
          <w:rFonts w:eastAsia="新宋体" w:hint="eastAsia"/>
          <w:sz w:val="24"/>
          <w:szCs w:val="24"/>
          <w:vertAlign w:val="subscript"/>
        </w:rPr>
        <w:t>4</w:t>
      </w:r>
      <w:r>
        <w:rPr>
          <w:rFonts w:eastAsia="新宋体" w:hint="eastAsia"/>
          <w:szCs w:val="21"/>
        </w:rPr>
        <w:t>∼t</w:t>
      </w:r>
      <w:r>
        <w:rPr>
          <w:rFonts w:eastAsia="新宋体" w:hint="eastAsia"/>
          <w:sz w:val="24"/>
          <w:szCs w:val="24"/>
          <w:vertAlign w:val="subscript"/>
        </w:rPr>
        <w:t>5</w:t>
      </w:r>
      <w:r>
        <w:rPr>
          <w:rFonts w:eastAsia="新宋体" w:hint="eastAsia"/>
          <w:szCs w:val="21"/>
        </w:rPr>
        <w:t>内，小鱼的加速度与速度方向相同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D．小鱼在0～t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内的加速度方向与t</w:t>
      </w:r>
      <w:r>
        <w:rPr>
          <w:rFonts w:eastAsia="新宋体" w:hint="eastAsia"/>
          <w:sz w:val="24"/>
          <w:szCs w:val="24"/>
          <w:vertAlign w:val="subscript"/>
        </w:rPr>
        <w:t>3</w:t>
      </w:r>
      <w:r>
        <w:rPr>
          <w:rFonts w:eastAsia="新宋体" w:hint="eastAsia"/>
          <w:szCs w:val="21"/>
        </w:rPr>
        <w:t>～t</w:t>
      </w:r>
      <w:r>
        <w:rPr>
          <w:rFonts w:eastAsia="新宋体" w:hint="eastAsia"/>
          <w:sz w:val="24"/>
          <w:szCs w:val="24"/>
          <w:vertAlign w:val="subscript"/>
        </w:rPr>
        <w:t>5</w:t>
      </w:r>
      <w:r>
        <w:rPr>
          <w:rFonts w:eastAsia="新宋体" w:hint="eastAsia"/>
          <w:szCs w:val="21"/>
        </w:rPr>
        <w:t>内的加速度方向相同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【解答】解：A、0～t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内，小鱼的速度始终为正值，即小鱼一直向前运动，位移不断增大。t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∼t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5</w:t>
      </w:r>
      <w:r>
        <w:rPr>
          <w:rFonts w:eastAsia="新宋体" w:hint="eastAsia"/>
          <w:color w:val="FF0000"/>
          <w:szCs w:val="21"/>
        </w:rPr>
        <w:t>内，小鱼反向运动，所以t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时刻小鱼的位移最大，故A错误；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B、t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时刻小鱼的速度为零，但是图线的斜率不为零，即加速度不为零，根据牛顿第二定律可知，t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时刻小鱼受到的合力不为零，故B错误；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C、在t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4</w:t>
      </w:r>
      <w:r>
        <w:rPr>
          <w:rFonts w:eastAsia="新宋体" w:hint="eastAsia"/>
          <w:color w:val="FF0000"/>
          <w:szCs w:val="21"/>
        </w:rPr>
        <w:t>∼t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5</w:t>
      </w:r>
      <w:r>
        <w:rPr>
          <w:rFonts w:eastAsia="新宋体" w:hint="eastAsia"/>
          <w:color w:val="FF0000"/>
          <w:szCs w:val="21"/>
        </w:rPr>
        <w:t>内，小鱼反向做加速运动，速度与加速度方向相同，故C正确；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D、在0～t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  <w:szCs w:val="21"/>
        </w:rPr>
        <w:t>内，图线切线的斜率为正值，即加速度方向为正方向。t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3</w:t>
      </w:r>
      <w:r>
        <w:rPr>
          <w:rFonts w:eastAsia="新宋体" w:hint="eastAsia"/>
          <w:color w:val="FF0000"/>
          <w:szCs w:val="21"/>
        </w:rPr>
        <w:t>～t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5</w:t>
      </w:r>
      <w:r>
        <w:rPr>
          <w:rFonts w:eastAsia="新宋体" w:hint="eastAsia"/>
          <w:color w:val="FF0000"/>
          <w:szCs w:val="21"/>
        </w:rPr>
        <w:t>内的斜率为负值，即加速度为负方向，则知0～t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  <w:szCs w:val="21"/>
        </w:rPr>
        <w:t>内的加速度方向与t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3</w:t>
      </w:r>
      <w:r>
        <w:rPr>
          <w:rFonts w:eastAsia="新宋体" w:hint="eastAsia"/>
          <w:color w:val="FF0000"/>
          <w:szCs w:val="21"/>
        </w:rPr>
        <w:t>～t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5</w:t>
      </w:r>
      <w:r>
        <w:rPr>
          <w:rFonts w:eastAsia="新宋体" w:hint="eastAsia"/>
          <w:color w:val="FF0000"/>
          <w:szCs w:val="21"/>
        </w:rPr>
        <w:t>内的加速度方向相反，故D错误。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5．一对不等量异种点电荷周围的电场线分布如图所示，下列说法正确的是（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788795" cy="1295400"/>
            <wp:effectExtent l="0" t="0" r="0" b="0"/>
            <wp:docPr id="24504101" name="图片24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04101" name="图片24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180" cy="129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A．Q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为负电荷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B．Q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的带电荷量一定比Q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的带电荷量多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C．以大地为零电势，则Q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Q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连线的中点电势必定为零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D．尽管B处没画出电场线，但B处的场强比A处大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https://d.book118.com/317113135065006051</w:t>
        </w:r>
      </w:hyperlink>
    </w:p>
    <w:p>
      <w:pPr>
        <w:spacing w:line="360" w:lineRule="auto"/>
        <w:ind w:firstLine="273" w:firstLineChars="130"/>
        <w:jc w:val="left"/>
      </w:pPr>
    </w:p>
    <w:sectPr>
      <w:footerReference w:type="even" r:id="rId18"/>
      <w:type w:val="nextPage"/>
      <w:pgSz w:w="11907" w:h="16839"/>
      <w:pgMar w:top="1417" w:right="1417" w:bottom="1417" w:left="1417" w:header="850" w:footer="992" w:gutter="0"/>
      <w:pgNumType w:start="3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41B8"/>
    <w:rsid w:val="00043B54"/>
    <w:rsid w:val="00052438"/>
    <w:rsid w:val="00052FA4"/>
    <w:rsid w:val="00056353"/>
    <w:rsid w:val="0007235F"/>
    <w:rsid w:val="001235E0"/>
    <w:rsid w:val="0014283F"/>
    <w:rsid w:val="00183CB9"/>
    <w:rsid w:val="001C3DB7"/>
    <w:rsid w:val="001D7A06"/>
    <w:rsid w:val="001F414E"/>
    <w:rsid w:val="00214D1C"/>
    <w:rsid w:val="0024000F"/>
    <w:rsid w:val="00241E54"/>
    <w:rsid w:val="00264507"/>
    <w:rsid w:val="002767BF"/>
    <w:rsid w:val="002841A7"/>
    <w:rsid w:val="00284433"/>
    <w:rsid w:val="002927B0"/>
    <w:rsid w:val="002A1EC6"/>
    <w:rsid w:val="002C4223"/>
    <w:rsid w:val="002E035E"/>
    <w:rsid w:val="002F4042"/>
    <w:rsid w:val="00333998"/>
    <w:rsid w:val="00370231"/>
    <w:rsid w:val="003A2D7A"/>
    <w:rsid w:val="003E64E6"/>
    <w:rsid w:val="003F1980"/>
    <w:rsid w:val="003F6F24"/>
    <w:rsid w:val="0041230C"/>
    <w:rsid w:val="004151FC"/>
    <w:rsid w:val="00436AA5"/>
    <w:rsid w:val="004745B9"/>
    <w:rsid w:val="004938BA"/>
    <w:rsid w:val="00495078"/>
    <w:rsid w:val="004C0567"/>
    <w:rsid w:val="004D5AFC"/>
    <w:rsid w:val="005121BE"/>
    <w:rsid w:val="005302DD"/>
    <w:rsid w:val="00545D58"/>
    <w:rsid w:val="005E457A"/>
    <w:rsid w:val="005F6056"/>
    <w:rsid w:val="006211A8"/>
    <w:rsid w:val="0064056B"/>
    <w:rsid w:val="006628D8"/>
    <w:rsid w:val="006777C7"/>
    <w:rsid w:val="00695C8D"/>
    <w:rsid w:val="006A10E4"/>
    <w:rsid w:val="006B16C5"/>
    <w:rsid w:val="006C48D1"/>
    <w:rsid w:val="006E6CB8"/>
    <w:rsid w:val="007417E6"/>
    <w:rsid w:val="0076463B"/>
    <w:rsid w:val="00776133"/>
    <w:rsid w:val="0079209D"/>
    <w:rsid w:val="0079629A"/>
    <w:rsid w:val="007A5E25"/>
    <w:rsid w:val="008410BC"/>
    <w:rsid w:val="0085476A"/>
    <w:rsid w:val="00865A38"/>
    <w:rsid w:val="00880048"/>
    <w:rsid w:val="00882679"/>
    <w:rsid w:val="008924F3"/>
    <w:rsid w:val="008A6491"/>
    <w:rsid w:val="008B2586"/>
    <w:rsid w:val="008C07DE"/>
    <w:rsid w:val="008E3F20"/>
    <w:rsid w:val="008F5155"/>
    <w:rsid w:val="009029DB"/>
    <w:rsid w:val="00947569"/>
    <w:rsid w:val="0098035E"/>
    <w:rsid w:val="009D0B5B"/>
    <w:rsid w:val="00A0031A"/>
    <w:rsid w:val="00A2245C"/>
    <w:rsid w:val="00A30CCE"/>
    <w:rsid w:val="00A36708"/>
    <w:rsid w:val="00A839B9"/>
    <w:rsid w:val="00AB2888"/>
    <w:rsid w:val="00AC3E9C"/>
    <w:rsid w:val="00AD7392"/>
    <w:rsid w:val="00AF685A"/>
    <w:rsid w:val="00B2092B"/>
    <w:rsid w:val="00B21CB6"/>
    <w:rsid w:val="00B77A72"/>
    <w:rsid w:val="00B87230"/>
    <w:rsid w:val="00BA55BD"/>
    <w:rsid w:val="00BC4F14"/>
    <w:rsid w:val="00BC6375"/>
    <w:rsid w:val="00BF535F"/>
    <w:rsid w:val="00BF76B8"/>
    <w:rsid w:val="00C02FC6"/>
    <w:rsid w:val="00C1271D"/>
    <w:rsid w:val="00C62628"/>
    <w:rsid w:val="00C76DDF"/>
    <w:rsid w:val="00C806B0"/>
    <w:rsid w:val="00CB23E3"/>
    <w:rsid w:val="00CE3533"/>
    <w:rsid w:val="00D02F67"/>
    <w:rsid w:val="00D26AF8"/>
    <w:rsid w:val="00D318CD"/>
    <w:rsid w:val="00D84DB3"/>
    <w:rsid w:val="00D85CC9"/>
    <w:rsid w:val="00DE4F64"/>
    <w:rsid w:val="00E14372"/>
    <w:rsid w:val="00E40056"/>
    <w:rsid w:val="00E476EE"/>
    <w:rsid w:val="00E47BAA"/>
    <w:rsid w:val="00E56312"/>
    <w:rsid w:val="00E87431"/>
    <w:rsid w:val="00EB31C1"/>
    <w:rsid w:val="00EC536B"/>
    <w:rsid w:val="00EE010F"/>
    <w:rsid w:val="00EF035E"/>
    <w:rsid w:val="00EF3342"/>
    <w:rsid w:val="00F31CEE"/>
    <w:rsid w:val="00F861E3"/>
    <w:rsid w:val="00FA68DF"/>
    <w:rsid w:val="00FA7C0F"/>
    <w:rsid w:val="00FB5B06"/>
    <w:rsid w:val="00FE7F4A"/>
    <w:rsid w:val="0F942B2F"/>
    <w:rsid w:val="1FEE60DF"/>
    <w:rsid w:val="2DF11AA2"/>
    <w:rsid w:val="347E4A63"/>
    <w:rsid w:val="348576A9"/>
    <w:rsid w:val="69423B38"/>
    <w:rsid w:val="75B42466"/>
    <w:rsid w:val="764E348F"/>
    <w:rsid w:val="79D7762B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1"/>
    <w:qFormat/>
    <w:rPr>
      <w:szCs w:val="21"/>
    </w:rPr>
  </w:style>
  <w:style w:type="paragraph" w:styleId="TOC5">
    <w:name w:val="toc 5"/>
    <w:basedOn w:val="Normal"/>
    <w:next w:val="Normal"/>
    <w:qFormat/>
    <w:pPr>
      <w:wordWrap w:val="0"/>
      <w:ind w:left="1275"/>
    </w:pPr>
    <w:rPr>
      <w:rFonts w:ascii="宋体" w:eastAsia="Times New Roman" w:hAnsi="宋体"/>
      <w:kern w:val="0"/>
      <w:sz w:val="20"/>
      <w:szCs w:val="20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">
    <w:name w:val="正文文本1"/>
    <w:basedOn w:val="Normal"/>
    <w:qFormat/>
    <w:pPr>
      <w:spacing w:after="60"/>
      <w:ind w:firstLine="180"/>
      <w:jc w:val="left"/>
    </w:pPr>
    <w:rPr>
      <w:rFonts w:eastAsia="Times New Roman"/>
      <w:sz w:val="17"/>
      <w:szCs w:val="1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footer" Target="footer2.xml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hyperlink" Target="https://d.book118.com/317113135065006051" TargetMode="External" /><Relationship Id="rId18" Type="http://schemas.openxmlformats.org/officeDocument/2006/relationships/footer" Target="footer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29B2C-443A-434C-B744-D6D4039BD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11736</Words>
  <Characters>12983</Characters>
  <Application>Microsoft Office Word</Application>
  <DocSecurity>0</DocSecurity>
  <Lines>0</Lines>
  <Paragraphs>0</Paragraphs>
  <ScaleCrop>false</ScaleCrop>
  <Company/>
  <LinksUpToDate>false</LinksUpToDate>
  <CharactersWithSpaces>13633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2024-03-08T12:13:05Z</dcterms:created>
  <dcterms:modified xsi:type="dcterms:W3CDTF">2024-03-08T14:49:32Z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73A52FFEEAEC46708B0AD87B1FC83D0F_12</vt:lpwstr>
  </property>
  <property fmtid="{D5CDD505-2E9C-101B-9397-08002B2CF9AE}" pid="3" name="KSOProductBuildVer">
    <vt:lpwstr>2052-12.1.0.16120</vt:lpwstr>
  </property>
</Properties>
</file>